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"/>
        <w:keepNext w:val="true"/>
        <w:keepLines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</w:p>
    <w:p>
      <w:pPr>
        <w:pStyle w:val="Normal"/>
        <w:jc w:val="center"/>
        <w:rPr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ОКПД2 23.61.12.162 Поставка железобетонных изделий для нужд филиала АО "ДРСК" "Приморские электрические сети" в рамках инвестиционной и ремонтной программ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0"/>
        <w:jc w:val="center"/>
        <w:rPr>
          <w:rStyle w:val="Style14"/>
          <w:i w:val="false"/>
          <w:i w:val="false"/>
          <w:sz w:val="22"/>
          <w:szCs w:val="22"/>
          <w:highlight w:val="white"/>
        </w:rPr>
      </w:pPr>
      <w:r>
        <w:rPr>
          <w:i w:val="false"/>
          <w:sz w:val="22"/>
          <w:szCs w:val="22"/>
          <w:highlight w:val="white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  <w:t xml:space="preserve">Лот № </w:t>
      </w:r>
    </w:p>
    <w:p>
      <w:pPr>
        <w:pStyle w:val="Normal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</w:p>
    <w:p>
      <w:pPr>
        <w:pStyle w:val="Normal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</w:r>
    </w:p>
    <w:p>
      <w:pPr>
        <w:pStyle w:val="Normal"/>
        <w:keepNext w:val="true"/>
        <w:keepLines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1"/>
        <w:keepLines/>
        <w:numPr>
          <w:ilvl w:val="0"/>
          <w:numId w:val="1"/>
        </w:numPr>
        <w:spacing w:before="120" w:after="0"/>
        <w:ind w:left="357" w:hanging="357"/>
        <w:jc w:val="center"/>
        <w:rPr>
          <w:caps/>
          <w:sz w:val="22"/>
          <w:szCs w:val="22"/>
          <w:lang w:val="ru-RU"/>
        </w:rPr>
      </w:pPr>
      <w:bookmarkStart w:id="0" w:name="_Toc75446566"/>
      <w:bookmarkStart w:id="1" w:name="_Toc51339692"/>
      <w:bookmarkEnd w:id="0"/>
      <w:bookmarkEnd w:id="1"/>
      <w:r>
        <w:rPr>
          <w:sz w:val="22"/>
          <w:szCs w:val="22"/>
          <w:lang w:val="ru-RU"/>
        </w:rPr>
        <w:t>Общие сведения</w:t>
      </w:r>
    </w:p>
    <w:p>
      <w:pPr>
        <w:pStyle w:val="4"/>
        <w:numPr>
          <w:ilvl w:val="1"/>
          <w:numId w:val="1"/>
        </w:numPr>
        <w:spacing w:before="120" w:after="0"/>
        <w:rPr>
          <w:sz w:val="22"/>
          <w:szCs w:val="22"/>
        </w:rPr>
      </w:pPr>
      <w:r>
        <w:rPr>
          <w:sz w:val="22"/>
          <w:szCs w:val="22"/>
        </w:rPr>
        <w:t>Обозначения и сокращения</w:t>
      </w:r>
    </w:p>
    <w:p>
      <w:pPr>
        <w:pStyle w:val="Normal"/>
        <w:spacing w:before="120" w:after="0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4850" w:type="dxa"/>
        <w:jc w:val="left"/>
        <w:tblInd w:w="-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47"/>
        <w:gridCol w:w="12702"/>
      </w:tblGrid>
      <w:tr>
        <w:trPr>
          <w:trHeight w:val="315" w:hRule="atLeast"/>
          <w:cantSplit w:val="true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iCs/>
                <w:color w:val="111111"/>
                <w:sz w:val="22"/>
                <w:szCs w:val="22"/>
              </w:rPr>
              <w:t>СВ</w:t>
            </w:r>
          </w:p>
        </w:tc>
        <w:tc>
          <w:tcPr>
            <w:tcW w:w="1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rFonts w:ascii="Liberation Serif" w:hAnsi="Liberation Serif"/>
              </w:rPr>
            </w:pPr>
            <w:r>
              <w:rPr>
                <w:rFonts w:eastAsia="Times New Roman" w:cs="Times New Roman" w:ascii="Liberation Serif" w:hAnsi="Liberation Serif"/>
                <w:iCs/>
                <w:color w:val="111111"/>
                <w:kern w:val="0"/>
                <w:sz w:val="22"/>
                <w:szCs w:val="22"/>
                <w:lang w:val="ru-RU" w:eastAsia="ru-RU" w:bidi="ar-SA"/>
              </w:rPr>
              <w:t>С</w:t>
            </w:r>
            <w:r>
              <w:rPr>
                <w:rFonts w:ascii="Liberation Serif" w:hAnsi="Liberation Serif"/>
                <w:iCs/>
                <w:color w:val="111111"/>
                <w:sz w:val="22"/>
                <w:szCs w:val="22"/>
              </w:rPr>
              <w:t>тойка вибрированная;</w:t>
            </w:r>
          </w:p>
        </w:tc>
      </w:tr>
      <w:tr>
        <w:trPr>
          <w:trHeight w:val="375" w:hRule="atLeast"/>
          <w:cantSplit w:val="true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b/>
                <w:bCs/>
                <w:iCs/>
                <w:sz w:val="22"/>
                <w:szCs w:val="22"/>
              </w:rPr>
              <w:t>ГОСТ</w:t>
            </w:r>
          </w:p>
        </w:tc>
        <w:tc>
          <w:tcPr>
            <w:tcW w:w="1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Cs/>
                <w:color w:val="111111"/>
                <w:sz w:val="22"/>
                <w:szCs w:val="22"/>
              </w:rPr>
              <w:t>государственный стандарт;</w:t>
            </w:r>
          </w:p>
        </w:tc>
      </w:tr>
      <w:tr>
        <w:trPr>
          <w:cantSplit w:val="true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b/>
                <w:bCs/>
                <w:iCs/>
                <w:sz w:val="22"/>
                <w:szCs w:val="22"/>
              </w:rPr>
              <w:t>ТУ</w:t>
            </w:r>
          </w:p>
        </w:tc>
        <w:tc>
          <w:tcPr>
            <w:tcW w:w="1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Cs/>
                <w:color w:val="111111"/>
                <w:sz w:val="22"/>
                <w:szCs w:val="22"/>
              </w:rPr>
              <w:t>технические условия;</w:t>
            </w:r>
          </w:p>
        </w:tc>
      </w:tr>
    </w:tbl>
    <w:p>
      <w:pPr>
        <w:pStyle w:val="4"/>
        <w:numPr>
          <w:ilvl w:val="1"/>
          <w:numId w:val="1"/>
        </w:numPr>
        <w:spacing w:before="120" w:after="0"/>
        <w:rPr>
          <w:sz w:val="22"/>
          <w:szCs w:val="22"/>
        </w:rPr>
      </w:pPr>
      <w:bookmarkStart w:id="2" w:name="_Toc46743506"/>
      <w:bookmarkStart w:id="3" w:name="_Toc75446568"/>
      <w:bookmarkEnd w:id="2"/>
      <w:bookmarkEnd w:id="3"/>
      <w:r>
        <w:rPr>
          <w:sz w:val="22"/>
          <w:szCs w:val="22"/>
        </w:rPr>
        <w:t>Наименование закупаемой продукции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ОКПД2 23.61.12.162 Поставка железобетонных изделий для нужд филиала АО "ДРСК" "Приморские электрические сети" в рамках инвестиционной и ремонтной программ </w:t>
      </w:r>
      <w:bookmarkStart w:id="4" w:name="_Toc51339693"/>
      <w:bookmarkStart w:id="5" w:name="_Toc75446573"/>
      <w:bookmarkStart w:id="6" w:name="_Toc50125126"/>
      <w:bookmarkStart w:id="7" w:name="_Toc46743510"/>
      <w:bookmarkEnd w:id="4"/>
      <w:bookmarkEnd w:id="5"/>
      <w:bookmarkEnd w:id="6"/>
      <w:bookmarkEnd w:id="7"/>
      <w:r>
        <w:rPr>
          <w:iCs/>
          <w:sz w:val="22"/>
          <w:szCs w:val="22"/>
        </w:rPr>
        <w:t>Требования к продукции</w:t>
      </w:r>
    </w:p>
    <w:p>
      <w:pPr>
        <w:pStyle w:val="4"/>
        <w:numPr>
          <w:ilvl w:val="1"/>
          <w:numId w:val="1"/>
        </w:numPr>
        <w:spacing w:before="120" w:after="0"/>
        <w:rPr>
          <w:sz w:val="22"/>
          <w:szCs w:val="22"/>
        </w:rPr>
      </w:pPr>
      <w:bookmarkStart w:id="8" w:name="_Toc75446574"/>
      <w:r>
        <w:rPr>
          <w:sz w:val="22"/>
          <w:szCs w:val="22"/>
        </w:rPr>
        <w:t xml:space="preserve">Требования к объемам и срокам </w:t>
      </w:r>
      <w:bookmarkEnd w:id="8"/>
      <w:r>
        <w:rPr>
          <w:sz w:val="22"/>
          <w:szCs w:val="22"/>
          <w:lang w:val="ru-RU"/>
        </w:rPr>
        <w:t>поставки</w:t>
      </w:r>
    </w:p>
    <w:p>
      <w:pPr>
        <w:pStyle w:val="3"/>
        <w:numPr>
          <w:ilvl w:val="2"/>
          <w:numId w:val="1"/>
        </w:numPr>
        <w:spacing w:before="120" w:after="0"/>
        <w:rPr>
          <w:sz w:val="22"/>
          <w:szCs w:val="22"/>
        </w:rPr>
      </w:pPr>
      <w:bookmarkStart w:id="9" w:name="_Toc75446575"/>
      <w:bookmarkEnd w:id="9"/>
      <w:r>
        <w:rPr>
          <w:sz w:val="22"/>
          <w:szCs w:val="22"/>
          <w:lang w:val="ru-RU"/>
        </w:rPr>
        <w:t>Перечень и объем закупаемой продукции</w:t>
      </w:r>
    </w:p>
    <w:p>
      <w:pPr>
        <w:pStyle w:val="1"/>
        <w:keepLines/>
        <w:spacing w:before="240" w:after="0"/>
        <w:rPr>
          <w:sz w:val="22"/>
          <w:szCs w:val="22"/>
          <w:lang w:val="ru-RU"/>
        </w:rPr>
      </w:pPr>
      <w:bookmarkStart w:id="10" w:name="_Toc51339695"/>
      <w:bookmarkStart w:id="11" w:name="_Toc75446576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1.1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10"/>
      <w:bookmarkEnd w:id="11"/>
      <w:r>
        <w:rPr>
          <w:sz w:val="22"/>
          <w:szCs w:val="22"/>
          <w:lang w:val="ru-RU"/>
        </w:rPr>
        <w:t>и объем закупаемой продукции</w:t>
      </w:r>
    </w:p>
    <w:tbl>
      <w:tblPr>
        <w:tblW w:w="14714" w:type="dxa"/>
        <w:jc w:val="left"/>
        <w:tblInd w:w="216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6"/>
        <w:gridCol w:w="11883"/>
        <w:gridCol w:w="1133"/>
        <w:gridCol w:w="1131"/>
      </w:tblGrid>
      <w:tr>
        <w:trPr/>
        <w:tc>
          <w:tcPr>
            <w:tcW w:w="5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41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Требование Заказчика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продукции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Ед. измер.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Кол-во</w:t>
            </w:r>
          </w:p>
        </w:tc>
      </w:tr>
      <w:tr>
        <w:trPr/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1471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Филиал АО «ДРСК» «Приморские электрические сети»</w:t>
            </w:r>
          </w:p>
        </w:tc>
      </w:tr>
      <w:tr>
        <w:trPr/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Опора железобетонная СВ-105-5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50</w:t>
            </w:r>
          </w:p>
        </w:tc>
      </w:tr>
    </w:tbl>
    <w:p>
      <w:pPr>
        <w:pStyle w:val="3"/>
        <w:numPr>
          <w:ilvl w:val="2"/>
          <w:numId w:val="1"/>
        </w:numPr>
        <w:spacing w:before="120" w:after="0"/>
        <w:rPr>
          <w:sz w:val="22"/>
          <w:szCs w:val="22"/>
          <w:lang w:val="ru-RU"/>
        </w:rPr>
      </w:pPr>
      <w:bookmarkStart w:id="12" w:name="_Toc51339696"/>
      <w:bookmarkStart w:id="13" w:name="_Toc75446578"/>
      <w:r>
        <w:rPr>
          <w:sz w:val="22"/>
          <w:szCs w:val="22"/>
          <w:lang w:val="ru-RU"/>
        </w:rPr>
        <w:t xml:space="preserve">Требования </w:t>
      </w:r>
      <w:bookmarkEnd w:id="12"/>
      <w:bookmarkEnd w:id="13"/>
      <w:r>
        <w:rPr>
          <w:sz w:val="22"/>
          <w:szCs w:val="22"/>
          <w:lang w:val="ru-RU"/>
        </w:rPr>
        <w:t xml:space="preserve">к срокам поставки продукции </w:t>
      </w:r>
    </w:p>
    <w:p>
      <w:pPr>
        <w:pStyle w:val="1"/>
        <w:keepLines/>
        <w:spacing w:before="240" w:after="0"/>
        <w:rPr>
          <w:sz w:val="22"/>
          <w:szCs w:val="22"/>
          <w:lang w:val="ru-RU"/>
        </w:rPr>
      </w:pPr>
      <w:bookmarkStart w:id="14" w:name="_Toc75446579"/>
      <w:bookmarkStart w:id="15" w:name="_Toc50125127"/>
      <w:bookmarkStart w:id="16" w:name="_Toc51339697"/>
      <w:bookmarkStart w:id="17" w:name="_Toc50125126_Копия_1"/>
      <w:bookmarkEnd w:id="17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 xml:space="preserve"> </w:t>
      </w:r>
      <w:bookmarkStart w:id="18" w:name="_Hlk50465284"/>
      <w:r>
        <w:rPr>
          <w:sz w:val="22"/>
          <w:szCs w:val="22"/>
        </w:rPr>
        <w:t xml:space="preserve">Требования по срокам </w:t>
      </w:r>
      <w:bookmarkEnd w:id="15"/>
      <w:bookmarkEnd w:id="16"/>
      <w:bookmarkEnd w:id="18"/>
      <w:r>
        <w:rPr>
          <w:sz w:val="22"/>
          <w:szCs w:val="22"/>
          <w:lang w:val="ru-RU"/>
        </w:rPr>
        <w:t>поставки продукции</w:t>
      </w:r>
      <w:bookmarkEnd w:id="14"/>
      <w:r>
        <w:rPr>
          <w:sz w:val="22"/>
          <w:szCs w:val="22"/>
          <w:lang w:val="ru-RU"/>
        </w:rPr>
        <w:t xml:space="preserve"> </w:t>
      </w:r>
    </w:p>
    <w:tbl>
      <w:tblPr>
        <w:tblW w:w="14738" w:type="dxa"/>
        <w:jc w:val="left"/>
        <w:tblInd w:w="19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31"/>
        <w:gridCol w:w="2694"/>
        <w:gridCol w:w="3839"/>
        <w:gridCol w:w="7473"/>
      </w:tblGrid>
      <w:tr>
        <w:trPr>
          <w:trHeight w:val="495" w:hRule="atLeast"/>
        </w:trPr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Наименование продукции/ (партии продукции)</w:t>
            </w:r>
          </w:p>
        </w:tc>
        <w:tc>
          <w:tcPr>
            <w:tcW w:w="3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7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Style48"/>
              <w:keepNext w:val="false"/>
              <w:widowControl w:val="false"/>
              <w:spacing w:before="40" w:after="0"/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2</w:t>
            </w:r>
          </w:p>
        </w:tc>
        <w:tc>
          <w:tcPr>
            <w:tcW w:w="3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e48"/>
              <w:keepNext w:val="false"/>
              <w:widowControl w:val="false"/>
              <w:spacing w:before="40" w:after="0"/>
              <w:jc w:val="center"/>
              <w:rPr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3</w:t>
            </w:r>
          </w:p>
        </w:tc>
        <w:tc>
          <w:tcPr>
            <w:tcW w:w="7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e48"/>
              <w:keepNext w:val="false"/>
              <w:widowControl w:val="false"/>
              <w:spacing w:before="40" w:after="0"/>
              <w:jc w:val="center"/>
              <w:rPr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Позици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1 Таблицы 1.1 настоящих Технических требований</w:t>
            </w:r>
          </w:p>
        </w:tc>
        <w:tc>
          <w:tcPr>
            <w:tcW w:w="3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7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 xml:space="preserve"> календарных дней с момента  подписания договора поставки </w:t>
            </w:r>
          </w:p>
        </w:tc>
      </w:tr>
    </w:tbl>
    <w:p>
      <w:pPr>
        <w:pStyle w:val="4"/>
        <w:numPr>
          <w:ilvl w:val="1"/>
          <w:numId w:val="1"/>
        </w:numPr>
        <w:spacing w:before="120" w:after="0"/>
        <w:rPr>
          <w:sz w:val="22"/>
          <w:szCs w:val="22"/>
        </w:rPr>
      </w:pPr>
      <w:r>
        <w:rPr>
          <w:sz w:val="22"/>
          <w:szCs w:val="22"/>
        </w:rPr>
        <w:t xml:space="preserve">Требования к 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4605" cy="173990"/>
                <wp:effectExtent l="0" t="0" r="0" b="0"/>
                <wp:wrapSquare wrapText="bothSides"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0" cy="173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35"/>
                              <w:rPr>
                                <w:rStyle w:val="Pagenumber"/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stroked="f" o:allowincell="f" style="position:absolute;margin-left:0pt;margin-top:0.05pt;width:1.1pt;height:13.6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35"/>
                        <w:rPr>
                          <w:rStyle w:val="Pagenumber"/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sz w:val="22"/>
          <w:szCs w:val="22"/>
          <w:lang w:val="ru-RU"/>
        </w:rPr>
        <w:t>качеству продукции</w:t>
      </w:r>
    </w:p>
    <w:p>
      <w:pPr>
        <w:pStyle w:val="1"/>
        <w:keepLines/>
        <w:spacing w:before="240" w:after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bookmarkStart w:id="19" w:name="_Toc75446582"/>
      <w:r>
        <w:rPr>
          <w:sz w:val="22"/>
          <w:szCs w:val="22"/>
        </w:rPr>
        <w:t>Таблица 1.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19"/>
      <w:r>
        <w:rPr>
          <w:sz w:val="22"/>
          <w:szCs w:val="22"/>
        </w:rPr>
        <w:t xml:space="preserve"> </w:t>
      </w:r>
    </w:p>
    <w:p>
      <w:pPr>
        <w:pStyle w:val="Normal"/>
        <w:jc w:val="both"/>
        <w:rPr>
          <w:rStyle w:val="Style14"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Наименование продукции </w:t>
      </w:r>
      <w:r>
        <w:rPr>
          <w:rFonts w:eastAsia="Calibri"/>
          <w:i/>
          <w:sz w:val="22"/>
          <w:szCs w:val="22"/>
          <w:lang w:eastAsia="x-none"/>
        </w:rPr>
        <w:t>«</w:t>
      </w:r>
      <w:r>
        <w:rPr>
          <w:b/>
          <w:i/>
          <w:sz w:val="22"/>
          <w:szCs w:val="22"/>
        </w:rPr>
        <w:t>Опоры железобетонные</w:t>
      </w:r>
      <w:r>
        <w:rPr>
          <w:rFonts w:eastAsia="Calibri"/>
          <w:i/>
          <w:sz w:val="22"/>
          <w:szCs w:val="22"/>
          <w:lang w:eastAsia="x-none"/>
        </w:rPr>
        <w:t>»</w:t>
      </w:r>
      <w:r>
        <w:rPr>
          <w:rStyle w:val="Style14"/>
          <w:iCs/>
          <w:sz w:val="22"/>
          <w:szCs w:val="22"/>
        </w:rPr>
        <w:t xml:space="preserve"> </w:t>
      </w:r>
    </w:p>
    <w:tbl>
      <w:tblPr>
        <w:tblStyle w:val="affff6"/>
        <w:tblW w:w="14666" w:type="dxa"/>
        <w:jc w:val="left"/>
        <w:tblInd w:w="3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2"/>
        <w:gridCol w:w="3536"/>
        <w:gridCol w:w="3973"/>
        <w:gridCol w:w="2266"/>
        <w:gridCol w:w="2587"/>
        <w:gridCol w:w="1651"/>
      </w:tblGrid>
      <w:tr>
        <w:trPr/>
        <w:tc>
          <w:tcPr>
            <w:tcW w:w="652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3536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  <w:r>
              <w:rPr>
                <w:rStyle w:val="Style6"/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footnoteReference w:customMarkFollows="1" w:id="2"/>
              <w:t>*</w:t>
            </w:r>
          </w:p>
        </w:tc>
        <w:tc>
          <w:tcPr>
            <w:tcW w:w="3973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485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651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65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53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97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5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65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35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39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25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6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013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характеристикам, к конструкции изделия, материалам</w:t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0"/>
              <w:ind w:left="-117" w:firstLine="142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36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изготовлению железобетонных изделий</w:t>
            </w:r>
          </w:p>
        </w:tc>
        <w:tc>
          <w:tcPr>
            <w:tcW w:w="39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Изготовление продукции должно производиться в соответствии требованиями ГОСТ 13015-2012 «Изделия железобетонные и бетонные для строительства. Общие технические требования. Правила приёмки, маркировки, транспортирования и хранения»</w:t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6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0"/>
              <w:ind w:left="-117" w:firstLine="142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3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Продукцию следует изготавливать из тяжелого бетона (средней плотности 2200…2500 кг/м</w:t>
            </w:r>
            <w:r>
              <w:rPr>
                <w:rFonts w:eastAsia="Times New Roman" w:cs="Times New Roman"/>
                <w:kern w:val="0"/>
                <w:sz w:val="22"/>
                <w:szCs w:val="22"/>
                <w:vertAlign w:val="superscript"/>
                <w:lang w:val="ru-RU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), удовлетворяющего требованиям ГОСТ 26633-2015 «Бетоны тяжелые и мелкозернистые»</w:t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6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0"/>
              <w:ind w:left="-117" w:firstLine="142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3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заполнителям в соответствии с разделом 4.7 ГОСТа 26633 – 2015, максимальная крупность заполнителя – фракция не более</w:t>
            </w: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20 мм</w:t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6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3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trike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Класс бетона по прочности на сжатие для опор железобетонных СВ-95-3, СВ-95-3с, СВ-105-5, СВ-110-5, СВ-164-12 в соответствии с Техническими условиями (ТУ) </w:t>
            </w: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  <w:t xml:space="preserve">(Таблица 4 </w:t>
            </w:r>
            <w:r>
              <w:rPr>
                <w:rFonts w:eastAsia="Calibri" w:cs="Times New Roman"/>
                <w:b/>
                <w:i/>
                <w:kern w:val="0"/>
                <w:sz w:val="22"/>
                <w:szCs w:val="22"/>
                <w:lang w:val="ru-RU" w:eastAsia="en-US" w:bidi="ar-SA"/>
              </w:rPr>
              <w:t xml:space="preserve">Приложения № </w:t>
            </w:r>
            <w:r>
              <w:rPr>
                <w:rFonts w:eastAsia="Calibri" w:cs="Times New Roman"/>
                <w:b/>
                <w:i/>
                <w:kern w:val="0"/>
                <w:sz w:val="22"/>
                <w:szCs w:val="22"/>
                <w:lang w:val="ru-RU" w:eastAsia="en-US" w:bidi="ar-SA"/>
              </w:rPr>
              <w:t>1</w:t>
            </w:r>
            <w:r>
              <w:rPr>
                <w:rFonts w:eastAsia="Calibri" w:cs="Times New Roman"/>
                <w:b/>
                <w:i/>
                <w:kern w:val="0"/>
                <w:sz w:val="22"/>
                <w:szCs w:val="22"/>
                <w:lang w:val="ru-RU" w:eastAsia="en-US" w:bidi="ar-SA"/>
              </w:rPr>
              <w:t xml:space="preserve"> Технических требований</w:t>
            </w: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)</w:t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6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3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Независимо от расчетной температуры наружного воздуха бетон изделий должен иметь марку по морозостойкости не менее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F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200, марку по водонепроницаемости не менее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W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6 и изготавливаться из сульфатостойкого цемента или в отдельных случаях, когда содержание в грунтах сульфатов в пересчете на ионы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SO</w:t>
            </w:r>
            <w:r>
              <w:rPr>
                <w:rFonts w:eastAsia="Times New Roman" w:cs="Times New Roman"/>
                <w:kern w:val="0"/>
                <w:sz w:val="22"/>
                <w:szCs w:val="22"/>
                <w:vertAlign w:val="subscript"/>
                <w:lang w:val="ru-RU" w:eastAsia="ru-RU" w:bidi="ar-SA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:szCs w:val="22"/>
                <w:vertAlign w:val="superscript"/>
                <w:lang w:val="ru-RU" w:eastAsia="ru-RU" w:bidi="ar-SA"/>
              </w:rPr>
              <w:t>-2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до 3000 мг/л, допускается использовать портландцемент по ГОСТ 31108-2020 с содержанием в клинкере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C</w:t>
            </w:r>
            <w:r>
              <w:rPr>
                <w:rFonts w:eastAsia="Times New Roman" w:cs="Times New Roman"/>
                <w:kern w:val="0"/>
                <w:sz w:val="22"/>
                <w:szCs w:val="22"/>
                <w:vertAlign w:val="subscript"/>
                <w:lang w:val="ru-RU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S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не более 65%,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C</w:t>
            </w:r>
            <w:r>
              <w:rPr>
                <w:rFonts w:eastAsia="Times New Roman" w:cs="Times New Roman"/>
                <w:kern w:val="0"/>
                <w:sz w:val="22"/>
                <w:szCs w:val="22"/>
                <w:vertAlign w:val="subscript"/>
                <w:lang w:val="ru-RU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A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не более 7%,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C</w:t>
            </w:r>
            <w:r>
              <w:rPr>
                <w:rFonts w:eastAsia="Times New Roman" w:cs="Times New Roman"/>
                <w:kern w:val="0"/>
                <w:sz w:val="22"/>
                <w:szCs w:val="22"/>
                <w:vertAlign w:val="subscript"/>
                <w:lang w:val="ru-RU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AF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не более 22%</w:t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6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рабочей арматуре</w:t>
            </w:r>
          </w:p>
        </w:tc>
        <w:tc>
          <w:tcPr>
            <w:tcW w:w="39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8080" w:leader="none"/>
                <w:tab w:val="left" w:pos="284" w:leader="none"/>
              </w:tabs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качестве рабочей арматуры следует применять стержневую периодического профиля по ГОСТ 34028-2016 с учетом требований ГОСТ 5781-82 по классам арматуры: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8080" w:leader="none"/>
                <w:tab w:val="left" w:pos="284" w:leader="none"/>
              </w:tabs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класс А-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III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, обозначение по ГОСТ 34028-2016, как А400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8080" w:leader="none"/>
                <w:tab w:val="left" w:pos="284" w:leader="none"/>
              </w:tabs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класс А-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IV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, обозначение по ГОСТ 34028-2016, как А600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8080" w:leader="none"/>
                <w:tab w:val="left" w:pos="284" w:leader="none"/>
              </w:tabs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- класс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A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V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, обозначение по ГОСТ 34028-2016, как А800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класс А-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VI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, обозначение по ГОСТ 34028-2016, как А1000</w:t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6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41" w:hRule="atLeast"/>
        </w:trPr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013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маркировке</w:t>
            </w:r>
          </w:p>
        </w:tc>
      </w:tr>
      <w:tr>
        <w:trPr>
          <w:trHeight w:val="541" w:hRule="atLeast"/>
        </w:trPr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2.1.</w:t>
            </w:r>
          </w:p>
        </w:tc>
        <w:tc>
          <w:tcPr>
            <w:tcW w:w="35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Маркировка изделий</w:t>
            </w:r>
          </w:p>
        </w:tc>
        <w:tc>
          <w:tcPr>
            <w:tcW w:w="39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Продукция должна иметь маркировку в соответствии с ГОСТ 13015-2012.</w:t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6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541" w:hRule="atLeast"/>
        </w:trPr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013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</w:t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Срок гарантии на поставляемую </w:t>
            </w: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продукцию</w:t>
            </w:r>
          </w:p>
        </w:tc>
        <w:tc>
          <w:tcPr>
            <w:tcW w:w="39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  <w:t xml:space="preserve">не менее 3-х лет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 начинает истекать с даты подписания сторонами  накладной ТОРГ-12 или УПД.</w:t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651" w:type="dxa"/>
            <w:tcBorders/>
            <w:shd w:color="auto" w:fill="auto" w:val="clear"/>
          </w:tcPr>
          <w:p>
            <w:pPr>
              <w:pStyle w:val="Style4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4.</w:t>
            </w:r>
          </w:p>
        </w:tc>
        <w:tc>
          <w:tcPr>
            <w:tcW w:w="14013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Требование к доставке</w:t>
            </w:r>
          </w:p>
        </w:tc>
      </w:tr>
      <w:tr>
        <w:trPr>
          <w:trHeight w:val="646" w:hRule="atLeast"/>
        </w:trPr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right="-109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4.1.</w:t>
            </w:r>
          </w:p>
        </w:tc>
        <w:tc>
          <w:tcPr>
            <w:tcW w:w="35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</w:t>
            </w:r>
          </w:p>
        </w:tc>
        <w:tc>
          <w:tcPr>
            <w:tcW w:w="39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i/>
                <w:kern w:val="0"/>
                <w:sz w:val="22"/>
                <w:szCs w:val="22"/>
                <w:lang w:val="ru-RU" w:eastAsia="en-US" w:bidi="ar-SA"/>
              </w:rPr>
              <w:t xml:space="preserve">  </w:t>
            </w:r>
            <w:r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val="ru-RU" w:eastAsia="ru-RU" w:bidi="ar-SA"/>
              </w:rPr>
              <w:t xml:space="preserve">   </w:t>
            </w:r>
            <w:r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val="ru-RU" w:eastAsia="ru-RU" w:bidi="ar-SA"/>
              </w:rPr>
              <w:t xml:space="preserve">Для отгрузки железнодорожным транспортом :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A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val="ru-RU" w:eastAsia="ru-RU" w:bidi="ar-SA"/>
              </w:rPr>
              <w:t>Станция получения: Уссурийск ДВ.ЖД, код станции- 988306, Код предприятия- 2452, ОКПО- 78900638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A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A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val="ru-RU" w:eastAsia="ru-RU" w:bidi="ar-SA"/>
              </w:rPr>
              <w:t xml:space="preserve">            </w:t>
            </w:r>
            <w:r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val="ru-RU" w:eastAsia="ru-RU" w:bidi="ar-SA"/>
              </w:rPr>
              <w:t>Для отгрузки автомобильным транспортом: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A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kern w:val="0"/>
                <w:sz w:val="22"/>
                <w:szCs w:val="22"/>
                <w:lang w:val="ru-RU" w:eastAsia="ru-RU" w:bidi="ar-SA"/>
              </w:rPr>
              <w:t>692524, РФ, Приморский край, г. Уссурийск, ул. Резервная, 22А</w:t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6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0"/>
              <w:ind w:left="0" w:right="-109" w:hanging="0"/>
              <w:contextualSpacing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5.</w:t>
            </w:r>
          </w:p>
        </w:tc>
        <w:tc>
          <w:tcPr>
            <w:tcW w:w="14013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новизне поставляемой продукции</w:t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right="-109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5.1.</w:t>
            </w:r>
          </w:p>
        </w:tc>
        <w:tc>
          <w:tcPr>
            <w:tcW w:w="35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году выпуска</w:t>
            </w:r>
          </w:p>
        </w:tc>
        <w:tc>
          <w:tcPr>
            <w:tcW w:w="39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Продукция должна быть новой и ранее неиспользованной,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изготовлена в 2024-2026 гг.</w:t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6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right="-109" w:hanging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6.</w:t>
            </w:r>
          </w:p>
        </w:tc>
        <w:tc>
          <w:tcPr>
            <w:tcW w:w="14013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Требование о подтверждении соответствия техническим условиям</w:t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right="-109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6.1.</w:t>
            </w:r>
          </w:p>
        </w:tc>
        <w:tc>
          <w:tcPr>
            <w:tcW w:w="35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Опоры железобетонные СВ-95-3с, СВ-95-3, СВ-105-5, СВ-105-5 с отверстием в верхнем комеле, СВ-110-5, СВ-164-12 соответствуют техническим условиям</w:t>
            </w:r>
          </w:p>
        </w:tc>
        <w:tc>
          <w:tcPr>
            <w:tcW w:w="39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kern w:val="0"/>
                <w:sz w:val="22"/>
                <w:szCs w:val="22"/>
                <w:lang w:val="ru-RU" w:eastAsia="ru-RU" w:bidi="ar-SA"/>
              </w:rPr>
              <w:t xml:space="preserve">ТУ 5863-007-96502166-2016 </w:t>
            </w: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  <w:t>(</w:t>
            </w:r>
            <w:r>
              <w:rPr>
                <w:rFonts w:eastAsia="Calibri" w:cs="Times New Roman"/>
                <w:b/>
                <w:i/>
                <w:kern w:val="0"/>
                <w:sz w:val="22"/>
                <w:szCs w:val="22"/>
                <w:lang w:val="ru-RU" w:eastAsia="en-US" w:bidi="ar-SA"/>
              </w:rPr>
              <w:t xml:space="preserve">Приложение № </w:t>
            </w:r>
            <w:r>
              <w:rPr>
                <w:rFonts w:eastAsia="Calibri" w:cs="Times New Roman"/>
                <w:b/>
                <w:i/>
                <w:kern w:val="0"/>
                <w:sz w:val="22"/>
                <w:szCs w:val="22"/>
                <w:lang w:val="ru-RU" w:eastAsia="en-US" w:bidi="ar-SA"/>
              </w:rPr>
              <w:t>1</w:t>
            </w:r>
            <w:r>
              <w:rPr>
                <w:rFonts w:eastAsia="Calibri" w:cs="Times New Roman"/>
                <w:b/>
                <w:i/>
                <w:kern w:val="0"/>
                <w:sz w:val="22"/>
                <w:szCs w:val="22"/>
                <w:lang w:val="ru-RU" w:eastAsia="en-US" w:bidi="ar-SA"/>
              </w:rPr>
              <w:t xml:space="preserve"> к Техническим требованиям)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color w:val="808080" w:themeColor="background1" w:themeShade="80"/>
                <w:kern w:val="0"/>
                <w:sz w:val="22"/>
                <w:szCs w:val="22"/>
                <w:lang w:val="ru-RU" w:eastAsia="ru-RU" w:bidi="ar-SA"/>
              </w:rPr>
              <w:t xml:space="preserve">На предлагаемую продукцию Участник должен представить в составе заявки документ (любой из документов: паспорт на ранее произведенную продукцию, сертификат / декларацию с указанием на соответствие ТУ, письмо производителя о соответствии выпускаемой продукции ТУ или др. юридически значимый документ)  подтверждающий соответствие закупаемой продукции ТУ </w:t>
            </w:r>
            <w:r>
              <w:rPr>
                <w:rFonts w:eastAsia="Times New Roman" w:cs="Times New Roman"/>
                <w:b/>
                <w:bCs/>
                <w:i/>
                <w:iCs/>
                <w:color w:val="A6A6A6" w:themeColor="background1" w:themeShade="a6"/>
                <w:kern w:val="0"/>
                <w:sz w:val="22"/>
                <w:szCs w:val="22"/>
                <w:lang w:val="ru-RU" w:eastAsia="ru-RU" w:bidi="ar-SA"/>
              </w:rPr>
              <w:t>5863-007-96502166-2016</w:t>
            </w:r>
          </w:p>
        </w:tc>
        <w:tc>
          <w:tcPr>
            <w:tcW w:w="16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Участник должен представить в составе заявки подробное предложение по форме, заполненной в части столбца 6 «Предложение участника по характеристикам и параметрам», Таблицы 3 настоящих Технических требований, без корректировки уже имеющейся в таблице информации и требований.</w:t>
      </w:r>
    </w:p>
    <w:p>
      <w:pPr>
        <w:pStyle w:val="Normal"/>
        <w:tabs>
          <w:tab w:val="clear" w:pos="708"/>
          <w:tab w:val="left" w:pos="2475" w:leader="none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2174" w:leader="none"/>
        </w:tabs>
        <w:rPr/>
      </w:pPr>
      <w:r>
        <w:rPr/>
      </w:r>
    </w:p>
    <w:p>
      <w:pPr>
        <w:sectPr>
          <w:headerReference w:type="default" r:id="rId2"/>
          <w:headerReference w:type="first" r:id="rId3"/>
          <w:footnotePr>
            <w:numFmt w:val="decimal"/>
          </w:footnotePr>
          <w:type w:val="nextPage"/>
          <w:pgSz w:orient="landscape" w:w="16838" w:h="11906"/>
          <w:pgMar w:left="1418" w:right="1103" w:gutter="0" w:header="680" w:top="1134" w:footer="0" w:bottom="567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tabs>
          <w:tab w:val="clear" w:pos="708"/>
          <w:tab w:val="left" w:pos="2174" w:leader="none"/>
        </w:tabs>
        <w:rPr/>
      </w:pPr>
      <w:r>
        <w:rPr/>
        <w:tab/>
      </w:r>
    </w:p>
    <w:p>
      <w:pPr>
        <w:pStyle w:val="1"/>
        <w:numPr>
          <w:ilvl w:val="0"/>
          <w:numId w:val="1"/>
        </w:numPr>
        <w:tabs>
          <w:tab w:val="clear" w:pos="708"/>
          <w:tab w:val="left" w:pos="1134" w:leader="none"/>
        </w:tabs>
        <w:spacing w:before="0" w:after="0"/>
        <w:ind w:left="0" w:firstLine="567"/>
        <w:rPr>
          <w:sz w:val="22"/>
          <w:szCs w:val="22"/>
          <w:lang w:val="ru-RU"/>
        </w:rPr>
      </w:pPr>
      <w:bookmarkStart w:id="20" w:name="_Toc75446583"/>
      <w:bookmarkStart w:id="21" w:name="_Toc53393312"/>
      <w:bookmarkStart w:id="22" w:name="_GoBack"/>
      <w:bookmarkEnd w:id="22"/>
      <w:r>
        <w:rPr>
          <w:sz w:val="22"/>
          <w:szCs w:val="22"/>
          <w:lang w:val="ru-RU"/>
        </w:rPr>
        <w:t>Требования к документации по ценообразованию</w:t>
      </w:r>
      <w:bookmarkEnd w:id="20"/>
      <w:bookmarkEnd w:id="21"/>
      <w:r>
        <w:rPr>
          <w:sz w:val="22"/>
          <w:szCs w:val="22"/>
          <w:lang w:val="ru-RU"/>
        </w:rPr>
        <w:t xml:space="preserve"> на этапе закупки</w:t>
      </w:r>
    </w:p>
    <w:p>
      <w:pPr>
        <w:pStyle w:val="Normal"/>
        <w:tabs>
          <w:tab w:val="clear" w:pos="708"/>
          <w:tab w:val="left" w:pos="1134" w:leader="none"/>
        </w:tabs>
        <w:ind w:right="593" w:firstLine="567"/>
        <w:jc w:val="both"/>
        <w:rPr>
          <w:bCs/>
          <w:iCs/>
          <w:sz w:val="22"/>
          <w:szCs w:val="22"/>
          <w:lang w:eastAsia="x-none"/>
        </w:rPr>
      </w:pPr>
      <w:r>
        <w:rPr>
          <w:bCs/>
          <w:iCs/>
          <w:sz w:val="22"/>
          <w:szCs w:val="22"/>
          <w:lang w:eastAsia="x-none"/>
        </w:rPr>
        <w:t>2.1.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ind w:right="593" w:firstLine="567"/>
        <w:jc w:val="both"/>
        <w:rPr>
          <w:sz w:val="22"/>
          <w:szCs w:val="22"/>
        </w:rPr>
      </w:pPr>
      <w:r>
        <w:rPr>
          <w:bCs/>
          <w:iCs/>
          <w:sz w:val="22"/>
          <w:szCs w:val="22"/>
          <w:lang w:eastAsia="x-none"/>
        </w:rPr>
        <w:t>2</w:t>
      </w:r>
      <w:bookmarkStart w:id="23" w:name="_Toc46743519"/>
      <w:bookmarkStart w:id="24" w:name="_Toc51339699"/>
      <w:r>
        <w:rPr>
          <w:bCs/>
          <w:iCs/>
          <w:sz w:val="22"/>
          <w:szCs w:val="22"/>
          <w:lang w:eastAsia="x-none"/>
        </w:rPr>
        <w:t>.2.</w:t>
      </w:r>
      <w:bookmarkEnd w:id="23"/>
      <w:bookmarkEnd w:id="24"/>
      <w:r>
        <w:rPr>
          <w:sz w:val="22"/>
          <w:szCs w:val="22"/>
        </w:rPr>
        <w:t xml:space="preserve"> Все цены в предложении должны включать все налоги, транспортные расходы и другие обязательные платежи, стоимость всех сопутствующих работ (услуг), а также все скидки, предлагаемые участником.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/>
          <w:sz w:val="22"/>
          <w:szCs w:val="22"/>
          <w:lang w:val="x-none" w:eastAsia="x-none"/>
        </w:rPr>
      </w:pPr>
      <w:r>
        <w:rPr>
          <w:b/>
          <w:sz w:val="22"/>
          <w:szCs w:val="22"/>
          <w:lang w:val="x-none" w:eastAsia="x-none"/>
        </w:rPr>
      </w:r>
    </w:p>
    <w:p>
      <w:pPr>
        <w:pStyle w:val="Normal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Приложение № </w:t>
      </w:r>
      <w:r>
        <w:rPr>
          <w:b/>
          <w:i/>
          <w:sz w:val="22"/>
          <w:szCs w:val="22"/>
        </w:rPr>
        <w:t>1</w:t>
      </w:r>
      <w:r>
        <w:rPr>
          <w:b/>
          <w:i/>
          <w:sz w:val="22"/>
          <w:szCs w:val="22"/>
        </w:rPr>
        <w:t xml:space="preserve"> – </w:t>
      </w:r>
      <w:r>
        <w:rPr>
          <w:b/>
          <w:bCs/>
          <w:i/>
          <w:iCs/>
          <w:sz w:val="22"/>
          <w:szCs w:val="22"/>
        </w:rPr>
        <w:t>Технические условия ТУ 5863-007-96502166-2016</w:t>
      </w:r>
    </w:p>
    <w:p>
      <w:pPr>
        <w:pStyle w:val="Normal"/>
        <w:rPr>
          <w:b/>
          <w:bCs/>
          <w:i/>
          <w:i/>
          <w:iCs/>
          <w:sz w:val="22"/>
          <w:szCs w:val="22"/>
        </w:rPr>
      </w:pPr>
      <w:r>
        <w:rPr/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spacing w:before="60" w:after="0"/>
        <w:contextualSpacing/>
        <w:jc w:val="both"/>
        <w:rPr>
          <w:rStyle w:val="Style14"/>
          <w:bCs/>
          <w:i w:val="false"/>
          <w:i w:val="false"/>
          <w:iCs/>
          <w:sz w:val="22"/>
          <w:szCs w:val="22"/>
        </w:rPr>
      </w:pPr>
      <w:r>
        <w:rPr>
          <w:bCs/>
          <w:i w:val="false"/>
          <w:iCs/>
          <w:sz w:val="22"/>
          <w:szCs w:val="22"/>
        </w:rPr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spacing w:before="60" w:after="0"/>
        <w:contextualSpacing/>
        <w:jc w:val="both"/>
        <w:rPr/>
      </w:pPr>
      <w:r>
        <w:rPr/>
      </w:r>
    </w:p>
    <w:sectPr>
      <w:headerReference w:type="default" r:id="rId4"/>
      <w:headerReference w:type="first" r:id="rId5"/>
      <w:footnotePr>
        <w:numFmt w:val="decimal"/>
      </w:footnotePr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Arial Unicode MS">
    <w:charset w:val="cc"/>
    <w:family w:val="roman"/>
    <w:pitch w:val="variable"/>
  </w:font>
  <w:font w:name="Verdana">
    <w:charset w:val="cc"/>
    <w:family w:val="roman"/>
    <w:pitch w:val="variable"/>
  </w:font>
  <w:font w:name="Garamond">
    <w:charset w:val="cc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33"/>
        <w:widowControl w:val="false"/>
        <w:jc w:val="both"/>
        <w:rPr>
          <w:iCs/>
          <w:color w:val="auto"/>
        </w:rPr>
      </w:pPr>
      <w:r>
        <w:rPr>
          <w:rStyle w:val="Style5"/>
        </w:rPr>
        <w:t>*</w:t>
      </w:r>
      <w:r>
        <w:rPr>
          <w:rStyle w:val="Style5"/>
        </w:rPr>
        <w:t>*</w:t>
      </w:r>
      <w:bookmarkStart w:id="25" w:name="_Hlk68806928"/>
      <w:r>
        <w:rPr>
          <w:iCs/>
          <w:color w:val="auto"/>
        </w:rPr>
        <w:t xml:space="preserve">Указанные в настоящем техническом требовании ссылки на марку (тип) продукции носят описательный, а не обязательный характер. </w:t>
      </w:r>
      <w:bookmarkEnd w:id="25"/>
      <w:r>
        <w:rPr>
          <w:iCs/>
          <w:color w:val="auto"/>
        </w:rPr>
        <w:t>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эквивалента.</w:t>
      </w:r>
    </w:p>
    <w:p>
      <w:pPr>
        <w:pStyle w:val="Style33"/>
        <w:widowControl w:val="false"/>
        <w:jc w:val="both"/>
        <w:rPr>
          <w:iCs/>
          <w:color w:val="auto"/>
        </w:rPr>
      </w:pPr>
      <w:r>
        <w:rPr>
          <w:bCs/>
          <w:iCs/>
          <w:color w:val="auto"/>
        </w:rPr>
        <w:t>Параметрами эквивалентности являются технические характеристики продукции, указанные в Таблице № 3 настоящих технических требований.</w:t>
      </w:r>
    </w:p>
    <w:p>
      <w:pPr>
        <w:pStyle w:val="Style33"/>
        <w:widowControl w:val="false"/>
        <w:jc w:val="both"/>
        <w:rPr>
          <w:iCs/>
          <w:color w:val="auto"/>
        </w:rPr>
      </w:pPr>
      <w:r>
        <w:rPr>
          <w:iCs/>
          <w:color w:val="auto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p>
      <w:pPr>
        <w:pStyle w:val="Style33"/>
        <w:widowControl w:val="false"/>
        <w:jc w:val="both"/>
        <w:rPr/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5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5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5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5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/>
        <w:effect w:val="none"/>
        <w:szCs w:val="22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2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b/>
        <w:szCs w:val="22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sz w:val="22"/>
        <w:b w:val="false"/>
        <w:szCs w:val="22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4"/>
  <w:revisionView w:insDel="0" w:formatting="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8"/>
      <w:szCs w:val="28"/>
      <w:lang w:val="ru-RU" w:eastAsia="ru-RU" w:bidi="ar-SA"/>
    </w:rPr>
  </w:style>
  <w:style w:type="paragraph" w:styleId="1">
    <w:name w:val="Heading 1"/>
    <w:basedOn w:val="3"/>
    <w:next w:val="Normal"/>
    <w:qFormat/>
    <w:rsid w:val="00353a27"/>
    <w:pPr>
      <w:outlineLvl w:val="0"/>
    </w:pPr>
    <w:rPr>
      <w:sz w:val="28"/>
      <w:szCs w:val="28"/>
    </w:rPr>
  </w:style>
  <w:style w:type="paragraph" w:styleId="2">
    <w:name w:val="Heading 2"/>
    <w:basedOn w:val="4"/>
    <w:next w:val="Normal"/>
    <w:qFormat/>
    <w:rsid w:val="00ea61a8"/>
    <w:pPr>
      <w:outlineLvl w:val="1"/>
    </w:pPr>
    <w:rPr/>
  </w:style>
  <w:style w:type="paragraph" w:styleId="3">
    <w:name w:val="Heading 3"/>
    <w:basedOn w:val="Normal"/>
    <w:next w:val="Normal"/>
    <w:autoRedefine/>
    <w:qFormat/>
    <w:rsid w:val="00035e96"/>
    <w:pPr>
      <w:keepNext w:val="true"/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Normal"/>
    <w:qFormat/>
    <w:rsid w:val="006629c9"/>
    <w:pPr>
      <w:outlineLvl w:val="3"/>
    </w:pPr>
    <w:rPr>
      <w:bCs/>
    </w:rPr>
  </w:style>
  <w:style w:type="paragraph" w:styleId="5">
    <w:name w:val="Heading 5"/>
    <w:basedOn w:val="Normal"/>
    <w:next w:val="Normal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Normal"/>
    <w:next w:val="Normal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Normal"/>
    <w:next w:val="Normal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Normal"/>
    <w:next w:val="Normal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Normal"/>
    <w:next w:val="Normal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Текст сноски Знак1"/>
    <w:qFormat/>
    <w:rsid w:val="00d561d9"/>
    <w:rPr>
      <w:vertAlign w:val="superscript"/>
    </w:rPr>
  </w:style>
  <w:style w:type="character" w:styleId="Style5" w:customStyle="1">
    <w:name w:val="Символ сноски"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-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1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1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1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2" w:customStyle="1">
    <w:name w:val="Заголовок 1 Знак"/>
    <w:link w:val="Style38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1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1" w:customStyle="1">
    <w:name w:val="Заголовок 3 Знак"/>
    <w:link w:val="38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1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1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1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7" w:customStyle="1">
    <w:name w:val="Название Знак"/>
    <w:link w:val="17"/>
    <w:uiPriority w:val="10"/>
    <w:qFormat/>
    <w:rsid w:val="00d22f6d"/>
    <w:rPr>
      <w:sz w:val="28"/>
    </w:rPr>
  </w:style>
  <w:style w:type="character" w:styleId="Style8" w:customStyle="1">
    <w:name w:val="Подзаголовок Знак"/>
    <w:link w:val="Style49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Style9">
    <w:name w:val="Emphasis"/>
    <w:uiPriority w:val="20"/>
    <w:qFormat/>
    <w:rsid w:val="00d22f6d"/>
    <w:rPr>
      <w:i/>
      <w:iCs/>
    </w:rPr>
  </w:style>
  <w:style w:type="character" w:styleId="22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10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11" w:customStyle="1">
    <w:name w:val="Электронная подпись Знак"/>
    <w:link w:val="EndnoteSymbol"/>
    <w:uiPriority w:val="99"/>
    <w:qFormat/>
    <w:rsid w:val="00d22f6d"/>
    <w:rPr>
      <w:rFonts w:eastAsia="Calibri"/>
      <w:sz w:val="24"/>
      <w:szCs w:val="24"/>
    </w:rPr>
  </w:style>
  <w:style w:type="character" w:styleId="13" w:customStyle="1">
    <w:name w:val="Подпункт Знак1"/>
    <w:link w:val="113"/>
    <w:qFormat/>
    <w:locked/>
    <w:rsid w:val="00d22f6d"/>
    <w:rPr>
      <w:sz w:val="28"/>
    </w:rPr>
  </w:style>
  <w:style w:type="character" w:styleId="Style12" w:customStyle="1">
    <w:name w:val="Текст сноски Знак"/>
    <w:uiPriority w:val="99"/>
    <w:qFormat/>
    <w:rsid w:val="00d22f6d"/>
    <w:rPr/>
  </w:style>
  <w:style w:type="character" w:styleId="14" w:customStyle="1">
    <w:name w:val="Основной текст с отступом Знак1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13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14" w:customStyle="1">
    <w:name w:val="комментарий"/>
    <w:qFormat/>
    <w:rsid w:val="0025139e"/>
    <w:rPr>
      <w:i/>
      <w:shd w:fill="FFFF99" w:val="clear"/>
    </w:rPr>
  </w:style>
  <w:style w:type="character" w:styleId="Style15" w:customStyle="1">
    <w:name w:val="Указатель Знак"/>
    <w:link w:val="Indexheading11"/>
    <w:qFormat/>
    <w:locked/>
    <w:rsid w:val="0025139e"/>
    <w:rPr>
      <w:sz w:val="26"/>
      <w:szCs w:val="26"/>
    </w:rPr>
  </w:style>
  <w:style w:type="character" w:styleId="32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6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7" w:customStyle="1">
    <w:name w:val="Текст примечания Знак"/>
    <w:link w:val="Annotationtext"/>
    <w:semiHidden/>
    <w:qFormat/>
    <w:rsid w:val="00dc0f7d"/>
    <w:rPr/>
  </w:style>
  <w:style w:type="character" w:styleId="Style18" w:customStyle="1">
    <w:name w:val="Текст концевой сноски Знак"/>
    <w:basedOn w:val="DefaultParagraphFont"/>
    <w:qFormat/>
    <w:rsid w:val="003879d4"/>
    <w:rPr/>
  </w:style>
  <w:style w:type="character" w:styleId="Style19" w:customStyle="1">
    <w:name w:val="Символ концевой сноски"/>
    <w:qFormat/>
    <w:rsid w:val="003879d4"/>
    <w:rPr>
      <w:vertAlign w:val="superscript"/>
    </w:rPr>
  </w:style>
  <w:style w:type="character" w:styleId="Style20">
    <w:name w:val="Endnote Reference"/>
    <w:rPr>
      <w:vertAlign w:val="superscript"/>
    </w:rPr>
  </w:style>
  <w:style w:type="character" w:styleId="23" w:customStyle="1">
    <w:name w:val="Пункт2 Знак"/>
    <w:link w:val="24"/>
    <w:qFormat/>
    <w:rsid w:val="00de52bc"/>
    <w:rPr>
      <w:b/>
      <w:sz w:val="28"/>
    </w:rPr>
  </w:style>
  <w:style w:type="character" w:styleId="15" w:customStyle="1">
    <w:name w:val="УРОВЕНЬ_1. Знак"/>
    <w:link w:val="111"/>
    <w:qFormat/>
    <w:rsid w:val="004a17ae"/>
    <w:rPr>
      <w:rFonts w:eastAsia="Calibri"/>
      <w:caps/>
      <w:sz w:val="28"/>
      <w:szCs w:val="28"/>
      <w:lang w:eastAsia="en-US"/>
    </w:rPr>
  </w:style>
  <w:style w:type="character" w:styleId="16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3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Markedcontent" w:customStyle="1">
    <w:name w:val="markedcontent"/>
    <w:basedOn w:val="DefaultParagraphFont"/>
    <w:qFormat/>
    <w:rsid w:val="00a33766"/>
    <w:rPr/>
  </w:style>
  <w:style w:type="character" w:styleId="Style21" w:customStyle="1">
    <w:name w:val="Основной текст с отступом Знак"/>
    <w:basedOn w:val="DefaultParagraphFont"/>
    <w:qFormat/>
    <w:rsid w:val="00730aab"/>
    <w:rPr>
      <w:sz w:val="24"/>
      <w:szCs w:val="24"/>
    </w:rPr>
  </w:style>
  <w:style w:type="character" w:styleId="Style22" w:customStyle="1">
    <w:name w:val="Символы концевой сноски"/>
    <w:qFormat/>
    <w:rPr/>
  </w:style>
  <w:style w:type="character" w:styleId="Style23">
    <w:name w:val="Line Number"/>
    <w:rPr/>
  </w:style>
  <w:style w:type="paragraph" w:styleId="Style24">
    <w:name w:val="Заголовок"/>
    <w:basedOn w:val="Normal"/>
    <w:next w:val="Style25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25">
    <w:name w:val="Body Text"/>
    <w:basedOn w:val="Normal"/>
    <w:rsid w:val="0076353a"/>
    <w:pPr>
      <w:spacing w:before="0" w:after="120"/>
    </w:pPr>
    <w:rPr/>
  </w:style>
  <w:style w:type="paragraph" w:styleId="Style26">
    <w:name w:val="List"/>
    <w:basedOn w:val="Style25"/>
    <w:pPr/>
    <w:rPr>
      <w:rFonts w:cs="Lohit Devanagari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Lohit Devanagari"/>
    </w:rPr>
  </w:style>
  <w:style w:type="paragraph" w:styleId="Style29">
    <w:name w:val="Title"/>
    <w:basedOn w:val="Normal"/>
    <w:next w:val="Style25"/>
    <w:qFormat/>
    <w:pPr>
      <w:keepNext w:val="true"/>
      <w:spacing w:before="240" w:after="120"/>
    </w:pPr>
    <w:rPr>
      <w:rFonts w:ascii="Liberation Sans" w:hAnsi="Liberation Sans" w:eastAsia="WenQuanYi Zen Hei Sharp"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">
    <w:name w:val="index heading1"/>
    <w:basedOn w:val="Style29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" w:customStyle="1">
    <w:name w:val="index heading11"/>
    <w:basedOn w:val="Style29"/>
    <w:link w:val="Style15"/>
    <w:qFormat/>
    <w:pPr/>
    <w:rPr/>
  </w:style>
  <w:style w:type="paragraph" w:styleId="Style30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31" w:customStyle="1">
    <w:name w:val="Раздел положения"/>
    <w:basedOn w:val="Normal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styleId="Style32" w:customStyle="1">
    <w:name w:val="Подраздел раздела положения"/>
    <w:basedOn w:val="Normal"/>
    <w:autoRedefine/>
    <w:qFormat/>
    <w:rsid w:val="007475ee"/>
    <w:pPr>
      <w:spacing w:before="80" w:after="80"/>
      <w:jc w:val="both"/>
    </w:pPr>
    <w:rPr/>
  </w:style>
  <w:style w:type="paragraph" w:styleId="Style33">
    <w:name w:val="Footnote Text"/>
    <w:basedOn w:val="Normal"/>
    <w:link w:val="11"/>
    <w:rsid w:val="00d561d9"/>
    <w:pPr/>
    <w:rPr>
      <w:sz w:val="20"/>
      <w:szCs w:val="20"/>
    </w:rPr>
  </w:style>
  <w:style w:type="paragraph" w:styleId="17" w:customStyle="1">
    <w:name w:val="Шапка 1"/>
    <w:basedOn w:val="Normal"/>
    <w:link w:val="Style7"/>
    <w:qFormat/>
    <w:rsid w:val="00d561d9"/>
    <w:pPr>
      <w:pBdr>
        <w:bottom w:val="thickThinSmallGap" w:sz="24" w:space="1" w:color="000001"/>
      </w:pBdr>
      <w:spacing w:before="0" w:after="240"/>
      <w:jc w:val="center"/>
    </w:pPr>
    <w:rPr>
      <w:sz w:val="22"/>
      <w:szCs w:val="22"/>
    </w:rPr>
  </w:style>
  <w:style w:type="paragraph" w:styleId="24" w:customStyle="1">
    <w:name w:val="Шапка 2"/>
    <w:basedOn w:val="Normal"/>
    <w:link w:val="23"/>
    <w:qFormat/>
    <w:rsid w:val="00d561d9"/>
    <w:pPr>
      <w:pBdr>
        <w:bottom w:val="thickThinSmallGap" w:sz="24" w:space="1" w:color="000001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rsid w:val="00d561d9"/>
    <w:pPr>
      <w:pBdr>
        <w:bottom w:val="thickThinSmallGap" w:sz="24" w:space="1" w:color="000001"/>
      </w:pBdr>
      <w:spacing w:before="240" w:after="360"/>
      <w:jc w:val="center"/>
    </w:pPr>
    <w:rPr>
      <w:b/>
      <w:sz w:val="24"/>
      <w:szCs w:val="24"/>
    </w:rPr>
  </w:style>
  <w:style w:type="paragraph" w:styleId="18" w:customStyle="1">
    <w:name w:val="Название1"/>
    <w:basedOn w:val="Normal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34" w:customStyle="1">
    <w:name w:val="Колонтитул"/>
    <w:basedOn w:val="Normal"/>
    <w:qFormat/>
    <w:pPr/>
    <w:rPr/>
  </w:style>
  <w:style w:type="paragraph" w:styleId="Style35">
    <w:name w:val="Head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Style36">
    <w:name w:val="Body Text Indent"/>
    <w:basedOn w:val="Normal"/>
    <w:link w:val="14"/>
    <w:rsid w:val="0076353a"/>
    <w:pPr>
      <w:ind w:left="360" w:hanging="0"/>
    </w:pPr>
    <w:rPr>
      <w:sz w:val="24"/>
      <w:szCs w:val="24"/>
    </w:rPr>
  </w:style>
  <w:style w:type="paragraph" w:styleId="Style37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3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38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5" w:customStyle="1">
    <w:name w:val="Пункт2"/>
    <w:basedOn w:val="Normal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19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35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39" w:customStyle="1">
    <w:name w:val="Раздел регламента"/>
    <w:basedOn w:val="Normal"/>
    <w:qFormat/>
    <w:rsid w:val="00e228fa"/>
    <w:pPr/>
    <w:rPr/>
  </w:style>
  <w:style w:type="paragraph" w:styleId="Style40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26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7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semiHidden/>
    <w:qFormat/>
    <w:rsid w:val="00b714b0"/>
    <w:pPr/>
    <w:rPr>
      <w:b/>
      <w:bCs/>
    </w:rPr>
  </w:style>
  <w:style w:type="paragraph" w:styleId="110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92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52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42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7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41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tyle42">
    <w:name w:val="Subtitle"/>
    <w:basedOn w:val="Normal"/>
    <w:next w:val="Normal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13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2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Style43">
    <w:name w:val="Index Heading"/>
    <w:basedOn w:val="Style24"/>
    <w:pPr/>
    <w:rPr/>
  </w:style>
  <w:style w:type="paragraph" w:styleId="Style44">
    <w:name w:val="TOC Heading"/>
    <w:basedOn w:val="1"/>
    <w:next w:val="Normal"/>
    <w:uiPriority w:val="39"/>
    <w:qFormat/>
    <w:rsid w:val="00d22f6d"/>
    <w:pPr>
      <w:keepLines/>
      <w:spacing w:before="480" w:after="60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4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6" w:customStyle="1">
    <w:name w:val="Нумерованный список ур3"/>
    <w:basedOn w:val="Normal"/>
    <w:link w:val="32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styleId="411" w:customStyle="1">
    <w:name w:val="Маркированный список 41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ru-RU" w:bidi="ar-SA"/>
    </w:rPr>
  </w:style>
  <w:style w:type="paragraph" w:styleId="37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4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11" w:customStyle="1">
    <w:name w:val="Абзац списка1"/>
    <w:basedOn w:val="Normal"/>
    <w:link w:val="15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4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4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49" w:customStyle="1">
    <w:name w:val="Подподпункт"/>
    <w:basedOn w:val="Style38"/>
    <w:link w:val="Style8"/>
    <w:qFormat/>
    <w:rsid w:val="0025139e"/>
    <w:pPr>
      <w:tabs>
        <w:tab w:val="left" w:pos="1134" w:leader="none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50" w:customStyle="1">
    <w:name w:val="УРОВЕНЬ_(а)"/>
    <w:basedOn w:val="ListParagraph"/>
    <w:qFormat/>
    <w:rsid w:val="00b56f46"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-1" w:customStyle="1">
    <w:name w:val="УРОВЕНЬ_-"/>
    <w:basedOn w:val="ListParagraph"/>
    <w:qFormat/>
    <w:rsid w:val="00b56f46"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8" w:customStyle="1">
    <w:name w:val="УРОВЕНЬ_Абзац_тип3"/>
    <w:basedOn w:val="ListParagraph"/>
    <w:link w:val="31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51" w:customStyle="1">
    <w:name w:val="УРОВЕНЬ_Подпись"/>
    <w:basedOn w:val="ListParagraph"/>
    <w:qFormat/>
    <w:rsid w:val="00b56f46"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12" w:customStyle="1">
    <w:name w:val="Стиль Заголовок 1 + по ширине"/>
    <w:basedOn w:val="1"/>
    <w:qFormat/>
    <w:rsid w:val="005773b2"/>
    <w:pPr>
      <w:keepLines/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  <w:lang w:val="ru-RU" w:eastAsia="ru-RU"/>
    </w:rPr>
  </w:style>
  <w:style w:type="paragraph" w:styleId="EndnoteSymbol" w:customStyle="1">
    <w:name w:val="Endnote Symbol"/>
    <w:basedOn w:val="Normal"/>
    <w:link w:val="Style11"/>
    <w:qFormat/>
    <w:rsid w:val="003879d4"/>
    <w:pPr/>
    <w:rPr>
      <w:sz w:val="20"/>
      <w:szCs w:val="20"/>
    </w:rPr>
  </w:style>
  <w:style w:type="paragraph" w:styleId="210" w:customStyle="1">
    <w:name w:val="Заголовок 2 КВВ"/>
    <w:basedOn w:val="Normal"/>
    <w:qFormat/>
    <w:rsid w:val="00cb35e8"/>
    <w:pPr>
      <w:keepNext w:val="true"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styleId="Style5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3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62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72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82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53" w:customStyle="1">
    <w:name w:val="Содержимое врезки"/>
    <w:basedOn w:val="Normal"/>
    <w:qFormat/>
    <w:pPr/>
    <w:rPr/>
  </w:style>
  <w:style w:type="paragraph" w:styleId="Style5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55" w:customStyle="1">
    <w:name w:val="Заголовок таблицы"/>
    <w:basedOn w:val="Style5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4" w:customStyle="1">
    <w:name w:val="Стиль1"/>
    <w:uiPriority w:val="99"/>
    <w:qFormat/>
    <w:rsid w:val="00f001e4"/>
  </w:style>
  <w:style w:type="numbering" w:styleId="211" w:customStyle="1">
    <w:name w:val="Стиль2"/>
    <w:uiPriority w:val="99"/>
    <w:qFormat/>
    <w:rsid w:val="006629c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6">
    <w:name w:val="Table Grid"/>
    <w:basedOn w:val="a1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e">
    <w:name w:val="Сетка таблицы1"/>
    <w:basedOn w:val="a1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05D65-3E05-4591-B7C8-BF5CAEC09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Application>LibreOffice/7.5.5.2$Windows_X86_64 LibreOffice_project/ca8fe7424262805f223b9a2334bc7181abbcbf5e</Application>
  <AppVersion>15.0000</AppVersion>
  <Pages>7</Pages>
  <Words>865</Words>
  <Characters>5782</Characters>
  <CharactersWithSpaces>6532</CharactersWithSpaces>
  <Paragraphs>142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2025-08-07T08:55:00Z</dcterms:created>
  <dc:creator>Быстров Олег Геннадьевич</dc:creator>
  <dc:description/>
  <dc:language>ru-RU</dc:language>
  <cp:lastModifiedBy/>
  <cp:lastPrinted>2006-07-26T14:04:00Z</cp:lastPrinted>
  <dcterms:modified xsi:type="dcterms:W3CDTF">2026-07-10T08:09:28Z</dcterms:modified>
  <cp:revision>10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