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технико-коммерческих предложений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упрощенной закупки по лоту № 41077794-ЭКСП ПРОД-2026-БурГЭС - ОКПД2 24.10.1 Поставка черного и нержавеющего проката для нужд филиала ПАО «РусГидро» - «Бурейская ГЭС»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рамках упрощенной закупки на право заключения договора по </w:t>
      </w:r>
      <w:r>
        <w:rPr>
          <w:bCs/>
          <w:sz w:val="24"/>
          <w:szCs w:val="24"/>
        </w:rPr>
        <w:t xml:space="preserve">лоту № </w:t>
      </w:r>
      <w:r>
        <w:rPr>
          <w:bCs/>
          <w:sz w:val="24"/>
          <w:szCs w:val="24"/>
        </w:rPr>
        <w:t>4</w:t>
      </w:r>
      <w:r>
        <w:rPr>
          <w:bCs/>
          <w:sz w:val="26"/>
          <w:szCs w:val="26"/>
        </w:rPr>
        <w:t>1077794-ЭКСП ПРОД-2026-БурГЭС - ОКПД2 24.10.1 Поставка черного и нержавеющего проката для нужд филиала ПАО «РусГидро»- «Бурейская ГЭС».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</w:t>
      </w:r>
      <w:r>
        <w:rPr>
          <w:sz w:val="24"/>
          <w:szCs w:val="24"/>
        </w:rPr>
        <w:t>09</w:t>
      </w:r>
      <w:r>
        <w:rPr>
          <w:sz w:val="24"/>
          <w:szCs w:val="24"/>
        </w:rPr>
        <w:t xml:space="preserve">:00 (МСК) </w:t>
      </w:r>
      <w:r>
        <w:rPr>
          <w:sz w:val="24"/>
          <w:szCs w:val="24"/>
        </w:rPr>
        <w:t>31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>
        <w:rPr>
          <w:sz w:val="24"/>
          <w:szCs w:val="24"/>
        </w:rPr>
        <w:t>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AlterOffice/3.4.0.9$Linux_X86_64 LibreOffice_project/b8daf9e823b1a5463a2f48435ddc2e8696e7d4fc</Application>
  <AppVersion>15.0000</AppVersion>
  <Pages>2</Pages>
  <Words>492</Words>
  <Characters>3442</Characters>
  <CharactersWithSpaces>3890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Иляна Алексеевна Кузьменко</cp:lastModifiedBy>
  <dcterms:modified xsi:type="dcterms:W3CDTF">2026-07-13T10:32:05Z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