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Приложение № 1 </w:t>
      </w:r>
    </w:p>
    <w:p>
      <w:pPr>
        <w:pStyle w:val="Normal"/>
        <w:spacing w:lineRule="auto" w:line="24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/>
          <w:sz w:val="24"/>
          <w:szCs w:val="24"/>
          <w:lang w:eastAsia="ru-RU"/>
        </w:rPr>
        <w:t>к лицензионному Договору</w:t>
      </w:r>
    </w:p>
    <w:p>
      <w:pPr>
        <w:pStyle w:val="Normal"/>
        <w:spacing w:lineRule="auto" w:line="24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/>
          <w:sz w:val="24"/>
          <w:szCs w:val="24"/>
          <w:lang w:eastAsia="ru-RU"/>
        </w:rPr>
        <w:t>от «____» ________ 20 _ г. №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______________</w:t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/>
          <w:b/>
          <w:sz w:val="24"/>
          <w:szCs w:val="24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i w:val="false"/>
          <w:iCs w:val="false"/>
          <w:sz w:val="26"/>
          <w:szCs w:val="26"/>
        </w:rPr>
        <w:t>ОКПД2 63.99.10 на поставку лицензий программного обеспечения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i w:val="false"/>
          <w:iCs w:val="false"/>
          <w:sz w:val="26"/>
          <w:szCs w:val="26"/>
        </w:rPr>
        <w:t xml:space="preserve"> </w:t>
      </w:r>
      <w:r>
        <w:rPr>
          <w:b/>
          <w:i w:val="false"/>
          <w:iCs w:val="false"/>
          <w:sz w:val="26"/>
          <w:szCs w:val="26"/>
        </w:rPr>
        <w:t xml:space="preserve">для работы рекрутеров с внешними и внутренними кандидатами на трудоустройство </w:t>
      </w:r>
    </w:p>
    <w:p>
      <w:pPr>
        <w:pStyle w:val="Normal"/>
        <w:keepNext w:val="true"/>
        <w:keepLines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  <w:t>: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  <w:t>: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>__________________/ ________________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__________________/ ________________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Красноярск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Times New Roman" w:hAnsi="Times New Roman"/>
            </w:rPr>
          </w:pPr>
          <w:r>
            <w:br w:type="page"/>
          </w:r>
          <w:r>
            <w:rPr>
              <w:rFonts w:ascii="Times New Roman" w:hAnsi="Times New Roman"/>
              <w:color w:val="auto"/>
            </w:rPr>
            <w:t>Оглавление</w:t>
          </w:r>
        </w:p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8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8"/>
              <w:vanish w:val="false"/>
              <w:rFonts w:eastAsia="Calibri"/>
            </w:rPr>
            <w:fldChar w:fldCharType="separate"/>
          </w:r>
          <w:hyperlink w:anchor="_Toc164696616">
            <w:r>
              <w:rPr>
                <w:webHidden/>
                <w:rStyle w:val="Style8"/>
                <w:rFonts w:eastAsia="Calibri"/>
                <w:vanish w:val="false"/>
              </w:rPr>
              <w:t>1.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17">
            <w:r>
              <w:rPr>
                <w:webHidden/>
                <w:rStyle w:val="Style8"/>
                <w:rFonts w:eastAsia="Calibri"/>
                <w:vanish w:val="false"/>
              </w:rPr>
              <w:t>2.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22">
            <w:r>
              <w:rPr>
                <w:webHidden/>
                <w:rStyle w:val="Style8"/>
                <w:rFonts w:eastAsia="Calibri"/>
                <w:vanish w:val="false"/>
              </w:rPr>
              <w:t>3.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23">
            <w:r>
              <w:rPr>
                <w:webHidden/>
                <w:rStyle w:val="Style8"/>
                <w:rFonts w:eastAsia="Calibri"/>
                <w:vanish w:val="false"/>
              </w:rPr>
              <w:t>4.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24">
            <w:r>
              <w:rPr>
                <w:webHidden/>
                <w:rStyle w:val="Style8"/>
                <w:rFonts w:eastAsia="" w:cs="" w:cstheme="majorBidi" w:eastAsiaTheme="majorEastAsia"/>
                <w:vanish w:val="false"/>
                <w:lang w:eastAsia="en-US"/>
              </w:rPr>
              <w:t>Приложение к ТТ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clear" w:pos="9344"/>
              <w:tab w:val="right" w:pos="10204" w:leader="dot"/>
            </w:tabs>
            <w:rPr>
              <w:rFonts w:ascii="Times New Roman" w:hAnsi="Times New Roman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keepNext w:val="true"/>
        <w:keepLines/>
        <w:spacing w:lineRule="auto" w:line="276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0" w:name="_Toc161134047"/>
      <w:bookmarkStart w:id="1" w:name="_heading=h.ii9cwewjyqf4"/>
      <w:bookmarkEnd w:id="1"/>
      <w:r>
        <w:rPr>
          <w:lang w:val="ru-RU"/>
        </w:rPr>
        <w:t xml:space="preserve"> </w:t>
      </w:r>
      <w:bookmarkStart w:id="2" w:name="_Toc164696616"/>
      <w:r>
        <w:rPr/>
        <w:t>Общие сведения</w:t>
      </w:r>
      <w:bookmarkEnd w:id="0"/>
      <w:bookmarkEnd w:id="2"/>
    </w:p>
    <w:p>
      <w:pPr>
        <w:pStyle w:val="Heading4"/>
        <w:numPr>
          <w:ilvl w:val="1"/>
          <w:numId w:val="1"/>
        </w:numPr>
        <w:spacing w:lineRule="auto" w:line="276"/>
        <w:ind w:left="425" w:hanging="20"/>
        <w:jc w:val="both"/>
        <w:rPr>
          <w:rFonts w:ascii="Times New Roman" w:hAnsi="Times New Roman"/>
        </w:rPr>
      </w:pPr>
      <w:r>
        <w:rPr>
          <w:sz w:val="22"/>
        </w:rPr>
        <w:t>Обозначения и сокращения</w:t>
      </w:r>
    </w:p>
    <w:tbl>
      <w:tblPr>
        <w:tblStyle w:val="310"/>
        <w:tblW w:w="9508" w:type="dxa"/>
        <w:jc w:val="center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400" w:noHBand="0" w:noVBand="1" w:firstColumn="0" w:lastRow="0" w:lastColumn="0" w:firstRow="0"/>
      </w:tblPr>
      <w:tblGrid>
        <w:gridCol w:w="3392"/>
        <w:gridCol w:w="6096"/>
        <w:gridCol w:w="20"/>
      </w:tblGrid>
      <w:tr>
        <w:trPr>
          <w:tblHeader w:val="true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240" w:after="24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Термин/сокращение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240" w:after="24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highlight w:val="white"/>
                <w:lang w:val="ru-RU" w:bidi="ar-SA"/>
              </w:rPr>
              <w:t>Определение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1С ЗУП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Программа для автоматизации кадрового учёта, управления персоналом и расчётов с работниками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Active Directory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Службы каталогов корпорации Microsoft для операционных систем семейства Windows Server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АИСА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Автоматизированная информационная система аффилированности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БД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База данных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Группа «РусГидро»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ПАО «РусГидро» и все подконтрольные организации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ЕИП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Единая интеграционная платформа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Заказчик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Информационная система, ИС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Консолидированный набор технологических компонентов, сервисов и ресурсов, реализующих функции, необходимые для предоставления бизнес–услуг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Заказчик / Общество / Работодатель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ПАО «РусГидро», включая его филиалы.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ОС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Операционная система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Подконтрольные организация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Подконтрольной организацией или лицом признается юридическое лицо, находящееся под прямым или косвенным контролем контролирующего лица.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ПО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Программное обеспечение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Исполнитель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Участник конкурсной процедуры, получивший право заключения договора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Работник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Физическое лицо, состоящее в трудовых отношениях с Обществом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Работник ИА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Работник исполнительного аппарата головной компании ПАО “РусГидро” (без учета филиалов)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ТТ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Технические требования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2" w:hRule="atLeast"/>
          <w:cantSplit w:val="true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ФСТЭК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Федеральная служба по техническому и экспортному контролю (ФСТЭК России)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Heading4"/>
        <w:spacing w:lineRule="auto" w:line="276" w:before="480" w:after="60"/>
        <w:ind w:left="431" w:hanging="0"/>
        <w:jc w:val="both"/>
        <w:rPr>
          <w:rFonts w:ascii="Times New Roman" w:hAnsi="Times New Roman"/>
        </w:rPr>
      </w:pPr>
      <w:r>
        <w:rPr/>
      </w:r>
      <w:bookmarkStart w:id="3" w:name="_heading=h.3znysh7"/>
      <w:bookmarkStart w:id="4" w:name="_heading=h.3znysh7"/>
      <w:bookmarkEnd w:id="4"/>
    </w:p>
    <w:p>
      <w:pPr>
        <w:pStyle w:val="Normal"/>
        <w:suppressAutoHyphens w:val="true"/>
        <w:rPr>
          <w:rFonts w:ascii="Times New Roman" w:hAnsi="Times New Roman" w:eastAsia="Calibri"/>
          <w:b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</w:r>
      <w:r>
        <w:br w:type="page"/>
      </w:r>
    </w:p>
    <w:p>
      <w:pPr>
        <w:pStyle w:val="Heading4"/>
        <w:numPr>
          <w:ilvl w:val="1"/>
          <w:numId w:val="1"/>
        </w:numPr>
        <w:spacing w:lineRule="auto" w:line="276" w:before="480" w:after="60"/>
        <w:ind w:left="431" w:hanging="6"/>
        <w:jc w:val="both"/>
        <w:rPr>
          <w:rFonts w:ascii="Times New Roman" w:hAnsi="Times New Roman"/>
        </w:rPr>
      </w:pPr>
      <w:r>
        <w:rPr>
          <w:lang w:val="ru-RU"/>
        </w:rPr>
        <w:t xml:space="preserve"> </w:t>
      </w:r>
      <w:r>
        <w:rPr>
          <w:lang w:val="ru-RU"/>
        </w:rPr>
        <w:t>Н</w:t>
      </w:r>
      <w:r>
        <w:rPr/>
        <w:t>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both"/>
        <w:rPr/>
      </w:pPr>
      <w:r>
        <w:rPr>
          <w:sz w:val="24"/>
          <w:szCs w:val="24"/>
        </w:rPr>
        <w:t>Лицензия на программное обеспечение для работы рекрутеров с внешними и внутренними кандидатами на трудоустройство «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Skillaz</w:t>
      </w:r>
      <w:r>
        <w:rPr>
          <w:sz w:val="24"/>
          <w:szCs w:val="24"/>
        </w:rPr>
        <w:t>»</w:t>
      </w:r>
    </w:p>
    <w:p>
      <w:pPr>
        <w:pStyle w:val="Heading4"/>
        <w:numPr>
          <w:ilvl w:val="1"/>
          <w:numId w:val="1"/>
        </w:numPr>
        <w:spacing w:lineRule="auto" w:line="276" w:before="480" w:after="60"/>
        <w:ind w:left="431" w:hanging="6"/>
        <w:jc w:val="both"/>
        <w:rPr>
          <w:rFonts w:ascii="Times New Roman" w:hAnsi="Times New Roman"/>
        </w:rPr>
      </w:pPr>
      <w:sdt>
        <w:sdtPr>
          <w:id w:val="645485544"/>
          <w:showingPlcHdr/>
        </w:sdtPr>
        <w:sdtContent>
          <w:r>
            <w:rPr/>
          </w:r>
          <w:r>
            <w:rPr/>
            <w:t xml:space="preserve">     </w:t>
          </w:r>
        </w:sdtContent>
      </w:sdt>
      <w:r>
        <w:rPr>
          <w:lang w:val="ru-RU"/>
        </w:rPr>
        <w:t xml:space="preserve"> </w:t>
      </w:r>
      <w:r>
        <w:rPr>
          <w:lang w:val="ru-RU"/>
        </w:rPr>
        <w:t>Цель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240" w:after="120"/>
        <w:ind w:firstLine="700"/>
        <w:jc w:val="both"/>
        <w:rPr>
          <w:rFonts w:ascii="Times New Roman" w:hAnsi="Times New Roman"/>
        </w:rPr>
      </w:pPr>
      <w:r>
        <w:rPr>
          <w:sz w:val="24"/>
          <w:szCs w:val="24"/>
        </w:rPr>
        <w:t>Целью закупки является приобретение лицензии на право использования ПО (не менее 70 000 пользователей) для работы рекрутеров с внешними и внутренними кандидатами на трудоустройство для нужд Заказчика на отечественной платформе (далее – Система рекрутинга), обеспечивающего: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sz w:val="24"/>
          <w:szCs w:val="24"/>
        </w:rPr>
        <w:t>ускорение процесса найма: автоматизирует процесс поиска и привлечения кандидатов;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sz w:val="24"/>
          <w:szCs w:val="24"/>
        </w:rPr>
        <w:t>оптимизацию работы и затрат отдела по подбору персонала;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sz w:val="24"/>
          <w:szCs w:val="24"/>
        </w:rPr>
        <w:t>повышение эффективности процесса подбора: автоматизирует отслеживание кандидатов, отправку приглашений, сбор и анализ данных, что делает процесс подбора более эффективным и прозрачным;</w:t>
      </w:r>
    </w:p>
    <w:p>
      <w:pPr>
        <w:pStyle w:val="BodyText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контроль и прозрачность: предоставляет информацию о ходе процесса найма, что обеспечивает большую прозрачность и контроль над процессом;</w:t>
      </w:r>
    </w:p>
    <w:p>
      <w:pPr>
        <w:pStyle w:val="BodyText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готовую интеграцию с единой цифровой платформой «Работа в России» и другими популярными сайтам для подбора персонала.</w:t>
      </w:r>
    </w:p>
    <w:p>
      <w:pPr>
        <w:pStyle w:val="Heading4"/>
        <w:numPr>
          <w:ilvl w:val="1"/>
          <w:numId w:val="1"/>
        </w:numPr>
        <w:spacing w:lineRule="auto" w:line="276" w:before="480" w:after="60"/>
        <w:ind w:left="431" w:hanging="6"/>
        <w:jc w:val="both"/>
        <w:rPr>
          <w:rFonts w:ascii="Times New Roman" w:hAnsi="Times New Roman"/>
        </w:rPr>
      </w:pPr>
      <w:r>
        <w:rPr>
          <w:lang w:val="ru-RU"/>
        </w:rPr>
        <w:t xml:space="preserve"> </w:t>
      </w:r>
      <w:r>
        <w:rPr>
          <w:lang w:val="ru-RU"/>
        </w:rPr>
        <w:t>Организационный периметр</w:t>
      </w:r>
    </w:p>
    <w:p>
      <w:pPr>
        <w:pStyle w:val="BodyText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Группа компаний ПАО «РусГидро» (~70 000 чел.).</w:t>
      </w:r>
    </w:p>
    <w:p>
      <w:pPr>
        <w:pStyle w:val="Heading4"/>
        <w:numPr>
          <w:ilvl w:val="1"/>
          <w:numId w:val="1"/>
        </w:numPr>
        <w:spacing w:lineRule="auto" w:line="276" w:before="360" w:after="60"/>
        <w:ind w:left="431" w:hanging="6"/>
        <w:jc w:val="both"/>
        <w:rPr>
          <w:rFonts w:ascii="Times New Roman" w:hAnsi="Times New Roman"/>
        </w:rPr>
      </w:pPr>
      <w:bookmarkStart w:id="5" w:name="_heading=h.4d34og8"/>
      <w:bookmarkStart w:id="6" w:name="_heading=h.x8dcuqi7lzqs"/>
      <w:bookmarkEnd w:id="5"/>
      <w:bookmarkEnd w:id="6"/>
      <w:r>
        <w:rPr/>
        <w:t xml:space="preserve">Иные требования и сведения общего характера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240" w:after="120"/>
        <w:ind w:firstLine="700"/>
        <w:jc w:val="both"/>
        <w:rPr>
          <w:rFonts w:ascii="Times New Roman" w:hAnsi="Times New Roman"/>
        </w:rPr>
      </w:pPr>
      <w:r>
        <w:rPr>
          <w:sz w:val="24"/>
          <w:szCs w:val="24"/>
          <w:highlight w:val="white"/>
        </w:rPr>
        <w:t xml:space="preserve">Иные </w:t>
      </w:r>
      <w:r>
        <w:rPr>
          <w:sz w:val="24"/>
          <w:szCs w:val="24"/>
        </w:rPr>
        <w:t>требования</w:t>
      </w:r>
      <w:r>
        <w:rPr>
          <w:sz w:val="24"/>
          <w:szCs w:val="24"/>
          <w:highlight w:val="white"/>
        </w:rPr>
        <w:t xml:space="preserve"> не предъявляются.</w:t>
      </w:r>
    </w:p>
    <w:p>
      <w:pPr>
        <w:pStyle w:val="Normal"/>
        <w:suppressAutoHyphens w:val="true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7" w:name="_Toc161134048"/>
      <w:bookmarkStart w:id="8" w:name="_heading=h.5nsfikck4nc2"/>
      <w:bookmarkEnd w:id="8"/>
      <w:r>
        <w:rPr>
          <w:lang w:val="ru-RU"/>
        </w:rPr>
        <w:t xml:space="preserve"> </w:t>
      </w:r>
      <w:bookmarkStart w:id="9" w:name="_Toc164696617"/>
      <w:r>
        <w:rPr/>
        <w:t>Требования к продукции</w:t>
      </w:r>
      <w:bookmarkEnd w:id="7"/>
      <w:bookmarkEnd w:id="9"/>
    </w:p>
    <w:p>
      <w:pPr>
        <w:pStyle w:val="Heading2"/>
        <w:numPr>
          <w:ilvl w:val="1"/>
          <w:numId w:val="1"/>
        </w:numPr>
        <w:spacing w:lineRule="auto" w:line="276"/>
        <w:jc w:val="both"/>
        <w:rPr>
          <w:rFonts w:ascii="Times New Roman" w:hAnsi="Times New Roman"/>
        </w:rPr>
      </w:pPr>
      <w:bookmarkStart w:id="10" w:name="_Toc164696618"/>
      <w:bookmarkStart w:id="11" w:name="_Toc164260661"/>
      <w:bookmarkStart w:id="12" w:name="_Toc162444442"/>
      <w:bookmarkStart w:id="13" w:name="_Toc162443164"/>
      <w:bookmarkStart w:id="14" w:name="_Toc162441029"/>
      <w:bookmarkStart w:id="15" w:name="_Toc161134049"/>
      <w:bookmarkStart w:id="16" w:name="_Toc164260604"/>
      <w:bookmarkStart w:id="17" w:name="_Toc153965938"/>
      <w:bookmarkStart w:id="18" w:name="_Toc156226708"/>
      <w:r>
        <w:rPr>
          <w:sz w:val="28"/>
          <w:szCs w:val="32"/>
          <w:lang w:val="ru-RU"/>
        </w:rPr>
        <w:t xml:space="preserve"> </w:t>
      </w:r>
      <w:r>
        <w:rPr>
          <w:sz w:val="28"/>
          <w:szCs w:val="32"/>
        </w:rPr>
        <w:t xml:space="preserve">Требования к объемам и срокам </w:t>
      </w:r>
      <w:bookmarkEnd w:id="17"/>
      <w:bookmarkEnd w:id="18"/>
      <w:r>
        <w:rPr>
          <w:sz w:val="28"/>
          <w:szCs w:val="32"/>
        </w:rPr>
        <w:t>поставка программного обеспечения</w:t>
      </w:r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Heading3"/>
        <w:numPr>
          <w:ilvl w:val="2"/>
          <w:numId w:val="10"/>
        </w:numPr>
        <w:tabs>
          <w:tab w:val="clear" w:pos="0"/>
          <w:tab w:val="left" w:pos="851" w:leader="none"/>
        </w:tabs>
        <w:spacing w:lineRule="auto" w:line="276" w:before="240" w:after="120"/>
        <w:ind w:left="851" w:hanging="709"/>
        <w:jc w:val="both"/>
        <w:rPr>
          <w:rFonts w:ascii="Times New Roman" w:hAnsi="Times New Roman"/>
        </w:rPr>
      </w:pPr>
      <w:bookmarkStart w:id="19" w:name="_Toc158024918"/>
      <w:bookmarkStart w:id="20" w:name="_Toc162444444"/>
      <w:bookmarkStart w:id="21" w:name="_Toc164696620"/>
      <w:bookmarkStart w:id="22" w:name="_Toc164260606"/>
      <w:bookmarkStart w:id="23" w:name="_Toc162443166"/>
      <w:bookmarkStart w:id="24" w:name="_Toc164260663"/>
      <w:bookmarkStart w:id="25" w:name="_Toc162443778"/>
      <w:bookmarkStart w:id="26" w:name="_heading=h.gfqrfwiujg31"/>
      <w:bookmarkEnd w:id="26"/>
      <w:r>
        <w:rPr/>
        <w:t>Перечень и объем закупаемой продукции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Caption1"/>
        <w:keepNext w:val="true"/>
        <w:spacing w:before="0" w:after="120"/>
        <w:rPr>
          <w:rFonts w:ascii="Times New Roman" w:hAnsi="Times New Roman"/>
        </w:rPr>
      </w:pPr>
      <w:bookmarkStart w:id="27" w:name="_Toc158024919"/>
      <w:bookmarkStart w:id="28" w:name="_Toc162444445"/>
      <w:bookmarkStart w:id="29" w:name="_Toc162443779"/>
      <w:r>
        <w:rPr>
          <w:color w:val="auto"/>
          <w:sz w:val="20"/>
        </w:rPr>
        <w:t>Таблица 1. Перечень и объем закупаемой продукции</w:t>
      </w:r>
      <w:bookmarkEnd w:id="27"/>
      <w:bookmarkEnd w:id="28"/>
      <w:bookmarkEnd w:id="29"/>
    </w:p>
    <w:tbl>
      <w:tblPr>
        <w:tblW w:w="1002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5"/>
        <w:gridCol w:w="5107"/>
        <w:gridCol w:w="2160"/>
        <w:gridCol w:w="2093"/>
      </w:tblGrid>
      <w:tr>
        <w:trPr>
          <w:tblHeader w:val="true"/>
          <w:trHeight w:val="318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283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22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1124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rPr>
                <w:rFonts w:ascii="Times New Roman" w:hAnsi="Times New Roman"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eastAsia="Arial"/>
                <w:color w:val="000000"/>
                <w:sz w:val="24"/>
                <w:szCs w:val="24"/>
              </w:rPr>
              <w:t>д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ля работы рекрутеров с внешними и внутренними кандидатами на трудоустройство на неограниченное количество пользователей </w:t>
            </w:r>
            <w:r>
              <w:rPr>
                <w:rFonts w:eastAsia="Arial"/>
                <w:color w:val="000000"/>
                <w:sz w:val="24"/>
                <w:szCs w:val="24"/>
              </w:rPr>
              <w:t>(не менее 70 000 пользователей)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сроком 1 (один) календарный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240"/>
        <w:jc w:val="both"/>
        <w:rPr>
          <w:rFonts w:ascii="Times New Roman" w:hAnsi="Times New Roman"/>
        </w:rPr>
      </w:pPr>
      <w:r>
        <w:rPr>
          <w:sz w:val="24"/>
          <w:szCs w:val="24"/>
          <w:highlight w:val="white"/>
        </w:rPr>
        <w:t xml:space="preserve">* Срок передачи права пользования - 12 (двенадцать) месяцев, гарантийная техническая поддержка оказывается в течение 12 (двенадцати) месяцев с даты подписания </w:t>
      </w:r>
      <w:r>
        <w:rPr>
          <w:sz w:val="24"/>
          <w:szCs w:val="24"/>
        </w:rPr>
        <w:t>сторонами заключённого по итогам закупки договора</w:t>
      </w:r>
      <w:r>
        <w:rPr>
          <w:sz w:val="24"/>
          <w:szCs w:val="24"/>
          <w:highlight w:val="white"/>
        </w:rPr>
        <w:t xml:space="preserve"> акта приема-передачи лицензий.</w:t>
      </w:r>
    </w:p>
    <w:p>
      <w:pPr>
        <w:pStyle w:val="Heading3"/>
        <w:numPr>
          <w:ilvl w:val="2"/>
          <w:numId w:val="10"/>
        </w:numPr>
        <w:tabs>
          <w:tab w:val="left" w:pos="0" w:leader="none"/>
          <w:tab w:val="left" w:pos="851" w:leader="none"/>
        </w:tabs>
        <w:spacing w:lineRule="auto" w:line="276" w:before="240" w:after="120"/>
        <w:ind w:left="0" w:firstLine="142"/>
        <w:jc w:val="both"/>
        <w:rPr>
          <w:rFonts w:ascii="Times New Roman" w:hAnsi="Times New Roman"/>
        </w:rPr>
      </w:pPr>
      <w:bookmarkStart w:id="30" w:name="_Toc162443780"/>
      <w:bookmarkStart w:id="31" w:name="_Toc164696621"/>
      <w:bookmarkStart w:id="32" w:name="_Toc164260664"/>
      <w:bookmarkStart w:id="33" w:name="_Toc164260607"/>
      <w:bookmarkStart w:id="34" w:name="_Toc162443168"/>
      <w:bookmarkStart w:id="35" w:name="_Toc158024920"/>
      <w:bookmarkStart w:id="36" w:name="_Toc162444446"/>
      <w:r>
        <w:rPr/>
        <w:t>Требования к срокам поставки продукции</w:t>
      </w:r>
      <w:bookmarkEnd w:id="30"/>
      <w:bookmarkEnd w:id="31"/>
      <w:bookmarkEnd w:id="32"/>
      <w:bookmarkEnd w:id="33"/>
      <w:bookmarkEnd w:id="34"/>
      <w:bookmarkEnd w:id="35"/>
      <w:bookmarkEnd w:id="36"/>
      <w:r>
        <w:rPr/>
        <w:t xml:space="preserve"> </w:t>
      </w:r>
    </w:p>
    <w:p>
      <w:pPr>
        <w:pStyle w:val="Caption1"/>
        <w:keepNext w:val="true"/>
        <w:spacing w:before="0" w:after="120"/>
        <w:rPr>
          <w:rFonts w:ascii="Times New Roman" w:hAnsi="Times New Roman"/>
        </w:rPr>
      </w:pPr>
      <w:bookmarkStart w:id="37" w:name="_Toc162444447"/>
      <w:bookmarkStart w:id="38" w:name="_Toc162443781"/>
      <w:bookmarkStart w:id="39" w:name="_Toc158024921"/>
      <w:bookmarkStart w:id="40" w:name="_44sinio"/>
      <w:bookmarkEnd w:id="40"/>
      <w:r>
        <w:rPr>
          <w:color w:val="auto"/>
          <w:sz w:val="20"/>
        </w:rPr>
        <w:t>Таблица 2. Требования по срокам поставки продукции</w:t>
      </w:r>
      <w:bookmarkEnd w:id="37"/>
      <w:bookmarkEnd w:id="38"/>
      <w:bookmarkEnd w:id="39"/>
      <w:r>
        <w:rPr>
          <w:color w:val="auto"/>
          <w:sz w:val="20"/>
        </w:rPr>
        <w:t xml:space="preserve"> </w:t>
      </w:r>
    </w:p>
    <w:tbl>
      <w:tblPr>
        <w:tblW w:w="1006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113"/>
        <w:gridCol w:w="2552"/>
        <w:gridCol w:w="2596"/>
        <w:gridCol w:w="3798"/>
      </w:tblGrid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Перечень и объём согласно п. 2.1.1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трех</w:t>
            </w:r>
            <w:r>
              <w:rPr>
                <w:sz w:val="24"/>
                <w:szCs w:val="24"/>
              </w:rPr>
              <w:t>) календарных дней с даты заключения договора</w:t>
            </w:r>
          </w:p>
        </w:tc>
      </w:tr>
    </w:tbl>
    <w:p>
      <w:pPr>
        <w:sectPr>
          <w:type w:val="nextPage"/>
          <w:pgSz w:w="11906" w:h="16838"/>
          <w:pgMar w:left="851" w:right="851" w:gutter="0" w:header="0" w:top="56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24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sz w:val="24"/>
          <w:szCs w:val="24"/>
        </w:rPr>
        <w:t>2.2.</w:t>
        <w:tab/>
        <w:t>Требования к качеству продукции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sz w:val="24"/>
          <w:szCs w:val="24"/>
        </w:rPr>
        <w:t xml:space="preserve">Таблица 3. Требования к </w:t>
      </w:r>
      <w:r>
        <w:rPr>
          <w:rFonts w:eastAsia="Arial"/>
          <w:color w:val="000000"/>
          <w:sz w:val="24"/>
          <w:szCs w:val="24"/>
        </w:rPr>
        <w:t>ПО для работы рекрутеров с внешними и внутренними кандидатами на трудоустройство на неограниченное количество пользователей сроком 1 (один) календарный год</w:t>
      </w:r>
      <w:r>
        <w:rPr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/>
      </w:r>
      <w:r>
        <w:br w:type="page"/>
      </w:r>
    </w:p>
    <w:tbl>
      <w:tblPr>
        <w:tblStyle w:val="af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2411"/>
        <w:gridCol w:w="4394"/>
        <w:gridCol w:w="2552"/>
        <w:gridCol w:w="2835"/>
        <w:gridCol w:w="2550"/>
      </w:tblGrid>
      <w:tr>
        <w:trPr>
          <w:tblHeader w:val="true"/>
        </w:trPr>
        <w:tc>
          <w:tcPr>
            <w:tcW w:w="566" w:type="dxa"/>
            <w:vMerge w:val="restart"/>
            <w:tcBorders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spacing w:val="-4"/>
                <w:kern w:val="0"/>
                <w:sz w:val="24"/>
                <w:szCs w:val="24"/>
                <w:lang w:val="ru-RU" w:bidi="ar-SA"/>
              </w:rPr>
              <w:t>Наименование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 параметра</w:t>
            </w:r>
          </w:p>
        </w:tc>
        <w:tc>
          <w:tcPr>
            <w:tcW w:w="43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3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blHeader w:val="true"/>
          <w:trHeight w:val="167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spacing w:val="-4"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в отношении ПО представлены в Приложении к настоящим Техническим требованиям.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безопасности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Информационная безопасность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Предлагаемое ПО должна иметь аттестат соответствия требованиям Приказа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по уровню защищенности не ниже УЗ-2 внешним аудитором - лицензиатом ФСТЭК на техническую защиту конфиденциальной информации.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Безопасность обрабатываемой информации должна обеспечиваться совокупностью организационно технических мер безопасности, необходимых для нейтрализации актуальных угроз безопасности информации, с учетом требований законодательства РФ в области обеспечения безопасности персональных данных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 xml:space="preserve">В составе заявки Участник должен предоставить аттестат соответствия ПО </w:t>
            </w:r>
            <w:r>
              <w:rPr>
                <w:i/>
                <w:kern w:val="0"/>
                <w:lang w:val="ru-RU" w:bidi="ar-SA"/>
              </w:rPr>
              <w:t xml:space="preserve">в </w:t>
            </w: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>соответствии с Приказом ФСТЭК России от 18.02.2013 №21 «Об утверждении состава и содержания организационных и технических мер по обеспечению безопасности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 персональных данных при их обработке в информационных системах персональных данных»</w:t>
            </w: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>, выданный внешним аудитором-лицензиатом ФСТЭК на техническую защиту конфиденциальной информации.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Продукция должна быть доставлена Поставщиком по адресу: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660049, Красноярский край, г. Красноярск, ул. Перенсона, зд. 2а, помещ. 1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Взаимодействие представителей Заказчика и Поставщика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Осуществляется через Комплекс средств автоматизации службы поддержки пользователей Заказчика, а также помимо этого может осуществляться лично, по телефону либо посредством электронной почты.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Способ поставки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 случае если ПО представляет собой электронные экземпляры, такие экземпляры направляются Заказчику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Участник поставляет распечатанную версию уведомлений, а также оригиналы документов/писем от правообладателя при наличии.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Иные требования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Поставщик своими силами осуществляет поставку ПО по адресу, указанному в п. 3.1. настоящей таблицы. Стоимость ПО должна включать все налоги, расходы по доставке, страховке и транспортировке до указанного адреса.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Требования к происхождению </w:t>
            </w: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поставляемой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продукции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 xml:space="preserve">ПО должно быть включено в «Единый реестр российских программ для электронных вычислительных машин и баз данных», предусмотренный постановлением Правительства РФ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</w:t>
            </w:r>
            <w:r>
              <w:rPr>
                <w:bCs/>
                <w:i/>
                <w:spacing w:val="-10"/>
                <w:kern w:val="0"/>
                <w:sz w:val="24"/>
                <w:szCs w:val="24"/>
                <w:lang w:val="ru-RU" w:bidi="ar-SA"/>
              </w:rPr>
              <w:t>государственных и муниципальных нужд».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spacing w:val="-12"/>
                <w:kern w:val="0"/>
                <w:sz w:val="24"/>
                <w:szCs w:val="24"/>
                <w:lang w:val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Требования к интеграции с единой цифровой платформой «Работа в России»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«Модуль интеграции» ПО должен обеспечивать интеграцию с порталом «Работа в России» для публикации вакансий и получения откликов. В соответствии с требованием Федерального закона от 28.06.2021 № 219-ФЗ, который добавил новый пункт 3.2 в статью 25 Закона № 1032-1 о занятости населения в РФ.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>В составе заявки Участник должен предоставить официальное письмо от другого заказчика, подтверждающее факт интеграции с единой цифровой платформой «Работа в России» в части публикации вакансии, получения откликов и ее использования.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Требования к разворачиванию и настройке ПО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ПО для работы рекрутеров с внешними и внутренними кандидатами на трудоустройство должно разворачиваться и настраиваться на облаке Исполнителя с дальнейшей возможностью переноса в контур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требованиями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pacing w:val="-12"/>
                <w:kern w:val="0"/>
                <w:sz w:val="24"/>
                <w:szCs w:val="24"/>
                <w:lang w:val="ru-RU" w:bidi="ar-SA"/>
              </w:rPr>
            </w:pPr>
            <w:r>
              <w:rPr>
                <w:i/>
                <w:iCs/>
                <w:spacing w:val="-12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992" w:right="567" w:gutter="0" w:header="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10"/>
        </w:numPr>
        <w:tabs>
          <w:tab w:val="clear" w:pos="0"/>
        </w:tabs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41" w:name="_Toc161134051"/>
      <w:bookmarkStart w:id="42" w:name="_heading=h.wlyfzm2rbhrz"/>
      <w:bookmarkEnd w:id="42"/>
      <w:r>
        <w:rPr>
          <w:lang w:val="ru-RU"/>
        </w:rPr>
        <w:t xml:space="preserve"> </w:t>
      </w:r>
      <w:bookmarkStart w:id="43" w:name="_Toc164696622"/>
      <w:r>
        <w:rPr/>
        <w:t>Требования к документации по ценообразованию на этапе закупки</w:t>
      </w:r>
      <w:bookmarkEnd w:id="41"/>
      <w:bookmarkEnd w:id="43"/>
    </w:p>
    <w:p>
      <w:pPr>
        <w:pStyle w:val="Normal"/>
        <w:numPr>
          <w:ilvl w:val="1"/>
          <w:numId w:val="10"/>
        </w:numPr>
        <w:tabs>
          <w:tab w:val="clear" w:pos="708"/>
          <w:tab w:val="left" w:pos="1134" w:leader="none"/>
        </w:tabs>
        <w:spacing w:before="0" w:after="120"/>
        <w:ind w:left="0" w:firstLine="426"/>
        <w:jc w:val="both"/>
        <w:rPr>
          <w:rFonts w:ascii="Times New Roman" w:hAnsi="Times New Roman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4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4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1134" w:leader="none"/>
        </w:tabs>
        <w:spacing w:before="0" w:after="120"/>
        <w:ind w:left="0" w:firstLine="426"/>
        <w:jc w:val="both"/>
        <w:rPr>
          <w:rFonts w:ascii="Times New Roman" w:hAnsi="Times New Roman"/>
        </w:rPr>
      </w:pPr>
      <w:bookmarkStart w:id="45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5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keepLines/>
        <w:spacing w:lineRule="auto" w:line="276"/>
        <w:ind w:left="357" w:firstLine="72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0"/>
        </w:tabs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46" w:name="_Toc161134053"/>
      <w:bookmarkStart w:id="47" w:name="_heading=h.la36wyw33er9"/>
      <w:bookmarkStart w:id="48" w:name="_heading=h.kzxywekw3ndo"/>
      <w:bookmarkEnd w:id="47"/>
      <w:bookmarkEnd w:id="48"/>
      <w:r>
        <w:rPr/>
        <w:t xml:space="preserve"> </w:t>
      </w:r>
      <w:bookmarkStart w:id="49" w:name="_Toc164696623"/>
      <w:r>
        <w:rPr/>
        <w:t>Приложения</w:t>
      </w:r>
      <w:bookmarkStart w:id="50" w:name="_heading=h.dutx3vchxr8l"/>
      <w:bookmarkStart w:id="51" w:name="_heading=h.8naqef7rwqir"/>
      <w:bookmarkStart w:id="52" w:name="_heading=h.qsh70q"/>
      <w:bookmarkStart w:id="53" w:name="_heading=h.xbke59i1hszn"/>
      <w:bookmarkEnd w:id="46"/>
      <w:bookmarkEnd w:id="49"/>
      <w:bookmarkEnd w:id="50"/>
      <w:bookmarkEnd w:id="51"/>
      <w:bookmarkEnd w:id="52"/>
      <w:bookmarkEnd w:id="53"/>
    </w:p>
    <w:p>
      <w:pPr>
        <w:pStyle w:val="Normal"/>
        <w:tabs>
          <w:tab w:val="clear" w:pos="708"/>
          <w:tab w:val="left" w:pos="1134" w:leader="none"/>
        </w:tabs>
        <w:spacing w:before="0" w:after="120"/>
        <w:ind w:left="426" w:hanging="0"/>
        <w:jc w:val="both"/>
        <w:rPr>
          <w:rFonts w:ascii="Times New Roman" w:hAnsi="Times New Roman"/>
        </w:rPr>
      </w:pPr>
      <w:r>
        <w:rPr>
          <w:bCs/>
          <w:i/>
          <w:iCs/>
          <w:sz w:val="24"/>
          <w:szCs w:val="24"/>
          <w:lang w:eastAsia="x-none"/>
        </w:rPr>
        <w:t xml:space="preserve">Приложение: </w:t>
      </w:r>
      <w:bookmarkStart w:id="54" w:name="_Hlk87532473"/>
      <w:r>
        <w:rPr>
          <w:bCs/>
          <w:i/>
          <w:iCs/>
          <w:sz w:val="24"/>
          <w:szCs w:val="24"/>
          <w:lang w:eastAsia="x-none"/>
        </w:rPr>
        <w:t>Требования к техническим и функциональным характеристикам ПО</w:t>
      </w:r>
      <w:bookmarkEnd w:id="54"/>
      <w:r>
        <w:rPr>
          <w:bCs/>
          <w:i/>
          <w:iCs/>
          <w:sz w:val="24"/>
          <w:szCs w:val="24"/>
          <w:lang w:eastAsia="x-none"/>
        </w:rPr>
        <w:t>.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right"/>
        <w:rPr>
          <w:rFonts w:ascii="Times New Roman" w:hAnsi="Times New Roman"/>
        </w:rPr>
      </w:pPr>
      <w:r>
        <w:rPr/>
        <w:t xml:space="preserve"> </w:t>
      </w:r>
      <w:bookmarkStart w:id="55" w:name="_Требования_к_оформлению"/>
      <w:r>
        <w:br w:type="page"/>
      </w:r>
    </w:p>
    <w:p>
      <w:pPr>
        <w:pStyle w:val="Heading1"/>
        <w:keepLines/>
        <w:tabs>
          <w:tab w:val="clear" w:pos="0"/>
        </w:tabs>
        <w:suppressAutoHyphens w:val="true"/>
        <w:spacing w:before="0" w:after="0"/>
        <w:ind w:left="0" w:firstLine="567"/>
        <w:jc w:val="right"/>
        <w:rPr>
          <w:rFonts w:ascii="Times New Roman" w:hAnsi="Times New Roman"/>
        </w:rPr>
      </w:pPr>
      <w:bookmarkStart w:id="56" w:name="_Toc164696624"/>
      <w:bookmarkEnd w:id="55"/>
      <w:r>
        <w:rPr>
          <w:rFonts w:eastAsia="" w:cs="" w:cstheme="majorBidi" w:eastAsiaTheme="majorEastAsia"/>
          <w:b w:val="false"/>
          <w:sz w:val="24"/>
          <w:szCs w:val="32"/>
          <w:lang w:val="ru-RU" w:eastAsia="en-US"/>
        </w:rPr>
        <w:t>Приложение к ТТ</w:t>
      </w:r>
      <w:bookmarkEnd w:id="56"/>
    </w:p>
    <w:p>
      <w:pPr>
        <w:pStyle w:val="Normal"/>
        <w:jc w:val="right"/>
        <w:rPr>
          <w:rFonts w:ascii="Times New Roman" w:hAnsi="Times New Roman"/>
        </w:rPr>
      </w:pPr>
      <w:r>
        <w:rPr>
          <w:sz w:val="24"/>
          <w:szCs w:val="24"/>
        </w:rPr>
        <w:t xml:space="preserve">к Техническим требованиям </w:t>
      </w:r>
    </w:p>
    <w:p>
      <w:pPr>
        <w:pStyle w:val="Heading1"/>
        <w:ind w:left="357" w:hanging="0"/>
        <w:jc w:val="center"/>
        <w:rPr>
          <w:rFonts w:ascii="Times New Roman" w:hAnsi="Times New Roman"/>
        </w:rPr>
      </w:pPr>
      <w:bookmarkStart w:id="57" w:name="_Toc161134062"/>
      <w:bookmarkStart w:id="58" w:name="_Системные_требования_(требования"/>
      <w:bookmarkStart w:id="59" w:name="_heading=h.t6ba6jz0omjj"/>
      <w:bookmarkEnd w:id="58"/>
      <w:bookmarkEnd w:id="59"/>
      <w:r>
        <w:rPr>
          <w:lang w:val="ru-RU"/>
        </w:rPr>
        <w:t xml:space="preserve"> </w:t>
      </w:r>
      <w:bookmarkStart w:id="60" w:name="_Toc164696625"/>
      <w:bookmarkStart w:id="61" w:name="_Toc126912496"/>
      <w:bookmarkStart w:id="62" w:name="_Toc124854292"/>
      <w:bookmarkEnd w:id="57"/>
      <w:r>
        <w:rPr/>
        <w:t>Требования к техническим и функциональным характеристикам ПО</w:t>
      </w:r>
      <w:bookmarkEnd w:id="60"/>
      <w:bookmarkEnd w:id="61"/>
      <w:bookmarkEnd w:id="62"/>
    </w:p>
    <w:p>
      <w:pPr>
        <w:pStyle w:val="Normal"/>
        <w:keepNext w:val="true"/>
        <w:keepLines/>
        <w:spacing w:before="0" w:after="1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502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25"/>
        <w:gridCol w:w="2267"/>
        <w:gridCol w:w="12334"/>
      </w:tblGrid>
      <w:tr>
        <w:trPr>
          <w:tblHeader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Характеристики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i/>
                <w:sz w:val="24"/>
                <w:szCs w:val="24"/>
              </w:rPr>
              <w:t>Функциональные требования</w:t>
            </w:r>
          </w:p>
        </w:tc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должно состоять из следующих Модулей: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Основной;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Подбор;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Оценка;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Коммуникация;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Отчетность;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Персональные данные;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Интеграционный.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Основной: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иерархичной организационной структуры (создание / обновление данных из внешней системы / XLSX) в качестве полноценного объекта системы (не справочника), из которого можно импортировать значения в другие объекты системы (заявки на подбор) и на основе данных которого можно вычислять ответственные процессные роли (Нанимающих менеджеров, ответственных рекрутеров и т.д.)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управления штатным расписанием подразделения в рамках соответствующей организационной единицы (создание / обновление данных из внешней системы / XLSX)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профилей кандидатов (создание / обновление данных из внешней системы / XLSX) в качестве полноценного объекта системы (не справочника), из которого можно импортировать значения в другие объекты системы (заявки на подбор, вакансии) и на основе данных которого можно вычислять воронку для процессинга кандидатов по заявке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как заявок, так и вакансий с возможностью настройки связей между этими объектами системы с пробросом данных из заявки в вакансию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ведения заявок на поиск,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автоматического создания заявки из потребности на необходимое количество позиций к поиску;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согласования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массового изменения статуса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преднастроенные правила отображения и обязательности одних полей заявки в зависимости от значений других полей в заявке;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преднастроенные правила отображения заявок в общем списке заявок с возможностью донастройки;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функции стандартизации адресов в заявках с помощью геокодинговых сервисов с целью получения качественного и многоуровневого объекта адреса;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дальнейшего вычисления из многоуровневого объекта - адреса заявки - региона и города с ориентацией на уровень в адресе;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изменения структуры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применения фильтрации для поиска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фиксации и отображения действий, выполненных пользователями в процессе работы над заявкой;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автоматического закрытия заявки при найме необходимого количества сотрудников;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счетчиков для заявки в разрезе количества кандидатов, находящихся на определенных этапах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приоритезации заявки по нескольким полям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 xml:space="preserve">возможность экспорта заявок в </w:t>
            </w:r>
            <w:r>
              <w:rPr>
                <w:rFonts w:eastAsia="Times New Roman" w:ascii="Times New Roman" w:hAnsi="Times New Roman"/>
                <w:i/>
                <w:lang w:val="en-US"/>
              </w:rPr>
              <w:t>XLSX</w:t>
            </w:r>
            <w:r>
              <w:rPr>
                <w:rFonts w:eastAsia="Times New Roman" w:ascii="Times New Roman" w:hAnsi="Times New Roman"/>
                <w:i/>
              </w:rPr>
              <w:t>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сделать поле ответственного рекрутера в заявке обязательным для заполнения на этапе распределения заявки.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вакансий,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ручного и автоматического создания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группировки вакансий по критериям: Профиль и Город / Профиль и Организационная единица;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управления состоянием вакансии: Активная / Архивная в ручном и автоматическом режиме посредством интеграции с привязкой к дате окончания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изменения структуры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отображения и обязательности полей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применения фильтрации для поиска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фиксации и отображения действий, выполненных пользователями в процессе работы над вакансией;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создания публикаций по вакансии на работных сайтах;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перехода в витрину заявок / кандидатов в рамках выбранной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автоматически генерируемого QR-кода с формой отклика на выбранную вакансию.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управления справочными данными, необходимыми в связанных объектах для подбора кандидатов (создание/ обновление данных из внешней системы / XLSX). Возможность вычисления значений в объектах системы (заявках) на основе данных справочников.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составления одной или нескольких воронок подбора для процессинга кандидатов,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этапов, статусов и переходов между этапами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дополнительных форм для перевода кандидата между этапами подбора (с вводом дополнительной информации);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шаблонов уведомлений участникам процесса подбора в формате: Email / Sms / What’sApp / Telegram;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отложенных действий (например, смены статусов воронки) и оповещений в рамках прохождения этапов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автоматических правил запуска проверок в рамках прохождения этапов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автоматических правил запуска форм обратной связи по кандидату в рамках прохождения этапов подбора.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правил определения и обработки дублей в рамках выбранной стратегии: Карточка кандидата в рамках компании / Карточка кандидата в рамках вакансии,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</w:rPr>
              <w:t>поиск дублей по критериям: телефон, почта, фамилия, имя, отчество, дата рождения кандидата;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</w:rPr>
              <w:t>возможность отслеживать в кандидате историю отработки правил поиска и обработки дублей;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</w:rPr>
              <w:t>возможность автоматического обновления способа добавления и источника при срабатывании правила определения и обработки дубля.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планировщика задач в разрезе ролей,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задач по объектам системы: Воронка подбора / Заявка;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автоматического создания задач для участников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задач по заданным критериям запуска (состоянием кандидата / объекта) и обработки (время и точка отсчета);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с целью автоматического формирования и видимости задач только по тем объектам системы, где сотрудник является ответственным (без возможности видеть «чужие» объекты системы).</w:t>
            </w:r>
          </w:p>
          <w:p>
            <w:pPr>
              <w:pStyle w:val="ListParagraph"/>
              <w:widowControl w:val="false"/>
              <w:ind w:left="1030" w:hanging="504"/>
              <w:jc w:val="both"/>
              <w:rPr>
                <w:rFonts w:ascii="Times New Roman" w:hAnsi="Times New Roman" w:eastAsia="Times New Roman"/>
                <w:i/>
                <w:i/>
              </w:rPr>
            </w:pPr>
            <w:r>
              <w:rPr>
                <w:rFonts w:eastAsia="Times New Roman" w:ascii="Times New Roman" w:hAnsi="Times New Roman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Подбора: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кандидатов в рамках воронок подбора, включая: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ручного добавления кандидатов: Ручной ввод данных / Импорт резюме / Ссылка на резюме с работного сайта / Парсинг резюме с работного сайта;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автоматического добавления кандидатов с работных сайтов (Отклик):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HH.ru,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SJ,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Zarplata.ru,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Avito,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Rabota.ru,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Хабр Карьера,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Факультетус,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Работа в России.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автоматического добавления кандидатов с работных сайтов в Систему (Холодный поиск по параметрам-фильтрам резюме работного сайта, автоматическое массовое затягивание кандидатов в систему):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HH.ru,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SJ,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Zarplata.ru,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Avito.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возможность импорта анонимных резюме с 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hh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i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импорта резюме с закрытыми контактами с hh.ru, возможность открывать контакты кандидату из системы по инициативе рекрутера;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управления списком источников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добавления кандидата: Основные / Дополнительные;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редактирования / удаления карточки кандидата;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автоматического и ручного заполнения основной информации по кандидату: Резюме / Вложения / Контакты / Проверки / Результаты тестирований / Мессенджеры / Отклики / Вакансия / Заявка по поиск / Ответственные пользователи / Комментарии / Статус / Теги;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фиксации и отображения действий, выполненных пользователями в процессе работы с кандидатом;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перевода кандидата между открытыми вакансиями;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массового перевода кандидатов между этапами воронки подбора;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применения расширенной фильтрации для поиска кандидатов и сохранения быстрых фильтров для участников подбора;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правил запуска тестирований в рамках прохождения этапов подбора;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настройки правил автоперехода кандидата между этапами подбора по выбранным критериям;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инструментов для автоматического получения откликов с подключенных работных сайтов,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и привязки аккаунтов доступных работных сайтов;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автопоиска и импорта кандидатов в систему по заданным критериям, в том числе поиска с опцией автоматического открытия контактов и без неё;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шаблонов публикаций;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правил авторазмещения публикаций на работных сайтах по критериям полей вакансий и заявок;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автоматического вычисления региона для публикации на работном сайте на основе адреса, указанного в заявке или вакансии с точностью выше 95%;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синхронизации чата с кандидатом с доступного работного сайта и выведения его в отдельный раздел.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стандартных выгрузок объектов в формате XLSX: Организационная единица / Заявка / Пользователь / Кандидат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стандартизации адресов в основных объектах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брендирования в соответствии с брендбуком Заказчика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оценки: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использования сценариев и основных видов опросников для диагностики кандидата на этапе подбора: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Собственный сервис тестирований (должно содержать возможность единичного варианта ответа, множественного с зачётом по частичному совпадению, множественного с зачётом по полному совпадению, текстового варианта ответа, вопросов без вариантов ответов, возможность настройки модели компетенций/критериев к вопросам и оценки ответа на каждый вопрос по компетенциям/критериям, возможность настраивать переход на следующий вопрос в зависимости от данного варианта ответа, возможность настраивать темы внутри тестирования и задавать разные веса для каждой темы которые влияют на оценку результата теста);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Собственный сервис видеоинтервью;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Собственный сервис домашних заданий.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интеграции с сервисом HT-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line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самостоятельно формировать и настраивать сценарии тестирования (различные наборы и последовательности прохождения тестирований кандидатами) для последующего автоматического назначения системой тестирований по группам вакансий, где группы формируются на основе полей вакансий (данных об оргструктуре, штатной позиции, воронке, грейде и т.д.)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коммуникации: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коммуникации с кандидатом в рамках карточки в формате: Телефония / Email / Sms /Telegram.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настройки шаблонов уведомлений и открытых нотификаций для коммуникации с участниками подбора и кандидатом в формате: Email / Sms / Telegram.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переадресации в web-версию мессенджера Telegram без хранения истории с использованием личного аккаунта.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коммуникации с кандидатом через чаты с работных сайтов HH и Avito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отчетности: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встроенной BI системы для формирования отчетности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наличие преднастроенных типовых отчётов: по воронке (включая статистику по деталям статусов: причины отказов и самоотказов), по эффективности источников, статистика закрытия заявок на подбор, загрузка рекрутеров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развертывания аналитической БД для подключения собственной BI системы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формирования выгрузок основных объектов системы в формате XLSX (оргструктура, штатные позиции, заявки, кандидаты, пользователи, справочники)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Персональные данные: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 ПО должна быть реализована возможность управления согласием на обработку персональных данных кандидатов и политикой по обработке персональных данных в соответствии с 152-ФЗ;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запроса согласий на обработку персональных данных из карточки кандидата;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сбора согласий на обработку персональных данных с кандидата при выполнении тестирования, заполнении анкет;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обезличивания кандидатов (с выбором конкретных полей в карточке кандидата, которые необходимо обезличить);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просмотр и хранение внешних/внутренних согласий, данных кандидатом (в пределах системы по форме работодателя и из доверенных источников, где доверенные источники настраиваются пользователем с ролью администратора);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получение на почту лога и акта об удалении персональных данных.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интеграции: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использования OpenAPI для обеспечения обмена данными между внешними системами или сторонними сервисами для обеспечения следующих процессов: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массовая загрузка и обновление данных организационной структуры и штатных позиций;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массовая загрузка и обновление данных пользователей;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профилей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заявок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вакансий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обмен данными по кандидатам;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данных по проверкам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данных по формам обратной связи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справочников;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публикации на работных сайтах (hh, SJ, zarplata, avito, habr, РВР) и получение откликов.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предоставления структуры API в форматах swagger и redoc и авторизационного токена отдельно для каждой внешней системы в формате: Bearer {токен}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наличие готовой интеграции для публикации и получения откликов с работных сайтов: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HH.ru,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SuperJob,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Zarplata.ru,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Avito,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Rabota.ru,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Хабр Карьера,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Факультетус,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VK,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Работа в России.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настройки корпоративной авторизации пользователей.</w:t>
            </w:r>
          </w:p>
          <w:p>
            <w:pPr>
              <w:pStyle w:val="Normal"/>
              <w:widowControl w:val="false"/>
              <w:ind w:left="720" w:hanging="504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Требования к ролевой модели: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Полномочия сотрудников должны определяться системными ролями и бизнес-ролями, где системная роль будет определять общие полномочия данной роли в системе, а бизнес-роль определять круг объектов системы (орг.единиц, заявок, вакансий, кандидатов) с которыми работает конкретный пользователь;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выделения основных ролей в компании, принимающих участие в подборе кандидатов, с определенным набором полномочий для заведения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профилей видимости для системных ролей в разрезе основных объектов: Организационная единица / Заявка / Вакансия / Кандидат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процессных ролей для вычисления ответственных пользователей за конкретными объектами: Организационная единица / Заявка / Вакансия / Кандидат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пользователей (создание / обновление данных из внешней системы / XLSX),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авторизации пользователей через Логин / Пароль;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подключения двухфакторной авторизации;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подключения корпоративной авторизации.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Архитектура должна быть построена по принципу обеспечения централизованного управления информационными ресурсами с возможностью передачи административных полномочий по управлению теми или иными подсистемами.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bookmarkStart w:id="63" w:name="_Toc162441065"/>
            <w:bookmarkStart w:id="64" w:name="_Toc164260699"/>
            <w:bookmarkStart w:id="65" w:name="_Toc156226776"/>
            <w:bookmarkStart w:id="66" w:name="_Toc161134081"/>
            <w:bookmarkStart w:id="67" w:name="_Toc162443199"/>
            <w:r>
              <w:rPr>
                <w:i/>
                <w:color w:val="000000"/>
                <w:sz w:val="24"/>
                <w:szCs w:val="24"/>
              </w:rPr>
              <w:t>Необходимо обеспечить одинаковый набор функций и одновременный доступ к данным пользователям, работающим на разных платформах (AlterOS, Windows). А также функционировать в режиме «клиент-сервер».</w:t>
            </w:r>
            <w:bookmarkEnd w:id="63"/>
            <w:bookmarkEnd w:id="64"/>
            <w:bookmarkEnd w:id="65"/>
            <w:bookmarkEnd w:id="66"/>
            <w:bookmarkEnd w:id="67"/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i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Требования к техническому обеспечению: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К конфигурации аппаратного и программного обеспечения типовых рабочих мест Заказчика предъявляются следующие минимальные требования: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архитектура операционной системы: х86_64;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Яндекс.Браузер 19.12+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операционная система AlterOS.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Первичная настройка ПО и её разворачивание на ресурсах Исполнителя осуществляется силами Исполнителя.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Серверное ПО должно обеспечивать возможность функционирования на операционных системах, внесенных в Единый реестр российских программ для электронных вычислительных машин и баз данных.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должна быть разработана на базе отечественного ПО (в соответствии с Единым реестром российских программ для электронных вычислительных машин и баз данных Минкомсвязи России).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развернутое на ресурсах Исполнителя должно быть доступно в круглосуточном режиме (24/7) с допустимыми перерывами на профилактику и перенастройку.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Для обеспечения поддержания сохранности данных в случае возникновения сбоев и потери данных необходимо предусмотреть возможность резервного копирования и восстановления из резервных копий данных и конфигураций.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i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68" w:name="_Toc164260703"/>
            <w:r>
              <w:rPr>
                <w:b/>
                <w:i/>
                <w:spacing w:val="-8"/>
                <w:sz w:val="24"/>
                <w:szCs w:val="24"/>
              </w:rPr>
              <w:t>Требования к интеграции в службу каталогов</w:t>
            </w:r>
            <w:bookmarkEnd w:id="68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Развернутое ПО должна быть интегрирована с существующей в ПАО «РусГидро» службой каталогов Заказчика (Active Directory и ALD PRO).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Необходимо обеспечить единый вход (single-sign-on) с использованием доменной учетной записи.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69" w:name="_Toc164260704"/>
            <w:bookmarkStart w:id="70" w:name="_Toc162443203"/>
            <w:bookmarkStart w:id="71" w:name="_Toc162441070"/>
            <w:bookmarkStart w:id="72" w:name="_Toc156226788"/>
            <w:bookmarkStart w:id="73" w:name="_Toc161134086"/>
            <w:r>
              <w:rPr>
                <w:b/>
                <w:i/>
                <w:spacing w:val="-8"/>
                <w:sz w:val="24"/>
                <w:szCs w:val="24"/>
              </w:rPr>
              <w:t>Требования к интеграции с внешними ИС</w:t>
            </w:r>
            <w:bookmarkEnd w:id="69"/>
            <w:bookmarkEnd w:id="70"/>
            <w:bookmarkEnd w:id="71"/>
            <w:bookmarkEnd w:id="72"/>
            <w:bookmarkEnd w:id="73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Взаимодействие ПО с внешними ИС должно осуществляться через ЕИП с использованием синхронных и асинхронных веб-сервисов по протоколу SOAP в универсальном транспортном конверте в формате XML. Транспортный конверт должен формироваться и использоваться ИС, взаимодействующими через ЕИП, в соответствии с документом «Требования к интеграции с ЕИП».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При невозможности или нецелесообразности реализации интеграции в формате универсального транспортного конверта ЕИП согласно разделу 2 документа «Требования к интеграции с ЕИП, возможно использовать текущий протокол интеграции. В этом случае на ЕИП осуществляется проксирование интерфейса системы поставщика сервиса, и Система должна обращаться ко внешней ИС через перевыставленный на ЕИП интерфейс.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умолчанию доставка сообщений в интеграционные системы выполняется параллельно с целью оптимизации производительности. По этой причине порядок доставки сообщений не гарантируется. При необходимости соблюдения строгой очередности доставки, нужно проработать этот вопрос на этапе разработки интеграции.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При использовании веб-сервиса с авторизацией ИС, инициирующей обращение, необходимо создать учетную запись в соответствии с документом «Требования к интеграции с ЕИП».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74" w:name="_Toc161134087"/>
            <w:bookmarkStart w:id="75" w:name="_Toc164260705"/>
            <w:bookmarkStart w:id="76" w:name="_Toc162441071"/>
            <w:bookmarkStart w:id="77" w:name="_Toc156226789"/>
            <w:bookmarkStart w:id="78" w:name="_Toc162443204"/>
            <w:r>
              <w:rPr>
                <w:b/>
                <w:i/>
                <w:spacing w:val="-8"/>
                <w:sz w:val="24"/>
                <w:szCs w:val="24"/>
              </w:rPr>
              <w:t>Требования к интеграции со смежными системами</w:t>
            </w:r>
            <w:bookmarkEnd w:id="74"/>
            <w:bookmarkEnd w:id="75"/>
            <w:bookmarkEnd w:id="76"/>
            <w:bookmarkEnd w:id="77"/>
            <w:bookmarkEnd w:id="78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993" w:leader="none"/>
                <w:tab w:val="left" w:pos="1134" w:leader="none"/>
                <w:tab w:val="left" w:pos="1701" w:leader="none"/>
                <w:tab w:val="left" w:pos="2127" w:leader="none"/>
              </w:tabs>
              <w:suppressAutoHyphens w:val="true"/>
              <w:jc w:val="both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Схема информационного обмена должна быть с Заказчиком согласована.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Интеграция с информационными системами ПАО «РусГидро» должна быть реализована с использованием интеграционной шины предприятия в соответствии с требованиями к интеграции с ЕИП (актуальную версию документа необходимо запросить у Заказчика).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Все данные, содержащиеся в других информационных системах и используемые, должны автоматически поступать из интеграционной шины предприятия. Отправка данных инициируется средствами за пределами Системы (на стороне интеграционной шины, на стороне системы-источника данных, и т.п.). Периодичность отправки данных в Систему определяется и контролируется средствами за пределами Системы.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Все информационные системы Заказчика, задействованные в однотипных интеграционных взаимодействиях с Системой, и входящие в один и тот же класс (например, все информационные системы кадрового учёта различных юридических лиц, входящих в организационный периметр, покрываемый Системой), должны иметь инвариантную по отношению к Системе структуру данных.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79" w:name="_Toc164260706"/>
            <w:bookmarkStart w:id="80" w:name="_Toc162443205"/>
            <w:bookmarkStart w:id="81" w:name="_Toc162441072"/>
            <w:bookmarkStart w:id="82" w:name="_Toc156226790"/>
            <w:bookmarkStart w:id="83" w:name="_Toc161134088"/>
            <w:r>
              <w:rPr>
                <w:b/>
                <w:i/>
                <w:spacing w:val="-8"/>
                <w:sz w:val="24"/>
                <w:szCs w:val="24"/>
              </w:rPr>
              <w:t>Требования к аналитической</w:t>
            </w:r>
            <w:bookmarkEnd w:id="80"/>
            <w:bookmarkEnd w:id="81"/>
            <w:bookmarkEnd w:id="82"/>
            <w:bookmarkEnd w:id="83"/>
            <w:r>
              <w:rPr>
                <w:b/>
                <w:i/>
                <w:spacing w:val="-8"/>
                <w:sz w:val="24"/>
                <w:szCs w:val="24"/>
              </w:rPr>
              <w:t xml:space="preserve"> СУБД</w:t>
            </w:r>
            <w:bookmarkEnd w:id="79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993" w:leader="none"/>
                <w:tab w:val="left" w:pos="1134" w:leader="none"/>
                <w:tab w:val="left" w:pos="1701" w:leader="none"/>
                <w:tab w:val="left" w:pos="2127" w:leader="none"/>
              </w:tabs>
              <w:suppressAutoHyphens w:val="true"/>
              <w:jc w:val="both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 качестве основной аналитической СУБД должно использоваться ПО, включенное в Единый реестр российских программ для электронных вычислительных машин и баз данных Минкомсвязи России.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Выбор основной аналитической СУБД должен обеспечивать возможность подключения к централизованной системе управления и администрирования баз данных Заказчика (Платформа Tantor) без дополнительного лицензирования.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/>
            </w:pPr>
            <w:r>
              <w:rPr>
                <w:i/>
                <w:color w:val="000000"/>
                <w:sz w:val="24"/>
                <w:szCs w:val="24"/>
              </w:rPr>
              <w:t>Аналитическая СУБД выбора должна реализовывать стандарт SQL и API, полностью совместимый со стандартом SQL (в частности, процедурный язык PL/pgSQL) и API СУБД с открытым исходным кодом PostgreSQL (</w:t>
            </w:r>
            <w:hyperlink r:id="rId5">
              <w:r>
                <w:rPr>
                  <w:i/>
                  <w:color w:val="000000"/>
                  <w:sz w:val="24"/>
                  <w:szCs w:val="24"/>
                </w:rPr>
                <w:t>https://www.postgresql.org/docs/</w:t>
              </w:r>
            </w:hyperlink>
            <w:r>
              <w:rPr>
                <w:i/>
                <w:color w:val="000000"/>
                <w:sz w:val="24"/>
                <w:szCs w:val="24"/>
              </w:rPr>
              <w:t>) с мажорной версией 12.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 случае выявления неисправностей (в частности, например, не соответствия или не полной реализации API PostgreSQL, или несоответствия версии) в функционировании выбранной СУБД, удовлетворяющей вышеобозначенным критериям, допускается замена на совместимый аналог, также удовлетворяющий вышеобозначенным критериям, однако, с привлечением дополнительного лицензирования. Ответственность за закупку дополнительных лицензий лежит на Заказчике.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Ответственность за поддержку работоспособности, надёжности функционирования СУБД выбора лежит на Исполнителе.</w:t>
            </w:r>
          </w:p>
        </w:tc>
      </w:tr>
    </w:tbl>
    <w:p>
      <w:pPr>
        <w:pStyle w:val="NormalWeb"/>
        <w:spacing w:lineRule="auto" w:line="276" w:beforeAutospacing="0" w:before="240" w:afterAutospacing="0" w:after="240"/>
        <w:jc w:val="both"/>
        <w:textAlignment w:val="baseline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default" r:id="rId6"/>
      <w:headerReference w:type="first" r:id="rId7"/>
      <w:type w:val="nextPage"/>
      <w:pgSz w:orient="landscape" w:w="16838" w:h="11906"/>
      <w:pgMar w:left="992" w:right="737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jc w:val="center"/>
      <w:rPr>
        <w:color w:val="000000"/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  <w:p>
    <w:pPr>
      <w:pStyle w:val="Normal"/>
      <w:widowControl w:val="false"/>
      <w:spacing w:lineRule="auto" w:line="276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/>
        <w:szCs w:val="36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8" w:hanging="6"/>
      </w:pPr>
      <w:rPr>
        <w:sz w:val="24"/>
        <w:i w:val="false"/>
        <w:b/>
        <w:szCs w:val="34"/>
      </w:rPr>
    </w:lvl>
    <w:lvl w:ilvl="2">
      <w:start w:val="1"/>
      <w:numFmt w:val="decimal"/>
      <w:lvlText w:val="%1.%2.%3."/>
      <w:lvlJc w:val="right"/>
      <w:pPr>
        <w:tabs>
          <w:tab w:val="num" w:pos="284"/>
        </w:tabs>
        <w:ind w:left="-140" w:firstLine="708"/>
      </w:pPr>
      <w:rPr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-566" w:firstLine="992"/>
      </w:pPr>
      <w:rPr>
        <w:sz w:val="24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u w:val="none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24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248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0b248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unhideWhenUsed/>
    <w:qFormat/>
    <w:rsid w:val="000b2487"/>
    <w:pPr>
      <w:spacing w:before="240" w:after="240"/>
      <w:ind w:left="0" w:hanging="0"/>
      <w:outlineLvl w:val="1"/>
    </w:pPr>
    <w:rPr/>
  </w:style>
  <w:style w:type="paragraph" w:styleId="Heading3">
    <w:name w:val="Heading 3"/>
    <w:basedOn w:val="Normal"/>
    <w:next w:val="Normal"/>
    <w:link w:val="3"/>
    <w:uiPriority w:val="9"/>
    <w:unhideWhenUsed/>
    <w:qFormat/>
    <w:rsid w:val="000b2487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unhideWhenUsed/>
    <w:qFormat/>
    <w:rsid w:val="000b2487"/>
    <w:pPr>
      <w:tabs>
        <w:tab w:val="clear" w:pos="0"/>
      </w:tabs>
      <w:ind w:left="792" w:hanging="432"/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0b2487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uiPriority w:val="9"/>
    <w:qFormat/>
    <w:rsid w:val="000b248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uiPriority w:val="9"/>
    <w:qFormat/>
    <w:rsid w:val="000b2487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uiPriority w:val="9"/>
    <w:qFormat/>
    <w:rsid w:val="000b248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0b2487"/>
    <w:rPr>
      <w:color w:val="0563C1" w:themeColor="hyperlink"/>
      <w:u w:val="single"/>
    </w:rPr>
  </w:style>
  <w:style w:type="character" w:styleId="Style5" w:customStyle="1">
    <w:name w:val="Основной текст Знак"/>
    <w:qFormat/>
    <w:rsid w:val="000b2487"/>
    <w:rPr>
      <w:sz w:val="28"/>
      <w:szCs w:val="28"/>
    </w:rPr>
  </w:style>
  <w:style w:type="character" w:styleId="Style6" w:customStyle="1">
    <w:name w:val="Абзац списка Знак"/>
    <w:link w:val="ListParagraph"/>
    <w:uiPriority w:val="34"/>
    <w:qFormat/>
    <w:locked/>
    <w:rsid w:val="000b2487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0b2487"/>
    <w:rPr>
      <w:b/>
      <w:i/>
      <w:shd w:fill="FFFF99" w:val="clear"/>
    </w:rPr>
  </w:style>
  <w:style w:type="character" w:styleId="31" w:customStyle="1">
    <w:name w:val="Стиль3 Знак"/>
    <w:basedOn w:val="DefaultParagraphFont"/>
    <w:qFormat/>
    <w:rsid w:val="000b2487"/>
    <w:rPr>
      <w:sz w:val="24"/>
      <w:szCs w:val="24"/>
    </w:rPr>
  </w:style>
  <w:style w:type="character" w:styleId="Style8" w:customStyle="1">
    <w:name w:val="Ссылка указателя"/>
    <w:qFormat/>
    <w:rsid w:val="000b2487"/>
    <w:rPr/>
  </w:style>
  <w:style w:type="character" w:styleId="11" w:customStyle="1">
    <w:name w:val="Основной текст Знак1"/>
    <w:basedOn w:val="DefaultParagraphFont"/>
    <w:uiPriority w:val="99"/>
    <w:semiHidden/>
    <w:qFormat/>
    <w:rsid w:val="000b2487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0b2487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Caption1" w:customStyle="1">
    <w:name w:val="caption1"/>
    <w:basedOn w:val="Normal"/>
    <w:next w:val="Normal"/>
    <w:uiPriority w:val="35"/>
    <w:qFormat/>
    <w:rsid w:val="000b2487"/>
    <w:pPr/>
    <w:rPr>
      <w:rFonts w:eastAsia="Calibri"/>
      <w:b/>
      <w:bCs/>
      <w:color w:val="4F81BD"/>
      <w:sz w:val="18"/>
      <w:szCs w:val="18"/>
    </w:rPr>
  </w:style>
  <w:style w:type="paragraph" w:styleId="Style11" w:customStyle="1">
    <w:name w:val="Раздел положения"/>
    <w:basedOn w:val="Normal"/>
    <w:autoRedefine/>
    <w:qFormat/>
    <w:rsid w:val="000b2487"/>
    <w:pPr>
      <w:spacing w:before="80" w:after="80"/>
      <w:jc w:val="center"/>
    </w:pPr>
    <w:rPr>
      <w:b/>
      <w:szCs w:val="32"/>
    </w:rPr>
  </w:style>
  <w:style w:type="paragraph" w:styleId="TOC1">
    <w:name w:val="TOC 1"/>
    <w:basedOn w:val="Normal"/>
    <w:next w:val="Normal"/>
    <w:autoRedefine/>
    <w:uiPriority w:val="39"/>
    <w:rsid w:val="000b2487"/>
    <w:pPr>
      <w:tabs>
        <w:tab w:val="clear" w:pos="708"/>
        <w:tab w:val="left" w:pos="560" w:leader="none"/>
        <w:tab w:val="right" w:pos="9344" w:leader="dot"/>
      </w:tabs>
      <w:spacing w:before="120" w:after="120"/>
    </w:pPr>
    <w:rPr>
      <w:rFonts w:cs="Calibri Light (Заголовки)"/>
      <w:b/>
      <w:bCs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rsid w:val="000b2487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hAnsiTheme="minorHAnsi"/>
      <w:sz w:val="24"/>
      <w:szCs w:val="24"/>
      <w:lang w:eastAsia="en-US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qFormat/>
    <w:rsid w:val="000b2487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Style12" w:customStyle="1">
    <w:name w:val="Таблица"/>
    <w:basedOn w:val="Normal"/>
    <w:qFormat/>
    <w:rsid w:val="000b2487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0b2487"/>
    <w:pPr>
      <w:spacing w:beforeAutospacing="1" w:afterAutospacing="1"/>
    </w:pPr>
    <w:rPr>
      <w:sz w:val="24"/>
      <w:szCs w:val="24"/>
    </w:rPr>
  </w:style>
  <w:style w:type="paragraph" w:styleId="Style13" w:customStyle="1">
    <w:name w:val="русгидро п.п.п.п."/>
    <w:basedOn w:val="Normal"/>
    <w:qFormat/>
    <w:rsid w:val="000b2487"/>
    <w:pPr>
      <w:numPr>
        <w:ilvl w:val="3"/>
        <w:numId w:val="4"/>
      </w:numPr>
      <w:tabs>
        <w:tab w:val="clear" w:pos="708"/>
        <w:tab w:val="left" w:pos="1843" w:leader="none"/>
      </w:tabs>
      <w:suppressAutoHyphens w:val="true"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Style1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0b2487"/>
    <w:pPr>
      <w:spacing w:after="0" w:line="240" w:lineRule="auto"/>
    </w:pPr>
    <w:rPr>
      <w:lang w:eastAsia="ru-RU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31"/>
    <w:basedOn w:val="a2"/>
    <w:rsid w:val="000b2487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www.postgresql.org/docs/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92824AF81C314781B296E133A7D060" ma:contentTypeVersion="1" ma:contentTypeDescription="Создание документа." ma:contentTypeScope="" ma:versionID="38e75baad1addcca7edea0a552f93b80">
  <xsd:schema xmlns:xsd="http://www.w3.org/2001/XMLSchema" xmlns:xs="http://www.w3.org/2001/XMLSchema" xmlns:p="http://schemas.microsoft.com/office/2006/metadata/properties" xmlns:ns2="cff26a1b-c659-4909-a6c9-0b519677f707" targetNamespace="http://schemas.microsoft.com/office/2006/metadata/properties" ma:root="true" ma:fieldsID="0b8570f2a41b62ecd41ab7ba53e80019" ns2:_="">
    <xsd:import namespace="cff26a1b-c659-4909-a6c9-0b519677f70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26a1b-c659-4909-a6c9-0b519677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42B3B-EE94-491D-B08C-9AE57288CAA4}"/>
</file>

<file path=customXml/itemProps2.xml><?xml version="1.0" encoding="utf-8"?>
<ds:datastoreItem xmlns:ds="http://schemas.openxmlformats.org/officeDocument/2006/customXml" ds:itemID="{B5FA0090-8432-4E40-B5D0-513EEC05B28A}"/>
</file>

<file path=customXml/itemProps3.xml><?xml version="1.0" encoding="utf-8"?>
<ds:datastoreItem xmlns:ds="http://schemas.openxmlformats.org/officeDocument/2006/customXml" ds:itemID="{A15A9631-6844-47B9-9BDE-2077455C9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AlterOffice/2025.3.0.0$Linux_X86_64 LibreOffice_project/4ba31b6a4271509a884f95065d0a726e9cb2bdbb</Application>
  <AppVersion>15.0000</AppVersion>
  <Pages>22</Pages>
  <Words>3656</Words>
  <Characters>25188</Characters>
  <CharactersWithSpaces>28283</CharactersWithSpaces>
  <Paragraphs>384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2024-08-20T13:36:00Z</dcterms:created>
  <dc:creator>Прокопьев Илья Станиславович</dc:creator>
  <dc:description/>
  <dc:language>ru-RU</dc:language>
  <cp:lastModifiedBy>yaropolovpp@corp.gidroogk.com</cp:lastModifiedBy>
  <cp:lastPrinted>2025-09-02T17:39:22Z</cp:lastPrinted>
  <dcterms:modified xsi:type="dcterms:W3CDTF">2026-07-14T17:16:14Z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0x0101006A92824AF81C314781B296E133A7D060</vt:lpwstr>
  </property>
</Properties>
</file>