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center"/>
        <w:rPr>
          <w:b/>
          <w:sz w:val="24"/>
          <w:szCs w:val="24"/>
        </w:rPr>
      </w:pPr>
      <w:r>
        <w:rPr>
          <w:b/>
          <w:bCs/>
          <w:sz w:val="24"/>
          <w:szCs w:val="24"/>
        </w:rPr>
        <w:t xml:space="preserve">Договор поставки </w:t>
      </w:r>
      <w:r>
        <w:rPr>
          <w:b/>
          <w:bCs/>
          <w:sz w:val="24"/>
          <w:szCs w:val="24"/>
        </w:rPr>
        <w:t>35</w:t>
      </w:r>
      <w:r>
        <w:rPr>
          <w:b/>
          <w:bCs/>
          <w:sz w:val="24"/>
          <w:szCs w:val="24"/>
        </w:rPr>
        <w:t>-ЭКСП-БПД-2026-ДФ</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s>
        <w:ind w:left="0" w:firstLine="567"/>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
          <w:bCs/>
          <w:sz w:val="24"/>
          <w:szCs w:val="24"/>
        </w:rPr>
        <w:t xml:space="preserve"> средств</w:t>
      </w:r>
      <w:r>
        <w:rPr>
          <w:b/>
          <w:bCs/>
          <w:sz w:val="24"/>
          <w:szCs w:val="24"/>
        </w:rPr>
        <w:t>а</w:t>
      </w:r>
      <w:r>
        <w:rPr>
          <w:b/>
          <w:bCs/>
          <w:sz w:val="24"/>
          <w:szCs w:val="24"/>
        </w:rPr>
        <w:t xml:space="preserve"> защиты используемых при работе в  электроустановках</w:t>
      </w:r>
      <w:r>
        <w:rPr>
          <w:bCs/>
          <w:sz w:val="24"/>
          <w:szCs w:val="24"/>
        </w:rPr>
        <w:t xml:space="preserve"> для нужды Дагестанского филиала</w:t>
      </w:r>
      <w:r>
        <w:rPr>
          <w:rStyle w:val="Annotationreference"/>
          <w:bCs/>
          <w:sz w:val="24"/>
          <w:szCs w:val="24"/>
        </w:rPr>
        <w:t xml:space="preserve"> </w:t>
      </w:r>
      <w:r>
        <w:rPr>
          <w:bCs/>
          <w:sz w:val="24"/>
          <w:szCs w:val="24"/>
        </w:rPr>
        <w:t>(далее – «Товар»)  для нужд филиала ПАО "РусГидро" - "Дагестанский филиал"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а также сроки и место его поставки указываются в Спецификацию </w:t>
      </w:r>
      <w:r>
        <w:rPr>
          <w:bCs/>
          <w:sz w:val="24"/>
          <w:szCs w:val="24"/>
        </w:rPr>
        <w:t>(Приложение № 1 к Договору).</w:t>
      </w:r>
    </w:p>
    <w:p>
      <w:pPr>
        <w:pStyle w:val="Normal"/>
        <w:numPr>
          <w:ilvl w:val="1"/>
          <w:numId w:val="2"/>
        </w:numPr>
        <w:shd w:val="clear" w:color="auto" w:fill="FFFFFF"/>
        <w:tabs>
          <w:tab w:val="clear" w:pos="708"/>
          <w:tab w:val="left" w:pos="0" w:leader="none"/>
          <w:tab w:val="left" w:pos="1134" w:leader="none"/>
          <w:tab w:val="left" w:pos="1851" w:leader="none"/>
        </w:tabs>
        <w:ind w:left="0" w:firstLine="709"/>
        <w:jc w:val="both"/>
        <w:rPr>
          <w:bCs/>
          <w:sz w:val="24"/>
          <w:szCs w:val="24"/>
        </w:rPr>
      </w:pPr>
      <w:r>
        <w:rPr>
          <w:bCs/>
          <w:sz w:val="24"/>
          <w:szCs w:val="24"/>
        </w:rPr>
        <w:t xml:space="preserve">Поставка Товара по Договору осуществляется для Филиала ПАО “РусГидро” – “Дагестанский филиал”.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 w:val="left" w:pos="1855" w:leader="none"/>
        </w:tabs>
        <w:ind w:left="0" w:firstLine="709"/>
        <w:jc w:val="both"/>
        <w:rPr>
          <w:bCs/>
          <w:sz w:val="24"/>
          <w:szCs w:val="24"/>
        </w:rPr>
      </w:pPr>
      <w:r>
        <w:rPr>
          <w:bCs/>
          <w:sz w:val="24"/>
          <w:szCs w:val="24"/>
        </w:rPr>
        <w:t xml:space="preserve">Начало - </w:t>
      </w:r>
      <w:r>
        <w:rPr>
          <w:sz w:val="24"/>
          <w:szCs w:val="24"/>
        </w:rPr>
        <w:t>с даты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Окончание – 30.11.202</w:t>
      </w:r>
      <w:r>
        <w:rPr>
          <w:bCs/>
          <w:sz w:val="24"/>
          <w:szCs w:val="24"/>
          <w:lang w:val="en-US"/>
        </w:rPr>
        <w:t>6</w:t>
      </w:r>
      <w:r>
        <w:rPr>
          <w:bCs/>
          <w:sz w:val="24"/>
          <w:szCs w:val="24"/>
        </w:rPr>
        <w:t>г</w:t>
      </w:r>
    </w:p>
    <w:p>
      <w:pPr>
        <w:pStyle w:val="Normal"/>
        <w:shd w:val="clear" w:color="auto" w:fill="FFFFFF"/>
        <w:tabs>
          <w:tab w:val="clear" w:pos="708"/>
          <w:tab w:val="left" w:pos="1134" w:leader="none"/>
          <w:tab w:val="left" w:pos="1418" w:leader="none"/>
          <w:tab w:val="left" w:pos="4690" w:leader="none"/>
        </w:tabs>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jc w:val="both"/>
        <w:rPr>
          <w:sz w:val="24"/>
          <w:szCs w:val="24"/>
        </w:rPr>
      </w:pPr>
      <w:r>
        <w:rPr>
          <w:sz w:val="24"/>
          <w:szCs w:val="24"/>
        </w:rPr>
        <w:t xml:space="preserve">Оплата по Договору осуществляется Покупателем в следующем порядке: </w:t>
      </w:r>
    </w:p>
    <w:p>
      <w:pPr>
        <w:pStyle w:val="Normal"/>
        <w:numPr>
          <w:ilvl w:val="2"/>
          <w:numId w:val="2"/>
        </w:numPr>
        <w:shd w:val="clear" w:color="auto" w:fill="FFFFFF"/>
        <w:ind w:left="-142" w:firstLine="709"/>
        <w:jc w:val="both"/>
        <w:rPr>
          <w:bCs/>
          <w:color w:val="000000"/>
          <w:sz w:val="24"/>
          <w:szCs w:val="24"/>
        </w:rPr>
      </w:pPr>
      <w:r>
        <w:rPr>
          <w:sz w:val="24"/>
          <w:szCs w:val="24"/>
        </w:rPr>
        <w:t>Авансовый платеж в размере 30 % (тридцати процентов) от стоимости Товара выплачиваются Поставщику, при условии согласования Сторонами соответствующей Заявки,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Normal"/>
        <w:numPr>
          <w:ilvl w:val="2"/>
          <w:numId w:val="2"/>
        </w:numPr>
        <w:ind w:left="-142" w:firstLine="709"/>
        <w:jc w:val="both"/>
        <w:rPr>
          <w:bCs/>
          <w:color w:val="000000"/>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авансового платежа, ранее уплаченного в соответствии с пунктом 2.5.2 Договора, выплачиваются Поставщику в течение 7 (семи) рабочих дней с даты подписания Сторонами Накладной ТОРГ-12, на основании счёта, выставленного Поставщиком, и с учетом пункта 2.5.4 Договора.</w:t>
      </w:r>
    </w:p>
    <w:p>
      <w:pPr>
        <w:pStyle w:val="Normal"/>
        <w:numPr>
          <w:ilvl w:val="2"/>
          <w:numId w:val="2"/>
        </w:numPr>
        <w:shd w:val="clear" w:color="auto" w:fill="FFFFFF"/>
        <w:ind w:left="-142" w:firstLine="709"/>
        <w:jc w:val="both"/>
        <w:rPr>
          <w:bCs/>
          <w:color w:val="000000"/>
          <w:sz w:val="24"/>
          <w:szCs w:val="24"/>
        </w:rPr>
      </w:pPr>
      <w:r>
        <w:rPr>
          <w:bCs/>
          <w:color w:val="000000"/>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numPr>
          <w:ilvl w:val="2"/>
          <w:numId w:val="2"/>
        </w:numPr>
        <w:shd w:val="clear" w:color="auto" w:fill="FFFFFF"/>
        <w:ind w:left="-142" w:firstLine="709"/>
        <w:jc w:val="both"/>
        <w:rPr>
          <w:bCs/>
          <w:color w:val="000000"/>
          <w:sz w:val="24"/>
          <w:szCs w:val="24"/>
        </w:rPr>
      </w:pPr>
      <w:r>
        <w:rPr>
          <w:bCs/>
          <w:color w:val="000000"/>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pPr>
        <w:pStyle w:val="Normal"/>
        <w:numPr>
          <w:ilvl w:val="1"/>
          <w:numId w:val="2"/>
        </w:numPr>
        <w:tabs>
          <w:tab w:val="clear" w:pos="708"/>
        </w:tabs>
        <w:spacing w:before="0" w:after="0"/>
        <w:ind w:left="0" w:firstLine="567"/>
        <w:contextualSpacing/>
        <w:jc w:val="both"/>
        <w:rPr>
          <w:sz w:val="24"/>
          <w:szCs w:val="24"/>
        </w:rPr>
      </w:pPr>
      <w:r>
        <w:rPr>
          <w:sz w:val="24"/>
          <w:szCs w:val="24"/>
        </w:rPr>
        <w:t xml:space="preserve">Поставщик обязан представить Покупателю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 </w:t>
      </w:r>
    </w:p>
    <w:p>
      <w:pPr>
        <w:pStyle w:val="Normal"/>
        <w:widowControl/>
        <w:numPr>
          <w:ilvl w:val="1"/>
          <w:numId w:val="2"/>
        </w:numPr>
        <w:shd w:val="clear" w:color="auto" w:fill="FFFFFF"/>
        <w:tabs>
          <w:tab w:val="clear" w:pos="708"/>
          <w:tab w:val="left" w:pos="1134" w:leader="none"/>
          <w:tab w:val="left" w:pos="1283" w:leader="none"/>
        </w:tabs>
        <w:spacing w:before="0" w:after="0"/>
        <w:ind w:left="0" w:firstLine="567"/>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оплате товара платежа считается выполненными с даты списания денежных средств с расчетного счета Покупателя.</w:t>
      </w:r>
    </w:p>
    <w:p>
      <w:pPr>
        <w:pStyle w:val="Normal"/>
        <w:numPr>
          <w:ilvl w:val="1"/>
          <w:numId w:val="2"/>
        </w:numPr>
        <w:shd w:val="clear" w:color="auto" w:fill="FFFFFF"/>
        <w:tabs>
          <w:tab w:val="clear" w:pos="708"/>
        </w:tabs>
        <w:ind w:left="0" w:firstLine="567"/>
        <w:jc w:val="both"/>
        <w:rPr>
          <w:sz w:val="24"/>
          <w:szCs w:val="24"/>
        </w:rPr>
      </w:pPr>
      <w:r>
        <w:rPr>
          <w:sz w:val="24"/>
          <w:szCs w:val="24"/>
        </w:rPr>
        <w:t>Индексация Цены Договора не предусматривается.</w:t>
      </w:r>
    </w:p>
    <w:p>
      <w:pPr>
        <w:pStyle w:val="Normal"/>
        <w:numPr>
          <w:ilvl w:val="1"/>
          <w:numId w:val="2"/>
        </w:numPr>
        <w:shd w:val="clear" w:color="auto" w:fill="FFFFFF"/>
        <w:tabs>
          <w:tab w:val="clear" w:pos="708"/>
          <w:tab w:val="left" w:pos="1134" w:leader="none"/>
        </w:tabs>
        <w:ind w:left="0" w:firstLine="567"/>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8"/>
        </w:tabs>
        <w:spacing w:before="0" w:after="0"/>
        <w:ind w:left="0" w:firstLine="567"/>
        <w:contextualSpacing/>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shd w:val="clear" w:color="auto" w:fill="FFFFFF"/>
        <w:tabs>
          <w:tab w:val="clear" w:pos="708"/>
          <w:tab w:val="left" w:pos="1134" w:leader="none"/>
        </w:tabs>
        <w:spacing w:before="0" w:after="0"/>
        <w:ind w:firstLine="567"/>
        <w:contextualSpacing/>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ind w:firstLine="567"/>
        <w:rPr>
          <w:sz w:val="24"/>
          <w:szCs w:val="24"/>
        </w:rPr>
      </w:pPr>
      <w:r>
        <w:rPr>
          <w:sz w:val="24"/>
          <w:szCs w:val="24"/>
        </w:rPr>
        <w:t>3.1. Поставка Товара осуществляется в осуществляется одной партией в Место поставки, указанное в пункте 1.3 Договора.</w:t>
      </w:r>
    </w:p>
    <w:p>
      <w:pPr>
        <w:pStyle w:val="ListParagraph"/>
        <w:widowControl/>
        <w:shd w:val="clear" w:color="auto" w:fill="FFFFFF"/>
        <w:tabs>
          <w:tab w:val="clear" w:pos="708"/>
          <w:tab w:val="left" w:pos="1134" w:leader="none"/>
        </w:tabs>
        <w:ind w:left="0" w:firstLine="567"/>
        <w:jc w:val="both"/>
        <w:rPr>
          <w:bCs/>
          <w:sz w:val="24"/>
          <w:szCs w:val="24"/>
        </w:rPr>
      </w:pPr>
      <w:r>
        <w:rPr>
          <w:bCs/>
          <w:sz w:val="24"/>
          <w:szCs w:val="24"/>
        </w:rPr>
        <w:t>3.2. 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567"/>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shd w:val="clear" w:color="auto" w:fill="FFFFFF"/>
        <w:tabs>
          <w:tab w:val="clear" w:pos="708"/>
          <w:tab w:val="left" w:pos="1134" w:leader="none"/>
        </w:tabs>
        <w:ind w:left="0" w:firstLine="567"/>
        <w:jc w:val="both"/>
        <w:rPr>
          <w:bCs/>
          <w:sz w:val="24"/>
          <w:szCs w:val="24"/>
        </w:rPr>
      </w:pPr>
      <w:r>
        <w:rPr>
          <w:bCs/>
          <w:sz w:val="24"/>
          <w:szCs w:val="24"/>
        </w:rPr>
        <w:t>3.3. 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shd w:val="clear" w:color="auto" w:fill="FFFFFF"/>
        <w:tabs>
          <w:tab w:val="clear" w:pos="708"/>
          <w:tab w:val="left" w:pos="1134" w:leader="none"/>
        </w:tabs>
        <w:ind w:left="0" w:firstLine="567"/>
        <w:jc w:val="both"/>
        <w:rPr>
          <w:bCs/>
          <w:sz w:val="24"/>
          <w:szCs w:val="24"/>
        </w:rPr>
      </w:pPr>
      <w:r>
        <w:rPr>
          <w:bCs/>
          <w:sz w:val="24"/>
          <w:szCs w:val="24"/>
        </w:rPr>
        <w:t xml:space="preserve">3.4. 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567"/>
        <w:jc w:val="both"/>
        <w:rPr>
          <w:sz w:val="24"/>
          <w:szCs w:val="24"/>
        </w:rPr>
      </w:pPr>
      <w:r>
        <w:rPr>
          <w:sz w:val="24"/>
          <w:szCs w:val="24"/>
        </w:rPr>
        <w:t xml:space="preserve">сертификат качества в </w:t>
      </w:r>
      <w:r>
        <w:rPr>
          <w:sz w:val="24"/>
          <w:szCs w:val="24"/>
          <w:highlight w:val="lightGray"/>
        </w:rPr>
        <w:t>_1</w:t>
      </w:r>
      <w:r>
        <w:rPr>
          <w:sz w:val="24"/>
          <w:szCs w:val="24"/>
        </w:rPr>
        <w:t xml:space="preserve"> экз.;</w:t>
      </w:r>
    </w:p>
    <w:p>
      <w:pPr>
        <w:pStyle w:val="Normal"/>
        <w:numPr>
          <w:ilvl w:val="0"/>
          <w:numId w:val="4"/>
        </w:numPr>
        <w:tabs>
          <w:tab w:val="clear" w:pos="708"/>
          <w:tab w:val="left" w:pos="1418" w:leader="none"/>
        </w:tabs>
        <w:ind w:left="0" w:firstLine="567"/>
        <w:jc w:val="both"/>
        <w:rPr>
          <w:sz w:val="24"/>
          <w:szCs w:val="24"/>
        </w:rPr>
      </w:pPr>
      <w:r>
        <w:rPr>
          <w:sz w:val="24"/>
          <w:szCs w:val="24"/>
        </w:rPr>
        <w:t xml:space="preserve">технический паспорт на русском языке в </w:t>
      </w:r>
      <w:r>
        <w:rPr>
          <w:sz w:val="24"/>
          <w:szCs w:val="24"/>
          <w:highlight w:val="lightGray"/>
        </w:rPr>
        <w:t>_1_</w:t>
      </w:r>
      <w:r>
        <w:rPr>
          <w:sz w:val="24"/>
          <w:szCs w:val="24"/>
        </w:rPr>
        <w:t>экз.;</w:t>
      </w:r>
    </w:p>
    <w:p>
      <w:pPr>
        <w:pStyle w:val="Normal"/>
        <w:numPr>
          <w:ilvl w:val="0"/>
          <w:numId w:val="4"/>
        </w:numPr>
        <w:tabs>
          <w:tab w:val="clear" w:pos="708"/>
          <w:tab w:val="left" w:pos="1418" w:leader="none"/>
        </w:tabs>
        <w:ind w:left="0" w:firstLine="567"/>
        <w:jc w:val="both"/>
        <w:rPr>
          <w:sz w:val="24"/>
          <w:szCs w:val="24"/>
        </w:rPr>
      </w:pPr>
      <w:r>
        <w:rPr>
          <w:sz w:val="24"/>
          <w:szCs w:val="24"/>
        </w:rPr>
        <w:t xml:space="preserve">инструкция по эксплуатации на русском языке в </w:t>
      </w:r>
      <w:r>
        <w:rPr>
          <w:sz w:val="24"/>
          <w:szCs w:val="24"/>
          <w:highlight w:val="lightGray"/>
        </w:rPr>
        <w:t xml:space="preserve">_1 </w:t>
      </w:r>
      <w:r>
        <w:rPr>
          <w:sz w:val="24"/>
          <w:szCs w:val="24"/>
        </w:rPr>
        <w:t>экз.;</w:t>
      </w:r>
    </w:p>
    <w:p>
      <w:pPr>
        <w:pStyle w:val="Normal"/>
        <w:numPr>
          <w:ilvl w:val="0"/>
          <w:numId w:val="4"/>
        </w:numPr>
        <w:tabs>
          <w:tab w:val="clear" w:pos="708"/>
          <w:tab w:val="left" w:pos="1418" w:leader="none"/>
        </w:tabs>
        <w:ind w:left="0" w:firstLine="567"/>
        <w:jc w:val="both"/>
        <w:rPr>
          <w:sz w:val="24"/>
          <w:szCs w:val="24"/>
        </w:rPr>
      </w:pPr>
      <w:r>
        <w:rPr>
          <w:sz w:val="24"/>
          <w:szCs w:val="24"/>
        </w:rPr>
        <w:t xml:space="preserve">упаковочный лист в </w:t>
      </w:r>
      <w:r>
        <w:rPr>
          <w:sz w:val="24"/>
          <w:szCs w:val="24"/>
          <w:highlight w:val="lightGray"/>
        </w:rPr>
        <w:t xml:space="preserve">_1 </w:t>
      </w:r>
      <w:r>
        <w:rPr>
          <w:sz w:val="24"/>
          <w:szCs w:val="24"/>
        </w:rPr>
        <w:t>экз.;</w:t>
      </w:r>
    </w:p>
    <w:p>
      <w:pPr>
        <w:pStyle w:val="Normal"/>
        <w:numPr>
          <w:ilvl w:val="0"/>
          <w:numId w:val="3"/>
        </w:numPr>
        <w:tabs>
          <w:tab w:val="clear" w:pos="708"/>
          <w:tab w:val="left" w:pos="1418" w:leader="none"/>
        </w:tabs>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 xml:space="preserve">накладная ТОРГ-12 в </w:t>
      </w:r>
      <w:r>
        <w:rPr>
          <w:sz w:val="24"/>
          <w:szCs w:val="24"/>
          <w:highlight w:val="lightGray"/>
        </w:rPr>
        <w:t xml:space="preserve"> 2</w:t>
      </w:r>
      <w:r>
        <w:rPr>
          <w:sz w:val="24"/>
          <w:szCs w:val="24"/>
        </w:rPr>
        <w:t xml:space="preserve"> экз.</w:t>
      </w:r>
    </w:p>
    <w:p>
      <w:pPr>
        <w:pStyle w:val="ListParagraph"/>
        <w:widowControl/>
        <w:shd w:val="clear" w:color="auto" w:fill="FFFFFF"/>
        <w:tabs>
          <w:tab w:val="clear" w:pos="708"/>
          <w:tab w:val="left" w:pos="1134" w:leader="none"/>
          <w:tab w:val="left" w:pos="1418" w:leader="none"/>
        </w:tabs>
        <w:ind w:left="0" w:firstLine="426"/>
        <w:jc w:val="both"/>
        <w:rPr>
          <w:bCs/>
          <w:sz w:val="24"/>
          <w:szCs w:val="24"/>
        </w:rPr>
      </w:pPr>
      <w:bookmarkStart w:id="0" w:name="_Ref361408232"/>
      <w:r>
        <w:rPr>
          <w:bCs/>
          <w:sz w:val="24"/>
          <w:szCs w:val="24"/>
        </w:rPr>
        <w:t xml:space="preserve">3.5. 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426"/>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shd w:val="clear" w:color="auto" w:fill="FFFFFF"/>
        <w:tabs>
          <w:tab w:val="clear" w:pos="708"/>
          <w:tab w:val="left" w:pos="1134" w:leader="none"/>
          <w:tab w:val="left" w:pos="1418" w:leader="none"/>
        </w:tabs>
        <w:ind w:left="0" w:firstLine="426"/>
        <w:jc w:val="both"/>
        <w:rPr>
          <w:bCs/>
          <w:sz w:val="24"/>
          <w:szCs w:val="24"/>
        </w:rPr>
      </w:pPr>
      <w:r>
        <w:rPr>
          <w:bCs/>
          <w:sz w:val="24"/>
          <w:szCs w:val="24"/>
        </w:rPr>
        <w:t>3.6. 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shd w:val="clear" w:color="auto" w:fill="FFFFFF"/>
        <w:tabs>
          <w:tab w:val="clear" w:pos="708"/>
          <w:tab w:val="left" w:pos="1134" w:leader="none"/>
          <w:tab w:val="left" w:pos="1418" w:leader="none"/>
        </w:tabs>
        <w:ind w:left="0" w:firstLine="426"/>
        <w:jc w:val="both"/>
        <w:rPr>
          <w:bCs/>
          <w:sz w:val="24"/>
          <w:szCs w:val="24"/>
        </w:rPr>
      </w:pPr>
      <w:bookmarkStart w:id="1" w:name="_Ref361408474"/>
      <w:r>
        <w:rPr>
          <w:bCs/>
          <w:sz w:val="24"/>
          <w:szCs w:val="24"/>
        </w:rPr>
        <w:t>3.7. 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426"/>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426"/>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shd w:val="clear" w:color="auto" w:fill="FFFFFF"/>
        <w:tabs>
          <w:tab w:val="clear" w:pos="708"/>
          <w:tab w:val="left" w:pos="1134" w:leader="none"/>
          <w:tab w:val="left" w:pos="1418" w:leader="none"/>
        </w:tabs>
        <w:ind w:left="0" w:firstLine="426"/>
        <w:jc w:val="both"/>
        <w:rPr>
          <w:sz w:val="24"/>
          <w:szCs w:val="24"/>
        </w:rPr>
      </w:pPr>
      <w:r>
        <w:rPr>
          <w:sz w:val="24"/>
          <w:szCs w:val="24"/>
        </w:rPr>
        <w:t xml:space="preserve">3.8. 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shd w:val="clear" w:color="auto" w:fill="FFFFFF"/>
        <w:tabs>
          <w:tab w:val="clear" w:pos="708"/>
          <w:tab w:val="left" w:pos="1134" w:leader="none"/>
        </w:tabs>
        <w:ind w:left="0" w:firstLine="426"/>
        <w:jc w:val="both"/>
        <w:rPr>
          <w:sz w:val="24"/>
          <w:szCs w:val="24"/>
        </w:rPr>
      </w:pPr>
      <w:r>
        <w:rPr>
          <w:sz w:val="24"/>
          <w:szCs w:val="24"/>
        </w:rPr>
        <w:t xml:space="preserve">3.9. Досрочная поставка Товара допускается только при условии получения Поставщиком письменного согласия Покупателя. </w:t>
      </w:r>
    </w:p>
    <w:p>
      <w:pPr>
        <w:pStyle w:val="ListParagraph"/>
        <w:widowControl/>
        <w:shd w:val="clear" w:color="auto" w:fill="FFFFFF"/>
        <w:tabs>
          <w:tab w:val="clear" w:pos="708"/>
          <w:tab w:val="left" w:pos="1418" w:leader="none"/>
        </w:tabs>
        <w:ind w:left="0" w:firstLine="426"/>
        <w:jc w:val="both"/>
        <w:rPr>
          <w:sz w:val="24"/>
          <w:szCs w:val="24"/>
        </w:rPr>
      </w:pPr>
      <w:bookmarkStart w:id="2" w:name="_Ref361396594"/>
      <w:r>
        <w:rPr>
          <w:sz w:val="24"/>
          <w:szCs w:val="24"/>
        </w:rPr>
        <w:t xml:space="preserve">3.10. 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shd w:val="clear" w:color="auto" w:fill="FFFFFF"/>
        <w:tabs>
          <w:tab w:val="clear" w:pos="708"/>
          <w:tab w:val="left" w:pos="1418" w:leader="none"/>
        </w:tabs>
        <w:ind w:left="0" w:firstLine="426"/>
        <w:jc w:val="both"/>
        <w:rPr>
          <w:sz w:val="24"/>
          <w:szCs w:val="24"/>
        </w:rPr>
      </w:pPr>
      <w:r>
        <w:rPr>
          <w:sz w:val="24"/>
          <w:szCs w:val="24"/>
        </w:rPr>
        <w:t xml:space="preserve">3.11. 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shd w:val="clear" w:color="auto" w:fill="FFFFFF"/>
        <w:tabs>
          <w:tab w:val="clear" w:pos="708"/>
          <w:tab w:val="left" w:pos="1418" w:leader="none"/>
        </w:tabs>
        <w:ind w:left="0" w:firstLine="426"/>
        <w:jc w:val="both"/>
        <w:rPr>
          <w:sz w:val="24"/>
          <w:szCs w:val="24"/>
        </w:rPr>
      </w:pPr>
      <w:r>
        <w:rPr>
          <w:sz w:val="24"/>
          <w:szCs w:val="24"/>
        </w:rPr>
        <w:t xml:space="preserve">3.12. 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426"/>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shd w:val="clear" w:color="auto" w:fill="FFFFFF"/>
        <w:tabs>
          <w:tab w:val="clear" w:pos="708"/>
          <w:tab w:val="left" w:pos="1418" w:leader="none"/>
        </w:tabs>
        <w:ind w:left="0" w:firstLine="426"/>
        <w:jc w:val="both"/>
        <w:rPr>
          <w:sz w:val="24"/>
          <w:szCs w:val="24"/>
        </w:rPr>
      </w:pPr>
      <w:r>
        <w:rPr>
          <w:sz w:val="24"/>
          <w:szCs w:val="24"/>
        </w:rPr>
        <w:t xml:space="preserve">3.13. Приемка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shd w:val="clear" w:color="auto" w:fill="FFFFFF"/>
        <w:tabs>
          <w:tab w:val="clear" w:pos="708"/>
          <w:tab w:val="left" w:pos="1418" w:leader="none"/>
        </w:tabs>
        <w:ind w:firstLine="426"/>
        <w:jc w:val="both"/>
        <w:rPr>
          <w:sz w:val="24"/>
          <w:szCs w:val="24"/>
        </w:rPr>
      </w:pPr>
      <w:r>
        <w:rPr>
          <w:sz w:val="24"/>
          <w:szCs w:val="24"/>
        </w:rPr>
        <w:t xml:space="preserve">3.14. 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426"/>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426"/>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shd w:val="clear" w:color="auto" w:fill="FFFFFF"/>
        <w:ind w:firstLine="426"/>
        <w:jc w:val="both"/>
        <w:rPr>
          <w:sz w:val="24"/>
          <w:szCs w:val="24"/>
        </w:rPr>
      </w:pPr>
      <w:r>
        <w:rPr>
          <w:sz w:val="24"/>
          <w:szCs w:val="24"/>
        </w:rPr>
        <w:t>3.15. 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426"/>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shd w:val="clear" w:color="auto" w:fill="FFFFFF"/>
        <w:tabs>
          <w:tab w:val="clear" w:pos="708"/>
          <w:tab w:val="left" w:pos="1134" w:leader="none"/>
          <w:tab w:val="left" w:pos="1418" w:leader="none"/>
        </w:tabs>
        <w:ind w:left="0" w:firstLine="426"/>
        <w:jc w:val="both"/>
        <w:rPr>
          <w:b/>
          <w:color w:val="000000"/>
          <w:sz w:val="24"/>
          <w:szCs w:val="24"/>
        </w:rPr>
      </w:pPr>
      <w:r>
        <w:rPr>
          <w:sz w:val="24"/>
          <w:szCs w:val="24"/>
        </w:rPr>
        <w:t>3.16. 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shd w:val="clear" w:color="auto" w:fill="FFFFFF"/>
        <w:tabs>
          <w:tab w:val="clear" w:pos="708"/>
          <w:tab w:val="left" w:pos="1134" w:leader="none"/>
          <w:tab w:val="left" w:pos="1418" w:leader="none"/>
        </w:tabs>
        <w:ind w:left="0" w:firstLine="426"/>
        <w:jc w:val="both"/>
        <w:rPr>
          <w:sz w:val="24"/>
          <w:szCs w:val="24"/>
        </w:rPr>
      </w:pPr>
      <w:r>
        <w:rPr>
          <w:sz w:val="24"/>
          <w:szCs w:val="24"/>
        </w:rPr>
        <w:t>3.17. 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rPr>
          <w:b/>
          <w:bCs/>
          <w:sz w:val="24"/>
          <w:szCs w:val="24"/>
        </w:rPr>
      </w:pPr>
      <w:r>
        <w:rPr>
          <w:b/>
          <w:bCs/>
          <w:sz w:val="24"/>
          <w:szCs w:val="24"/>
        </w:rPr>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4"/>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8"/>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5"/>
      </w:r>
      <w:r>
        <w:rPr>
          <w:bCs/>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8"/>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8"/>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6"/>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7"/>
      </w:r>
      <w:r>
        <w:rPr>
          <w:sz w:val="24"/>
          <w:szCs w:val="24"/>
          <w:highlight w:val="lightGray"/>
        </w:rPr>
        <w:t>.</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bookmarkEnd w:id="16"/>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lang w:val="en-US"/>
        </w:rPr>
      </w:pPr>
      <w:r>
        <w:rPr>
          <w:bCs/>
          <w:sz w:val="24"/>
          <w:szCs w:val="24"/>
        </w:rPr>
        <w:t xml:space="preserve">Приложение № 3 – График </w:t>
      </w:r>
      <w:r>
        <w:rPr>
          <w:bCs/>
          <w:sz w:val="24"/>
          <w:szCs w:val="24"/>
          <w:lang w:val="en-US"/>
        </w:rPr>
        <w:t>поставки</w:t>
      </w:r>
      <w:bookmarkStart w:id="17" w:name="_GoBack"/>
      <w:bookmarkEnd w:id="17"/>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 xml:space="preserve">ИНН 2460066195 / КПП </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709" w:right="851" w:gutter="0" w:header="709" w:top="1134" w:footer="709" w:bottom="1134"/>
          <w:pgNumType w:fmt="decimal"/>
          <w:formProt w:val="false"/>
          <w:titlePg/>
          <w:textDirection w:val="lrTb"/>
          <w:docGrid w:type="default" w:linePitch="360" w:charSpace="0"/>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0"/>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0"/>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8"/>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754"/>
        <w:gridCol w:w="5600"/>
      </w:tblGrid>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7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701" w:right="850"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16"/>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Annotationtext"/>
        <w:jc w:val="both"/>
        <w:rPr/>
      </w:pPr>
      <w:r>
        <w:rPr>
          <w:rStyle w:val="Style16"/>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pPr>
        <w:pStyle w:val="FootnoteText"/>
        <w:rPr/>
      </w:pPr>
      <w:r>
        <w:rPr>
          <w:rStyle w:val="Style16"/>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6">
    <w:p>
      <w:pPr>
        <w:pStyle w:val="FootnoteText"/>
        <w:rPr/>
      </w:pPr>
      <w:r>
        <w:rPr>
          <w:rStyle w:val="Style16"/>
        </w:rPr>
        <w:footnoteRef/>
      </w:r>
      <w:r>
        <w:rPr/>
        <w:t xml:space="preserve"> </w:t>
      </w:r>
      <w:r>
        <w:rPr>
          <w:highlight w:val="lightGray"/>
        </w:rPr>
        <w:t>Применяется в случае проведения закупочных процедур только среди МСП.</w:t>
      </w:r>
    </w:p>
  </w:footnote>
  <w:footnote w:id="7">
    <w:p>
      <w:pPr>
        <w:pStyle w:val="FootnoteText"/>
        <w:jc w:val="both"/>
        <w:rPr/>
      </w:pPr>
      <w:r>
        <w:rPr>
          <w:rStyle w:val="Style16"/>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8">
    <w:p>
      <w:pPr>
        <w:pStyle w:val="FootnoteText"/>
        <w:jc w:val="both"/>
        <w:rPr/>
      </w:pPr>
      <w:r>
        <w:rPr>
          <w:rStyle w:val="Style16"/>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0">
    <w:p>
      <w:pPr>
        <w:pStyle w:val="FootnoteText"/>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999"/>
        </w:tabs>
        <w:ind w:left="999" w:hanging="432"/>
      </w:pPr>
      <w:rPr>
        <w:sz w:val="24"/>
        <w:b w:val="false"/>
        <w:szCs w:val="24"/>
      </w:rPr>
    </w:lvl>
    <w:lvl w:ilvl="2">
      <w:start w:val="1"/>
      <w:numFmt w:val="decimal"/>
      <w:lvlText w:val="%1.%2.%3."/>
      <w:lvlJc w:val="left"/>
      <w:pPr>
        <w:tabs>
          <w:tab w:val="num" w:pos="1146"/>
        </w:tabs>
        <w:ind w:left="930"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622a"/>
    <w:pPr>
      <w:widowControl w:val="false"/>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70622a"/>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70622a"/>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70622a"/>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70622a"/>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70622a"/>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70622a"/>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70622a"/>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70622a"/>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70622a"/>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70622a"/>
    <w:rPr>
      <w:rFonts w:ascii="Times New Roman" w:hAnsi="Times New Roman" w:eastAsia="Times New Roman" w:cs="Times New Roman"/>
      <w:sz w:val="20"/>
      <w:szCs w:val="20"/>
      <w:lang w:eastAsia="ru-RU"/>
    </w:rPr>
  </w:style>
  <w:style w:type="character" w:styleId="Pagenumber">
    <w:name w:val="page number"/>
    <w:basedOn w:val="DefaultParagraphFont"/>
    <w:qFormat/>
    <w:rsid w:val="0070622a"/>
    <w:rPr/>
  </w:style>
  <w:style w:type="character" w:styleId="31" w:customStyle="1">
    <w:name w:val="Основной текст 3 Знак"/>
    <w:basedOn w:val="DefaultParagraphFont"/>
    <w:link w:val="BodyText3"/>
    <w:qFormat/>
    <w:rsid w:val="0070622a"/>
    <w:rPr>
      <w:rFonts w:ascii="Times New Roman" w:hAnsi="Times New Roman" w:eastAsia="Times New Roman" w:cs="Times New Roman"/>
      <w:sz w:val="16"/>
      <w:szCs w:val="16"/>
      <w:lang w:val="x-none" w:eastAsia="x-none"/>
    </w:rPr>
  </w:style>
  <w:style w:type="character" w:styleId="Annotationreference">
    <w:name w:val="annotation reference"/>
    <w:qFormat/>
    <w:rsid w:val="0070622a"/>
    <w:rPr>
      <w:sz w:val="16"/>
      <w:szCs w:val="16"/>
    </w:rPr>
  </w:style>
  <w:style w:type="character" w:styleId="Style11" w:customStyle="1">
    <w:name w:val="Текст примечания Знак"/>
    <w:basedOn w:val="DefaultParagraphFont"/>
    <w:link w:val="Annotationtext"/>
    <w:qFormat/>
    <w:rsid w:val="0070622a"/>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70622a"/>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70622a"/>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70622a"/>
    <w:rPr>
      <w:rFonts w:cs="Times New Roman"/>
      <w:b/>
      <w:bCs/>
      <w:i/>
      <w:iCs/>
      <w:shd w:fill="FFFF99" w:val="clear"/>
    </w:rPr>
  </w:style>
  <w:style w:type="character" w:styleId="Style15" w:customStyle="1">
    <w:name w:val="Текст сноски Знак"/>
    <w:basedOn w:val="DefaultParagraphFont"/>
    <w:qFormat/>
    <w:rsid w:val="0070622a"/>
    <w:rPr>
      <w:rFonts w:ascii="Times New Roman" w:hAnsi="Times New Roman" w:eastAsia="Times New Roman" w:cs="Times New Roman"/>
      <w:sz w:val="20"/>
      <w:szCs w:val="20"/>
      <w:lang w:eastAsia="ru-RU"/>
    </w:rPr>
  </w:style>
  <w:style w:type="character" w:styleId="Style16">
    <w:name w:val="Символ сноски"/>
    <w:qFormat/>
    <w:rsid w:val="0070622a"/>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70622a"/>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70622a"/>
    <w:rPr>
      <w:rFonts w:ascii="Times New Roman" w:hAnsi="Times New Roman" w:eastAsia="Times New Roman" w:cs="Times New Roman"/>
      <w:sz w:val="20"/>
      <w:szCs w:val="20"/>
      <w:lang w:eastAsia="ru-RU"/>
    </w:rPr>
  </w:style>
  <w:style w:type="character" w:styleId="Hyperlink">
    <w:name w:val="Hyperlink"/>
    <w:rsid w:val="0070622a"/>
    <w:rPr>
      <w:color w:val="0000FF"/>
      <w:u w:val="single"/>
    </w:rPr>
  </w:style>
  <w:style w:type="character" w:styleId="Style19" w:customStyle="1">
    <w:name w:val="Название Знак"/>
    <w:qFormat/>
    <w:rsid w:val="0070622a"/>
    <w:rPr>
      <w:b/>
      <w:bCs/>
      <w:sz w:val="24"/>
      <w:szCs w:val="24"/>
    </w:rPr>
  </w:style>
  <w:style w:type="character" w:styleId="Style20" w:customStyle="1">
    <w:name w:val="Абзац списка Знак"/>
    <w:link w:val="ListParagraph"/>
    <w:uiPriority w:val="99"/>
    <w:qFormat/>
    <w:locked/>
    <w:rsid w:val="0070622a"/>
    <w:rPr>
      <w:rFonts w:ascii="Times New Roman" w:hAnsi="Times New Roman" w:eastAsia="Times New Roman" w:cs="Times New Roman"/>
      <w:sz w:val="20"/>
      <w:szCs w:val="20"/>
      <w:lang w:eastAsia="ru-RU"/>
    </w:rPr>
  </w:style>
  <w:style w:type="character" w:styleId="EndnoteReference">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70622a"/>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Title">
    <w:name w:val="Title"/>
    <w:basedOn w:val="Normal"/>
    <w:link w:val="Style7"/>
    <w:qFormat/>
    <w:rsid w:val="0070622a"/>
    <w:pPr>
      <w:jc w:val="center"/>
    </w:pPr>
    <w:rPr>
      <w:b/>
      <w:bCs/>
      <w:sz w:val="24"/>
      <w:szCs w:val="24"/>
    </w:rPr>
  </w:style>
  <w:style w:type="paragraph" w:styleId="Style24" w:customStyle="1">
    <w:name w:val="Таблицы (моноширинный)"/>
    <w:basedOn w:val="Normal"/>
    <w:next w:val="Normal"/>
    <w:qFormat/>
    <w:rsid w:val="0070622a"/>
    <w:pPr>
      <w:jc w:val="both"/>
    </w:pPr>
    <w:rPr>
      <w:rFonts w:ascii="Courier New" w:hAnsi="Courier New" w:cs="Courier New"/>
    </w:rPr>
  </w:style>
  <w:style w:type="paragraph" w:styleId="BodyTextIndent2">
    <w:name w:val="Body Text Indent 2"/>
    <w:basedOn w:val="Normal"/>
    <w:link w:val="2"/>
    <w:qFormat/>
    <w:rsid w:val="0070622a"/>
    <w:pPr>
      <w:ind w:left="1843" w:hanging="0"/>
      <w:jc w:val="both"/>
    </w:pPr>
    <w:rPr>
      <w:sz w:val="24"/>
    </w:rPr>
  </w:style>
  <w:style w:type="paragraph" w:styleId="BalloonText">
    <w:name w:val="Balloon Text"/>
    <w:basedOn w:val="Normal"/>
    <w:link w:val="Style8"/>
    <w:semiHidden/>
    <w:qFormat/>
    <w:rsid w:val="0070622a"/>
    <w:pPr/>
    <w:rPr>
      <w:rFonts w:ascii="Tahoma" w:hAnsi="Tahoma" w:cs="Tahoma"/>
      <w:sz w:val="16"/>
      <w:szCs w:val="16"/>
    </w:rPr>
  </w:style>
  <w:style w:type="paragraph" w:styleId="BodyText2">
    <w:name w:val="Body Text 2"/>
    <w:basedOn w:val="Normal"/>
    <w:link w:val="21"/>
    <w:qFormat/>
    <w:rsid w:val="0070622a"/>
    <w:pPr>
      <w:widowControl/>
      <w:spacing w:lineRule="auto" w:line="480" w:before="0" w:after="120"/>
    </w:pPr>
    <w:rPr>
      <w:sz w:val="24"/>
      <w:szCs w:val="24"/>
    </w:rPr>
  </w:style>
  <w:style w:type="paragraph" w:styleId="Style25">
    <w:name w:val="Колонтитул"/>
    <w:basedOn w:val="Normal"/>
    <w:qFormat/>
    <w:pPr/>
    <w:rPr/>
  </w:style>
  <w:style w:type="paragraph" w:styleId="Footer">
    <w:name w:val="Footer"/>
    <w:basedOn w:val="Normal"/>
    <w:link w:val="Style10"/>
    <w:uiPriority w:val="99"/>
    <w:rsid w:val="0070622a"/>
    <w:pPr>
      <w:tabs>
        <w:tab w:val="clear" w:pos="708"/>
        <w:tab w:val="center" w:pos="4677" w:leader="none"/>
        <w:tab w:val="right" w:pos="9355" w:leader="none"/>
      </w:tabs>
    </w:pPr>
    <w:rPr/>
  </w:style>
  <w:style w:type="paragraph" w:styleId="BodyText3">
    <w:name w:val="Body Text 3"/>
    <w:basedOn w:val="Normal"/>
    <w:link w:val="31"/>
    <w:qFormat/>
    <w:rsid w:val="0070622a"/>
    <w:pPr>
      <w:spacing w:before="0" w:after="120"/>
    </w:pPr>
    <w:rPr>
      <w:sz w:val="16"/>
      <w:szCs w:val="16"/>
      <w:lang w:val="x-none" w:eastAsia="x-none"/>
    </w:rPr>
  </w:style>
  <w:style w:type="paragraph" w:styleId="Annotationtext">
    <w:name w:val="annotation text"/>
    <w:basedOn w:val="Normal"/>
    <w:link w:val="Style11"/>
    <w:qFormat/>
    <w:rsid w:val="0070622a"/>
    <w:pPr/>
    <w:rPr/>
  </w:style>
  <w:style w:type="paragraph" w:styleId="Annotationsubject">
    <w:name w:val="annotation subject"/>
    <w:basedOn w:val="Annotationtext"/>
    <w:next w:val="Annotationtext"/>
    <w:link w:val="Style12"/>
    <w:qFormat/>
    <w:rsid w:val="0070622a"/>
    <w:pPr/>
    <w:rPr>
      <w:b/>
      <w:bCs/>
      <w:lang w:val="x-none" w:eastAsia="x-none"/>
    </w:rPr>
  </w:style>
  <w:style w:type="paragraph" w:styleId="ListParagraph">
    <w:name w:val="List Paragraph"/>
    <w:basedOn w:val="Normal"/>
    <w:link w:val="Style20"/>
    <w:uiPriority w:val="99"/>
    <w:qFormat/>
    <w:rsid w:val="0070622a"/>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70622a"/>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70622a"/>
    <w:pPr>
      <w:widowControl/>
      <w:tabs>
        <w:tab w:val="clear" w:pos="708"/>
        <w:tab w:val="left" w:pos="360" w:leader="none"/>
      </w:tabs>
      <w:jc w:val="both"/>
    </w:pPr>
    <w:rPr>
      <w:rFonts w:ascii="Arial" w:hAnsi="Arial"/>
    </w:rPr>
  </w:style>
  <w:style w:type="paragraph" w:styleId="ConsNormal" w:customStyle="1">
    <w:name w:val="ConsNormal"/>
    <w:qFormat/>
    <w:rsid w:val="0070622a"/>
    <w:pPr>
      <w:widowControl/>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70622a"/>
    <w:pPr>
      <w:spacing w:before="0" w:after="120"/>
      <w:ind w:left="283" w:hanging="0"/>
    </w:pPr>
    <w:rPr/>
  </w:style>
  <w:style w:type="paragraph" w:styleId="Style28" w:customStyle="1">
    <w:name w:val="Знак"/>
    <w:basedOn w:val="Normal"/>
    <w:qFormat/>
    <w:rsid w:val="0070622a"/>
    <w:pPr>
      <w:widowControl/>
      <w:spacing w:lineRule="exact" w:line="240" w:before="0" w:after="160"/>
    </w:pPr>
    <w:rPr>
      <w:rFonts w:ascii="Verdana" w:hAnsi="Verdana" w:cs="Verdana"/>
      <w:lang w:val="en-US" w:eastAsia="en-US"/>
    </w:rPr>
  </w:style>
  <w:style w:type="paragraph" w:styleId="FootnoteText">
    <w:name w:val="Footnote Text"/>
    <w:basedOn w:val="Normal"/>
    <w:link w:val="Style15"/>
    <w:rsid w:val="0070622a"/>
    <w:pPr/>
    <w:rPr/>
  </w:style>
  <w:style w:type="paragraph" w:styleId="ListBullet3">
    <w:name w:val="List Bullet 3"/>
    <w:basedOn w:val="Normal"/>
    <w:uiPriority w:val="99"/>
    <w:unhideWhenUsed/>
    <w:qFormat/>
    <w:rsid w:val="0070622a"/>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70622a"/>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70622a"/>
    <w:pPr>
      <w:shd w:val="clear" w:color="auto" w:fill="000080"/>
    </w:pPr>
    <w:rPr>
      <w:rFonts w:ascii="Tahoma" w:hAnsi="Tahoma" w:cs="Tahoma"/>
    </w:rPr>
  </w:style>
  <w:style w:type="paragraph" w:styleId="Revision">
    <w:name w:val="Revision"/>
    <w:uiPriority w:val="99"/>
    <w:semiHidden/>
    <w:qFormat/>
    <w:rsid w:val="0070622a"/>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Header">
    <w:name w:val="Header"/>
    <w:basedOn w:val="Normal"/>
    <w:link w:val="Style18"/>
    <w:uiPriority w:val="99"/>
    <w:rsid w:val="0070622a"/>
    <w:pPr>
      <w:tabs>
        <w:tab w:val="clear" w:pos="708"/>
        <w:tab w:val="center" w:pos="4677" w:leader="none"/>
        <w:tab w:val="right" w:pos="9355" w:leader="none"/>
      </w:tabs>
    </w:pPr>
    <w:rPr/>
  </w:style>
  <w:style w:type="paragraph" w:styleId="Style29" w:customStyle="1">
    <w:name w:val="Пункт договора"/>
    <w:basedOn w:val="Normal"/>
    <w:qFormat/>
    <w:rsid w:val="0070622a"/>
    <w:pPr>
      <w:jc w:val="both"/>
    </w:pPr>
    <w:rPr>
      <w:rFonts w:ascii="Arial" w:hAnsi="Arial"/>
    </w:rPr>
  </w:style>
  <w:style w:type="paragraph" w:styleId="11" w:customStyle="1">
    <w:name w:val="Знак Знак Знак Знак Знак Знак Знак Знак Знак1"/>
    <w:basedOn w:val="Normal"/>
    <w:qFormat/>
    <w:rsid w:val="0070622a"/>
    <w:pPr>
      <w:widowControl/>
      <w:spacing w:lineRule="exact" w:line="240" w:before="0" w:after="160"/>
      <w:jc w:val="both"/>
    </w:pPr>
    <w:rPr>
      <w:rFonts w:ascii="Verdana" w:hAnsi="Verdana"/>
      <w:sz w:val="22"/>
      <w:lang w:val="en-US" w:eastAsia="en-US"/>
    </w:rPr>
  </w:style>
  <w:style w:type="paragraph" w:styleId="12" w:customStyle="1">
    <w:name w:val="Обычный1"/>
    <w:qFormat/>
    <w:rsid w:val="0070622a"/>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70622a"/>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NormalWeb">
    <w:name w:val="Normal (Web)"/>
    <w:basedOn w:val="Normal"/>
    <w:uiPriority w:val="99"/>
    <w:unhideWhenUsed/>
    <w:qFormat/>
    <w:rsid w:val="0070622a"/>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70622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AlterOffice/2025.2.1.0$Linux_X86_64 LibreOffice_project/d2c615264c9535987c375e0f04a158be6015ce3d</Application>
  <AppVersion>15.0000</AppVersion>
  <Pages>19</Pages>
  <Words>7044</Words>
  <Characters>50215</Characters>
  <CharactersWithSpaces>56970</CharactersWithSpaces>
  <Paragraphs>344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2025-05-28T14:08:00Z</dcterms:created>
  <dc:creator>Нурмагомедова Саида Османовна</dc:creator>
  <dc:description/>
  <dc:language>ru-RU</dc:language>
  <cp:lastModifiedBy/>
  <dcterms:modified xsi:type="dcterms:W3CDTF">2026-07-14T16:06:15Z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