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ОКПД2 81.29.12.000 Оказание услуг по механизированной уборке и вывозу снега для нужд АО «СК РусГидро».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31.07.2026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Verdana">
    <w:charset w:val="01"/>
    <w:family w:val="roman"/>
    <w:pitch w:val="default"/>
  </w:font>
  <w:font w:name="Tahoma">
    <w:charset w:val="01"/>
    <w:family w:val="roman"/>
    <w:pitch w:val="default"/>
  </w:font>
  <w:font w:name="Consolas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AlterOffice/3.4.0.9$Linux_X86_64 LibreOffice_project/b8daf9e823b1a5463a2f48435ddc2e8696e7d4fc</Application>
  <AppVersion>15.0000</AppVersion>
  <Pages>1</Pages>
  <Words>297</Words>
  <Characters>1987</Characters>
  <CharactersWithSpaces>2250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kabakovaes</cp:lastModifiedBy>
  <dcterms:modified xsi:type="dcterms:W3CDTF">2026-07-15T10:08:33Z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