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«ОКПД2 71.20.19.190 Оказание услуг по  мониторингу состояния вентилируемого  фасада административного здания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</w:t>
      </w:r>
      <w:r>
        <w:rPr>
          <w:rStyle w:val="Style11"/>
          <w:rFonts w:eastAsia="Calibri" w:cs="Times New Roman" w:ascii="Times New Roman" w:hAnsi="Times New Roman"/>
          <w:b/>
          <w:bCs/>
          <w:i w:val="false"/>
          <w:iCs w:val="false"/>
          <w:sz w:val="26"/>
          <w:szCs w:val="26"/>
          <w:shd w:fill="FFFFFF" w:val="clear"/>
          <w:lang w:eastAsia="ru-RU"/>
        </w:rPr>
        <w:t xml:space="preserve"> 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sz w:val="26"/>
          <w:szCs w:val="26"/>
          <w:shd w:fill="FFFFFF" w:val="clear"/>
          <w:lang w:eastAsia="ru-RU"/>
        </w:rPr>
        <w:t>нужд АО «СК РусГидро»</w:t>
      </w:r>
      <w:r>
        <w:rPr>
          <w:rStyle w:val="Style11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ru-RU" w:eastAsia="zh-CN" w:bidi="ar-SA"/>
        </w:rPr>
        <w:t>»</w:t>
      </w:r>
      <w:r>
        <w:rPr>
          <w:rFonts w:eastAsia="Calibri" w:cs="Times New Roman" w:ascii="Times New Roman" w:hAnsi="Times New Roman"/>
          <w:b w:val="false"/>
          <w:bCs w:val="false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№1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№1 к настоящему запросу, с обязательной калькуляцией стоимости, включая детализацию цен на отдельные позиции (при необходимости)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предоставления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№1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до 1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:00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22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.07.202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 г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Форма Коммерческого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AlterOffice/3.4.0.9$Linux_X86_64 LibreOffice_project/b8daf9e823b1a5463a2f48435ddc2e8696e7d4fc</Application>
  <AppVersion>15.0000</AppVersion>
  <Pages>1</Pages>
  <Words>292</Words>
  <Characters>2010</Characters>
  <CharactersWithSpaces>2269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nikitinma@corp.gidroogk.com</cp:lastModifiedBy>
  <dcterms:modified xsi:type="dcterms:W3CDTF">2026-07-15T10:03:44Z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