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bookmarkStart w:id="17" w:name="_GoBack"/>
      <w:bookmarkEnd w:id="17"/>
      <w:r w:rsidRPr="00FA5ABE">
        <w:rPr>
          <w:bCs/>
          <w:color w:val="000000"/>
          <w:kern w:val="28"/>
          <w:sz w:val="24"/>
        </w:rPr>
        <w:t>В</w:t>
      </w:r>
      <w:r w:rsidRPr="00EE0D14">
        <w:rPr>
          <w:bCs/>
          <w:color w:val="000000"/>
          <w:kern w:val="28"/>
          <w:sz w:val="24"/>
        </w:rPr>
        <w:t xml:space="preserve">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2F58A00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6E4D01CA" w14:textId="354560B9" w:rsidR="0018784B" w:rsidRPr="00884C84" w:rsidRDefault="0018784B" w:rsidP="00884C84">
      <w:pPr>
        <w:pStyle w:val="3"/>
        <w:ind w:left="0"/>
        <w:rPr>
          <w:sz w:val="24"/>
          <w:szCs w:val="24"/>
        </w:rPr>
      </w:pPr>
      <w:r w:rsidRPr="00AC71D9">
        <w:rPr>
          <w:sz w:val="24"/>
          <w:szCs w:val="24"/>
        </w:rPr>
        <w:lastRenderedPageBreak/>
        <w:t>Извещение о проведении ценового отбора размещается Заказчиком в ЕИС</w:t>
      </w:r>
      <w:r w:rsidRPr="00AC71D9">
        <w:rPr>
          <w:rStyle w:val="af0"/>
          <w:sz w:val="24"/>
          <w:szCs w:val="24"/>
        </w:rPr>
        <w:footnoteReference w:id="2"/>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25A53E3A" w14:textId="77777777" w:rsidR="00554373" w:rsidRDefault="00554373" w:rsidP="00554373">
      <w:pPr>
        <w:pStyle w:val="3"/>
        <w:numPr>
          <w:ilvl w:val="0"/>
          <w:numId w:val="0"/>
        </w:numPr>
        <w:ind w:left="709"/>
        <w:rPr>
          <w:sz w:val="24"/>
          <w:szCs w:val="24"/>
        </w:rPr>
      </w:pP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FF025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288ADE17" w:rsidR="003754A0" w:rsidRPr="0068671E" w:rsidRDefault="0068671E" w:rsidP="0068671E">
      <w:pPr>
        <w:pStyle w:val="3"/>
        <w:tabs>
          <w:tab w:val="left" w:pos="1418"/>
          <w:tab w:val="left" w:pos="1560"/>
        </w:tabs>
        <w:ind w:left="0"/>
        <w:rPr>
          <w:sz w:val="24"/>
          <w:szCs w:val="24"/>
        </w:rPr>
      </w:pPr>
      <w:r w:rsidRPr="00947B45">
        <w:rPr>
          <w:sz w:val="24"/>
          <w:szCs w:val="24"/>
        </w:rPr>
        <w:t>Сроки возврата обеспечения заявки на участие в закупке  указаны в ч. 4.4.10 ст. 4.4 Положения о закупке</w:t>
      </w:r>
      <w:r>
        <w:rPr>
          <w:sz w:val="24"/>
          <w:szCs w:val="24"/>
          <w:lang w:val="ru-RU"/>
        </w:rPr>
        <w:t>.</w:t>
      </w:r>
    </w:p>
    <w:p w14:paraId="49F2B45B" w14:textId="7276F005"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w:t>
      </w:r>
      <w:r w:rsidR="00F43E31" w:rsidRPr="00EE0D14">
        <w:rPr>
          <w:sz w:val="24"/>
          <w:szCs w:val="24"/>
        </w:rPr>
        <w:lastRenderedPageBreak/>
        <w:t xml:space="preserve">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w:t>
      </w:r>
      <w:r w:rsidR="00DA25DF" w:rsidRPr="00EE0D14">
        <w:rPr>
          <w:rFonts w:eastAsia="Calibri"/>
          <w:sz w:val="24"/>
          <w:szCs w:val="24"/>
        </w:rPr>
        <w:lastRenderedPageBreak/>
        <w:t xml:space="preserve">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lastRenderedPageBreak/>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lastRenderedPageBreak/>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w:t>
      </w:r>
      <w:r w:rsidRPr="00EE0D14">
        <w:rPr>
          <w:sz w:val="24"/>
          <w:szCs w:val="24"/>
        </w:rPr>
        <w:lastRenderedPageBreak/>
        <w:t xml:space="preserve">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lastRenderedPageBreak/>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37C53B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3A4D2A0"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531059D"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lastRenderedPageBreak/>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554F6E31" w14:textId="77777777" w:rsidR="00F2703F" w:rsidRPr="00AA4672" w:rsidRDefault="00F2703F" w:rsidP="00F2703F">
      <w:pPr>
        <w:pStyle w:val="20"/>
        <w:tabs>
          <w:tab w:val="left" w:pos="1276"/>
          <w:tab w:val="left" w:pos="1701"/>
        </w:tabs>
        <w:ind w:left="0"/>
        <w:rPr>
          <w:sz w:val="24"/>
          <w:szCs w:val="24"/>
        </w:rPr>
      </w:pPr>
      <w:r w:rsidRPr="00AA4672">
        <w:rPr>
          <w:sz w:val="24"/>
          <w:szCs w:val="24"/>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AA4672">
        <w:rPr>
          <w:sz w:val="24"/>
          <w:szCs w:val="24"/>
        </w:rPr>
        <w:t>ППРФ № 1875 (в том числе пп.пп. «т» - «</w:t>
      </w:r>
      <w:r>
        <w:rPr>
          <w:sz w:val="24"/>
          <w:szCs w:val="24"/>
          <w:lang w:val="ru-RU"/>
        </w:rPr>
        <w:t>ц</w:t>
      </w:r>
      <w:r w:rsidRPr="00AA4672">
        <w:rPr>
          <w:sz w:val="24"/>
          <w:szCs w:val="24"/>
        </w:rPr>
        <w:t>»</w:t>
      </w:r>
      <w:r>
        <w:rPr>
          <w:sz w:val="24"/>
          <w:szCs w:val="24"/>
          <w:lang w:val="ru-RU"/>
        </w:rPr>
        <w:t>, «ш»</w:t>
      </w:r>
      <w:r w:rsidRPr="00AA4672">
        <w:rPr>
          <w:sz w:val="24"/>
          <w:szCs w:val="24"/>
        </w:rPr>
        <w:t xml:space="preserve"> п. </w:t>
      </w:r>
      <w:r w:rsidRPr="00AA4672">
        <w:rPr>
          <w:sz w:val="24"/>
          <w:szCs w:val="24"/>
          <w:lang w:val="ru-RU"/>
        </w:rPr>
        <w:t>4,</w:t>
      </w:r>
      <w:r w:rsidRPr="00AA4672">
        <w:rPr>
          <w:sz w:val="24"/>
          <w:szCs w:val="24"/>
        </w:rPr>
        <w:t xml:space="preserve"> с учетом пп.пп. «</w:t>
      </w:r>
      <w:r w:rsidRPr="00AA4672">
        <w:rPr>
          <w:sz w:val="24"/>
          <w:szCs w:val="24"/>
          <w:lang w:val="ru-RU"/>
        </w:rPr>
        <w:t>е</w:t>
      </w:r>
      <w:r w:rsidRPr="00AA4672">
        <w:rPr>
          <w:sz w:val="24"/>
          <w:szCs w:val="24"/>
        </w:rPr>
        <w:t>»</w:t>
      </w:r>
      <w:r w:rsidRPr="00AA4672">
        <w:rPr>
          <w:sz w:val="24"/>
          <w:szCs w:val="24"/>
          <w:lang w:val="ru-RU"/>
        </w:rPr>
        <w:t>,</w:t>
      </w:r>
      <w:r w:rsidRPr="00AA4672">
        <w:rPr>
          <w:sz w:val="24"/>
          <w:szCs w:val="24"/>
        </w:rPr>
        <w:t xml:space="preserve"> «</w:t>
      </w:r>
      <w:r w:rsidRPr="00AA4672">
        <w:rPr>
          <w:sz w:val="24"/>
          <w:szCs w:val="24"/>
          <w:lang w:val="ru-RU"/>
        </w:rPr>
        <w:t>ж</w:t>
      </w:r>
      <w:r w:rsidRPr="00AA4672">
        <w:rPr>
          <w:sz w:val="24"/>
          <w:szCs w:val="24"/>
        </w:rPr>
        <w:t>» п. 10 ППРФ № 1875</w:t>
      </w:r>
      <w:r w:rsidRPr="00AA4672">
        <w:rPr>
          <w:sz w:val="24"/>
          <w:szCs w:val="24"/>
          <w:lang w:val="ru-RU"/>
        </w:rPr>
        <w:t xml:space="preserve"> или иных положений в случае внесения изменений в ППРФ № 1875</w:t>
      </w:r>
      <w:r w:rsidRPr="00AA4672">
        <w:rPr>
          <w:sz w:val="24"/>
          <w:szCs w:val="24"/>
        </w:rPr>
        <w:t>)</w:t>
      </w:r>
      <w:r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3CAD71F" w:rsidR="004C2709" w:rsidRPr="00AA4672" w:rsidRDefault="004C2709">
      <w:pPr>
        <w:pStyle w:val="20"/>
        <w:tabs>
          <w:tab w:val="left" w:pos="1276"/>
        </w:tabs>
        <w:ind w:left="0"/>
        <w:rPr>
          <w:sz w:val="24"/>
          <w:szCs w:val="24"/>
        </w:rPr>
      </w:pPr>
      <w:r w:rsidRPr="004D44CA">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4B1286F"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B690058"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lastRenderedPageBreak/>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393520A" w14:textId="58E52614" w:rsidR="000829E2" w:rsidRPr="00EE0D14" w:rsidRDefault="0068671E" w:rsidP="004F69D6">
      <w:pPr>
        <w:pStyle w:val="20"/>
        <w:numPr>
          <w:ilvl w:val="0"/>
          <w:numId w:val="0"/>
        </w:numPr>
        <w:tabs>
          <w:tab w:val="left" w:pos="1276"/>
        </w:tabs>
        <w:ind w:firstLine="709"/>
        <w:rPr>
          <w:sz w:val="24"/>
          <w:szCs w:val="24"/>
        </w:rPr>
      </w:pPr>
      <w:r>
        <w:rPr>
          <w:sz w:val="24"/>
          <w:szCs w:val="24"/>
          <w:lang w:val="ru-RU"/>
        </w:rPr>
        <w:t>12.6</w:t>
      </w:r>
      <w:r w:rsidR="004F69D6" w:rsidRPr="004F69D6">
        <w:rPr>
          <w:sz w:val="24"/>
          <w:szCs w:val="24"/>
          <w:lang w:val="ru-RU"/>
        </w:rPr>
        <w:t>.</w:t>
      </w:r>
      <w:r w:rsidR="00E16D17">
        <w:rPr>
          <w:sz w:val="24"/>
          <w:szCs w:val="24"/>
          <w:lang w:val="ru-RU"/>
        </w:rPr>
        <w:tab/>
      </w:r>
      <w:r w:rsidR="00057312" w:rsidRPr="00EE0D14">
        <w:rPr>
          <w:sz w:val="24"/>
          <w:szCs w:val="24"/>
        </w:rPr>
        <w:t>Ю</w:t>
      </w:r>
      <w:r w:rsidR="000829E2" w:rsidRPr="00EE0D14">
        <w:rPr>
          <w:sz w:val="24"/>
          <w:szCs w:val="24"/>
        </w:rPr>
        <w:t>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w:t>
      </w:r>
      <w:r w:rsidR="00057312" w:rsidRPr="00EE0D14">
        <w:rPr>
          <w:sz w:val="24"/>
          <w:szCs w:val="24"/>
        </w:rPr>
        <w:t>нной таким лицом самостоятельно.</w:t>
      </w:r>
    </w:p>
    <w:p w14:paraId="45BEF46B" w14:textId="1ED053A9" w:rsidR="000829E2" w:rsidRPr="00EE0D14" w:rsidRDefault="00B32144" w:rsidP="004F69D6">
      <w:pPr>
        <w:pStyle w:val="20"/>
        <w:numPr>
          <w:ilvl w:val="0"/>
          <w:numId w:val="0"/>
        </w:numPr>
        <w:tabs>
          <w:tab w:val="left" w:pos="1276"/>
        </w:tabs>
        <w:ind w:firstLine="709"/>
        <w:rPr>
          <w:sz w:val="24"/>
          <w:szCs w:val="24"/>
        </w:rPr>
      </w:pPr>
      <w:r>
        <w:rPr>
          <w:sz w:val="24"/>
          <w:szCs w:val="24"/>
          <w:lang w:val="ru-RU"/>
        </w:rPr>
        <w:t>12.</w:t>
      </w:r>
      <w:r w:rsidR="0068671E">
        <w:rPr>
          <w:sz w:val="24"/>
          <w:szCs w:val="24"/>
          <w:lang w:val="ru-RU"/>
        </w:rPr>
        <w:t>7</w:t>
      </w:r>
      <w:r w:rsidR="00E16D17">
        <w:rPr>
          <w:sz w:val="24"/>
          <w:szCs w:val="24"/>
          <w:lang w:val="ru-RU"/>
        </w:rPr>
        <w:t>.</w:t>
      </w:r>
      <w:r w:rsidR="00E16D17">
        <w:rPr>
          <w:sz w:val="24"/>
          <w:szCs w:val="24"/>
          <w:lang w:val="ru-RU"/>
        </w:rPr>
        <w:tab/>
      </w:r>
      <w:r w:rsidR="00033948"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000829E2" w:rsidRPr="00EE0D14">
        <w:rPr>
          <w:sz w:val="24"/>
          <w:szCs w:val="24"/>
        </w:rPr>
        <w:t>.</w:t>
      </w:r>
    </w:p>
    <w:p w14:paraId="49B392D7" w14:textId="0CB707C7" w:rsidR="000829E2" w:rsidRPr="00EE0D14" w:rsidRDefault="00B32144" w:rsidP="00FA6E3D">
      <w:pPr>
        <w:pStyle w:val="20"/>
        <w:numPr>
          <w:ilvl w:val="0"/>
          <w:numId w:val="0"/>
        </w:numPr>
        <w:tabs>
          <w:tab w:val="left" w:pos="1134"/>
        </w:tabs>
        <w:ind w:firstLine="709"/>
        <w:rPr>
          <w:sz w:val="24"/>
          <w:szCs w:val="24"/>
        </w:rPr>
      </w:pPr>
      <w:r>
        <w:rPr>
          <w:sz w:val="24"/>
          <w:szCs w:val="24"/>
          <w:lang w:val="ru-RU"/>
        </w:rPr>
        <w:t>12.</w:t>
      </w:r>
      <w:r w:rsidR="0068671E">
        <w:rPr>
          <w:sz w:val="24"/>
          <w:szCs w:val="24"/>
          <w:lang w:val="ru-RU"/>
        </w:rPr>
        <w:t>8</w:t>
      </w:r>
      <w:r w:rsidR="00E16D17">
        <w:rPr>
          <w:sz w:val="24"/>
          <w:szCs w:val="24"/>
          <w:lang w:val="ru-RU"/>
        </w:rPr>
        <w:t>.</w:t>
      </w:r>
      <w:r w:rsidR="00E16D17">
        <w:rPr>
          <w:sz w:val="24"/>
          <w:szCs w:val="24"/>
          <w:lang w:val="ru-RU"/>
        </w:rPr>
        <w:tab/>
      </w:r>
      <w:r w:rsidR="00057312" w:rsidRPr="00EE0D14">
        <w:rPr>
          <w:sz w:val="24"/>
          <w:szCs w:val="24"/>
        </w:rPr>
        <w:t>З</w:t>
      </w:r>
      <w:r w:rsidR="000829E2" w:rsidRPr="00EE0D14">
        <w:rPr>
          <w:sz w:val="24"/>
          <w:szCs w:val="24"/>
        </w:rPr>
        <w:t>аявка коллективного участника должна содержать безотзывную доверенность</w:t>
      </w:r>
      <w:r w:rsidR="005432DB">
        <w:rPr>
          <w:rStyle w:val="af0"/>
          <w:sz w:val="24"/>
          <w:szCs w:val="24"/>
        </w:rPr>
        <w:footnoteReference w:id="4"/>
      </w:r>
      <w:r w:rsidR="000829E2"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91514D4"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08CCD0E0"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3475DC45" w14:textId="77777777" w:rsidR="000829E2" w:rsidRPr="00EE0D14" w:rsidRDefault="000829E2" w:rsidP="00E307FC">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72796C59" w14:textId="1DA8EA45" w:rsidR="001938C8" w:rsidRPr="0068671E" w:rsidRDefault="008311BD" w:rsidP="0068671E">
      <w:pPr>
        <w:pStyle w:val="20"/>
        <w:numPr>
          <w:ilvl w:val="0"/>
          <w:numId w:val="23"/>
        </w:numPr>
        <w:tabs>
          <w:tab w:val="left" w:pos="851"/>
        </w:tabs>
        <w:ind w:left="0" w:firstLine="709"/>
        <w:rPr>
          <w:sz w:val="24"/>
          <w:szCs w:val="24"/>
        </w:rPr>
      </w:pPr>
      <w:r w:rsidRPr="00EE0D14">
        <w:rPr>
          <w:sz w:val="24"/>
          <w:szCs w:val="24"/>
        </w:rPr>
        <w:t xml:space="preserve"> </w:t>
      </w:r>
      <w:r w:rsidR="000829E2" w:rsidRPr="00EE0D14">
        <w:rPr>
          <w:sz w:val="24"/>
          <w:szCs w:val="24"/>
        </w:rPr>
        <w:t xml:space="preserve">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EE0D14">
        <w:rPr>
          <w:sz w:val="24"/>
          <w:szCs w:val="24"/>
        </w:rPr>
        <w:t xml:space="preserve"> </w:t>
      </w:r>
    </w:p>
    <w:p w14:paraId="373E783C" w14:textId="77777777" w:rsidR="001938C8" w:rsidRPr="001938C8" w:rsidRDefault="001938C8" w:rsidP="000D146F">
      <w:pPr>
        <w:rPr>
          <w:rFonts w:cs="Times New Roman"/>
          <w:i/>
          <w:color w:val="auto"/>
        </w:rPr>
      </w:pPr>
    </w:p>
    <w:sectPr w:rsidR="001938C8" w:rsidRPr="001938C8" w:rsidSect="0068671E">
      <w:headerReference w:type="even" r:id="rId19"/>
      <w:footerReference w:type="default" r:id="rId20"/>
      <w:pgSz w:w="11906" w:h="16838" w:code="9"/>
      <w:pgMar w:top="1134" w:right="850" w:bottom="1134" w:left="1701" w:header="425" w:footer="618"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F5359" w14:textId="77777777" w:rsidR="007A50C0" w:rsidRDefault="007A50C0">
      <w:r>
        <w:separator/>
      </w:r>
    </w:p>
  </w:endnote>
  <w:endnote w:type="continuationSeparator" w:id="0">
    <w:p w14:paraId="4F0360D9" w14:textId="77777777" w:rsidR="007A50C0" w:rsidRDefault="007A50C0">
      <w:r>
        <w:continuationSeparator/>
      </w:r>
    </w:p>
  </w:endnote>
  <w:endnote w:type="continuationNotice" w:id="1">
    <w:p w14:paraId="60720341" w14:textId="77777777" w:rsidR="007A50C0" w:rsidRDefault="007A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884C84" w:rsidRDefault="00884C84">
    <w:pPr>
      <w:pStyle w:val="af8"/>
      <w:jc w:val="center"/>
    </w:pPr>
  </w:p>
  <w:p w14:paraId="77E8A6E6" w14:textId="77777777" w:rsidR="00884C84" w:rsidRDefault="00884C8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C16E2" w14:textId="77777777" w:rsidR="007A50C0" w:rsidRDefault="007A50C0">
      <w:r>
        <w:separator/>
      </w:r>
    </w:p>
  </w:footnote>
  <w:footnote w:type="continuationSeparator" w:id="0">
    <w:p w14:paraId="437A35DB" w14:textId="77777777" w:rsidR="007A50C0" w:rsidRDefault="007A50C0">
      <w:r>
        <w:continuationSeparator/>
      </w:r>
    </w:p>
  </w:footnote>
  <w:footnote w:type="continuationNotice" w:id="1">
    <w:p w14:paraId="0296E64E" w14:textId="77777777" w:rsidR="007A50C0" w:rsidRDefault="007A50C0"/>
  </w:footnote>
  <w:footnote w:id="2">
    <w:p w14:paraId="3E7D84C5" w14:textId="77777777" w:rsidR="00884C84" w:rsidRPr="003F4ED4" w:rsidRDefault="00884C8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3">
    <w:p w14:paraId="01DD0828" w14:textId="77777777" w:rsidR="00884C84" w:rsidRPr="005432DB" w:rsidRDefault="00884C8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02A7F717" w14:textId="77777777" w:rsidR="00884C84" w:rsidRPr="005432DB" w:rsidRDefault="00884C84">
      <w:pPr>
        <w:pStyle w:val="aff3"/>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884C84" w:rsidRDefault="00884C84">
    <w:pPr>
      <w:pStyle w:val="af6"/>
      <w:jc w:val="center"/>
    </w:pPr>
  </w:p>
  <w:p w14:paraId="366BDE3D" w14:textId="77777777" w:rsidR="00884C84" w:rsidRDefault="00884C8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55C4"/>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AF6"/>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671E"/>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00"/>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33A"/>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5E6"/>
    <w:rsid w:val="007A0B72"/>
    <w:rsid w:val="007A188F"/>
    <w:rsid w:val="007A224F"/>
    <w:rsid w:val="007A378E"/>
    <w:rsid w:val="007A50C0"/>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63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B98"/>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03F"/>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039"/>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ABE"/>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1BC62-14C6-42B9-8E2F-3F081E378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16128</Words>
  <Characters>91933</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107846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4</cp:revision>
  <cp:lastPrinted>2020-02-03T09:51:00Z</cp:lastPrinted>
  <dcterms:created xsi:type="dcterms:W3CDTF">2025-07-30T06:14:00Z</dcterms:created>
  <dcterms:modified xsi:type="dcterms:W3CDTF">2026-07-14T06:01:00Z</dcterms:modified>
</cp:coreProperties>
</file>