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fals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 оборудование средств диспетчерского технологического управления для пополнения аварийного запаса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1.4.2 Окончание - в течение 3 (трех) месяцев с даты заключения договора. Поставка осуществляется единовременно.</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0"/>
        <w:gridCol w:w="158"/>
        <w:gridCol w:w="4628"/>
        <w:gridCol w:w="334"/>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0"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4"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 _ г.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684"/>
        <w:gridCol w:w="587"/>
        <w:gridCol w:w="906"/>
        <w:gridCol w:w="924"/>
        <w:gridCol w:w="925"/>
        <w:gridCol w:w="1179"/>
        <w:gridCol w:w="1109"/>
        <w:gridCol w:w="935"/>
        <w:gridCol w:w="1104"/>
        <w:gridCol w:w="1053"/>
        <w:gridCol w:w="783"/>
        <w:gridCol w:w="979"/>
        <w:gridCol w:w="836"/>
        <w:gridCol w:w="780"/>
        <w:gridCol w:w="1085"/>
        <w:gridCol w:w="696"/>
      </w:tblGrid>
      <w:tr>
        <w:trPr>
          <w:trHeight w:val="526" w:hRule="atLeast"/>
        </w:trPr>
        <w:tc>
          <w:tcPr>
            <w:tcW w:w="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Application>AlterOffice/3.4.0.9$Linux_X86_64 LibreOffice_project/b8daf9e823b1a5463a2f48435ddc2e8696e7d4fc</Application>
  <AppVersion>15.0000</AppVersion>
  <Pages>17</Pages>
  <Words>7025</Words>
  <Characters>50294</Characters>
  <CharactersWithSpaces>57061</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Елена Викторовна Макеева</cp:lastModifiedBy>
  <dcterms:modified xsi:type="dcterms:W3CDTF">2026-07-14T17:51:03Z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