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b/>
          <w:caps/>
          <w:szCs w:val="24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/ </w:t>
      </w:r>
      <w:r>
        <w:rPr>
          <w:rFonts w:eastAsia="Calibri" w:ascii="Times New Roman" w:hAnsi="Times New Roman"/>
          <w:b/>
          <w:caps/>
          <w:szCs w:val="24"/>
        </w:rPr>
        <w:t>цены единицы товара, работы, услуги</w:t>
      </w:r>
    </w:p>
    <w:p>
      <w:pPr>
        <w:pStyle w:val="Normal"/>
        <w:spacing w:lineRule="exact" w:line="360" w:before="120" w:after="0"/>
        <w:jc w:val="both"/>
        <w:rPr>
          <w:rFonts w:ascii="Times New Roman" w:hAnsi="Times New Roman" w:eastAsia="Calibri"/>
          <w:i/>
          <w:i/>
          <w:sz w:val="26"/>
          <w:szCs w:val="26"/>
          <w:highlight w:val="yellow"/>
        </w:rPr>
      </w:pPr>
      <w:r>
        <w:rPr>
          <w:rFonts w:eastAsia="Calibri"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Общая информация</w:t>
      </w:r>
    </w:p>
    <w:tbl>
      <w:tblPr>
        <w:tblStyle w:val="11"/>
        <w:tblW w:w="9952" w:type="dxa"/>
        <w:jc w:val="left"/>
        <w:tblInd w:w="59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6"/>
        <w:gridCol w:w="3299"/>
        <w:gridCol w:w="5957"/>
      </w:tblGrid>
      <w:tr>
        <w:trPr/>
        <w:tc>
          <w:tcPr>
            <w:tcW w:w="69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п/п</w:t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Наименование</w:t>
            </w:r>
          </w:p>
        </w:tc>
        <w:tc>
          <w:tcPr>
            <w:tcW w:w="5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696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Наименование лота</w:t>
            </w:r>
          </w:p>
        </w:tc>
        <w:tc>
          <w:tcPr>
            <w:tcW w:w="5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ОКПД2 26.30.11.130 Поставка оборудования средств диспетчерского технологического управления Филиала ПАО «РусГидро»- «Каскад Кубанских ГЭС»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696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Номер лота</w:t>
            </w:r>
          </w:p>
        </w:tc>
        <w:tc>
          <w:tcPr>
            <w:tcW w:w="5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5-АЗ-2026-ККГЭС</w:t>
            </w:r>
          </w:p>
        </w:tc>
      </w:tr>
      <w:tr>
        <w:trPr>
          <w:trHeight w:val="167" w:hRule="atLeast"/>
        </w:trPr>
        <w:tc>
          <w:tcPr>
            <w:tcW w:w="696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exact" w:line="360" w:before="120" w:after="0"/>
              <w:ind w:left="0" w:hanging="0"/>
              <w:contextualSpacing/>
              <w:jc w:val="both"/>
              <w:rPr>
                <w:rFonts w:ascii="Times New Roman" w:hAnsi="Times New Roman" w:eastAsia="Calibri" w:cs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</w:r>
          </w:p>
        </w:tc>
        <w:tc>
          <w:tcPr>
            <w:tcW w:w="32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НМЦ лота</w:t>
            </w:r>
          </w:p>
        </w:tc>
        <w:tc>
          <w:tcPr>
            <w:tcW w:w="59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360" w:before="120" w:after="0"/>
              <w:contextualSpacing/>
              <w:jc w:val="both"/>
              <w:rPr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10 009 101,00</w:t>
            </w:r>
          </w:p>
        </w:tc>
      </w:tr>
    </w:tbl>
    <w:p>
      <w:pPr>
        <w:pStyle w:val="Normal"/>
        <w:spacing w:lineRule="exact" w:line="360" w:before="120" w:after="0"/>
        <w:jc w:val="both"/>
        <w:rPr>
          <w:rFonts w:ascii="Times New Roman" w:hAnsi="Times New Roman" w:eastAsia="Calibri"/>
          <w:i/>
          <w:i/>
          <w:sz w:val="26"/>
          <w:szCs w:val="26"/>
          <w:highlight w:val="yellow"/>
        </w:rPr>
      </w:pPr>
      <w:r>
        <w:rPr>
          <w:rFonts w:eastAsia="Calibri" w:ascii="Times New Roman" w:hAnsi="Times New Roman"/>
          <w:i/>
          <w:sz w:val="26"/>
          <w:szCs w:val="26"/>
          <w:highlight w:val="yellow"/>
        </w:rPr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</w:r>
    </w:p>
    <w:p>
      <w:pPr>
        <w:pStyle w:val="ListParagraph"/>
        <w:spacing w:before="0" w:after="120"/>
        <w:ind w:left="0" w:hanging="0"/>
        <w:contextualSpacing w:val="false"/>
        <w:rPr>
          <w:rFonts w:ascii="Times New Roman" w:hAnsi="Times New Roman"/>
          <w:b/>
          <w:bCs/>
          <w:sz w:val="26"/>
        </w:rPr>
      </w:pPr>
      <w:r>
        <w:rPr>
          <w:rFonts w:eastAsia="Calibri" w:ascii="Times New Roman" w:hAnsi="Times New Roman"/>
          <w:b/>
          <w:bCs/>
          <w:sz w:val="26"/>
          <w:szCs w:val="26"/>
        </w:rPr>
        <w:t>Метод анализа технико-коммерческих предложений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Обоснование расчета НМЦ: </w:t>
      </w:r>
    </w:p>
    <w:p>
      <w:pPr>
        <w:pStyle w:val="Normal"/>
        <w:keepNext w:val="true"/>
        <w:spacing w:before="0" w:after="120"/>
        <w:jc w:val="both"/>
        <w:rPr>
          <w:rFonts w:ascii="Times New Roman" w:hAnsi="Times New Roman" w:eastAsia="Calibri"/>
          <w:sz w:val="20"/>
        </w:rPr>
      </w:pPr>
      <w:r>
        <w:rPr>
          <w:rFonts w:eastAsia="Calibri" w:ascii="Times New Roman" w:hAnsi="Times New Roman"/>
          <w:sz w:val="20"/>
        </w:rPr>
      </w:r>
    </w:p>
    <w:tbl>
      <w:tblPr>
        <w:tblW w:w="10346" w:type="dxa"/>
        <w:jc w:val="center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14"/>
        <w:gridCol w:w="2654"/>
        <w:gridCol w:w="1800"/>
        <w:gridCol w:w="1941"/>
        <w:gridCol w:w="1837"/>
      </w:tblGrid>
      <w:tr>
        <w:trPr>
          <w:trHeight w:val="70" w:hRule="atLeast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за единицу, в руб. без НДС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Цена итоговая, в руб. без НДС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000000" w:fill="E7E6E6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lang w:eastAsia="ru-RU"/>
              </w:rPr>
              <w:t>Комментарии</w:t>
            </w:r>
          </w:p>
        </w:tc>
      </w:tr>
      <w:tr>
        <w:trPr>
          <w:trHeight w:val="70" w:hRule="atLeast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ОКПД2 26.30.11.130 Поставка оборудования средств диспетчерского технологического управления Филиала ПАО «РусГидро»- «Каскад Кубанских ГЭС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ТКП №321 от 15.04.2026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10 009 101,00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sz w:val="22"/>
                <w:szCs w:val="22"/>
              </w:rPr>
              <w:t>10 009 101,00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/>
                <w:bCs/>
                <w:i/>
                <w:i/>
                <w:color w:val="000000"/>
                <w:sz w:val="2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i/>
                <w:color w:val="000000"/>
                <w:sz w:val="20"/>
                <w:lang w:eastAsia="ru-RU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2"/>
  </w:compat>
  <w:themeFontLang w:val="" w:eastAsia="" w:bidi=""/>
  <w:documentProtection w:edit="trackedChanges" w:enforcement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5dbb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00000A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сноски Знак"/>
    <w:basedOn w:val="DefaultParagraphFont"/>
    <w:uiPriority w:val="99"/>
    <w:qFormat/>
    <w:rsid w:val="00315dbb"/>
    <w:rPr>
      <w:rFonts w:ascii="Geneva CY" w:hAnsi="Geneva CY" w:eastAsia="Geneva" w:cs="Times New Roman"/>
      <w:sz w:val="20"/>
      <w:szCs w:val="20"/>
    </w:rPr>
  </w:style>
  <w:style w:type="character" w:styleId="Style10" w:customStyle="1">
    <w:name w:val="Символ сноски"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d7522"/>
    <w:rPr>
      <w:rFonts w:ascii="Geneva CY" w:hAnsi="Geneva CY" w:eastAsia="Geneva" w:cs="Times New Roman"/>
      <w:sz w:val="24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996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372996"/>
    <w:rPr>
      <w:rFonts w:ascii="Geneva CY" w:hAnsi="Geneva CY" w:eastAsia="Geneva" w:cs="Times New Roman"/>
      <w:sz w:val="20"/>
      <w:szCs w:val="20"/>
    </w:rPr>
  </w:style>
  <w:style w:type="character" w:styleId="Style14" w:customStyle="1">
    <w:name w:val="Тема примечания Знак"/>
    <w:basedOn w:val="Style13"/>
    <w:uiPriority w:val="99"/>
    <w:semiHidden/>
    <w:qFormat/>
    <w:rsid w:val="00372996"/>
    <w:rPr>
      <w:rFonts w:ascii="Geneva CY" w:hAnsi="Geneva CY" w:eastAsia="Geneva" w:cs="Times New Roman"/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372996"/>
    <w:rPr>
      <w:rFonts w:ascii="Segoe UI" w:hAnsi="Segoe UI" w:eastAsia="Geneva" w:cs="Segoe UI"/>
      <w:sz w:val="18"/>
      <w:szCs w:val="18"/>
    </w:rPr>
  </w:style>
  <w:style w:type="character" w:styleId="11" w:customStyle="1">
    <w:name w:val="Знак концевой сноски1"/>
    <w:qFormat/>
    <w:rPr>
      <w:vertAlign w:val="superscript"/>
    </w:rPr>
  </w:style>
  <w:style w:type="character" w:styleId="Style16" w:customStyle="1">
    <w:name w:val="Символы концевой сноски"/>
    <w:qFormat/>
    <w:rPr/>
  </w:style>
  <w:style w:type="character" w:styleId="Style17" w:customStyle="1">
    <w:name w:val="Символ концевой сноски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FootnoteText">
    <w:name w:val="Footnote Text"/>
    <w:basedOn w:val="Normal"/>
    <w:pPr/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ad752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372996"/>
    <w:pPr/>
    <w:rPr>
      <w:sz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372996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37299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315dbb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b">
    <w:name w:val="Table Grid"/>
    <w:basedOn w:val="a1"/>
    <w:uiPriority w:val="39"/>
    <w:rsid w:val="00315d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AlterOffice/3.4.0.9$Linux_X86_64 LibreOffice_project/b8daf9e823b1a5463a2f48435ddc2e8696e7d4fc</Application>
  <AppVersion>15.0000</AppVersion>
  <Pages>1</Pages>
  <Words>116</Words>
  <Characters>772</Characters>
  <CharactersWithSpaces>861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2025-01-16T10:23:00Z</dcterms:created>
  <dc:creator>Лазаренко Ксения Вячеславовна</dc:creator>
  <dc:description/>
  <dc:language>ru-RU</dc:language>
  <cp:lastModifiedBy>kovalevaev@corp.gidroogk.com</cp:lastModifiedBy>
  <dcterms:modified xsi:type="dcterms:W3CDTF">2026-07-13T14:02:09Z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