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5CCA8456"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4D6EC165"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2CFE2299" w14:textId="77777777" w:rsidR="00E074DB" w:rsidRDefault="00E074DB" w:rsidP="00E074DB">
      <w:pPr>
        <w:pStyle w:val="20"/>
        <w:numPr>
          <w:ilvl w:val="0"/>
          <w:numId w:val="0"/>
        </w:numPr>
        <w:ind w:left="709"/>
        <w:rPr>
          <w:b/>
          <w:sz w:val="24"/>
          <w:szCs w:val="24"/>
        </w:rPr>
      </w:pPr>
    </w:p>
    <w:p w14:paraId="5DE78B3C" w14:textId="0538B25C" w:rsidR="0018784B" w:rsidRDefault="0018784B" w:rsidP="0018784B">
      <w:pPr>
        <w:pStyle w:val="3"/>
        <w:ind w:left="0"/>
        <w:rPr>
          <w:sz w:val="24"/>
          <w:szCs w:val="24"/>
        </w:rPr>
      </w:pPr>
      <w:r w:rsidRPr="00AC71D9">
        <w:rPr>
          <w:sz w:val="24"/>
          <w:szCs w:val="24"/>
        </w:rPr>
        <w:t xml:space="preserve">Извещение о проведении ценового отбора размещается Заказчиком в ЕИС и на ЭП не менее чем за 15 (пятнадцать) дней до даты окончания срока подачи заявок на </w:t>
      </w:r>
      <w:r w:rsidRPr="00AC71D9">
        <w:rPr>
          <w:sz w:val="24"/>
          <w:szCs w:val="24"/>
        </w:rPr>
        <w:lastRenderedPageBreak/>
        <w:t>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6B1F1B6F" w14:textId="77777777" w:rsidR="00E074DB" w:rsidRDefault="00E074DB" w:rsidP="00E074DB">
      <w:pPr>
        <w:pStyle w:val="3"/>
        <w:numPr>
          <w:ilvl w:val="0"/>
          <w:numId w:val="0"/>
        </w:numPr>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w:t>
      </w:r>
      <w:r w:rsidRPr="00C50BE3">
        <w:rPr>
          <w:rFonts w:ascii="Times New Roman" w:hAnsi="Times New Roman"/>
          <w:sz w:val="24"/>
          <w:szCs w:val="24"/>
        </w:rPr>
        <w:lastRenderedPageBreak/>
        <w:t xml:space="preserve">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w:t>
      </w:r>
      <w:r w:rsidRPr="00F11454">
        <w:rPr>
          <w:rFonts w:ascii="Times New Roman" w:hAnsi="Times New Roman"/>
          <w:iCs/>
          <w:color w:val="000000"/>
          <w:sz w:val="24"/>
          <w:szCs w:val="24"/>
        </w:rPr>
        <w:lastRenderedPageBreak/>
        <w:t xml:space="preserve">ограничения в части заключения и(или) исполнения сделок с таким лицом, участия в закупках и иные; </w:t>
      </w:r>
    </w:p>
    <w:p w14:paraId="5C2DD711" w14:textId="16E1197B" w:rsidR="00DF762E" w:rsidRPr="00E074DB"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49B4BD7" w14:textId="77777777" w:rsidR="00E074DB" w:rsidRPr="00AC71D9" w:rsidRDefault="00E074DB" w:rsidP="00E074DB">
      <w:pPr>
        <w:pStyle w:val="affa"/>
        <w:tabs>
          <w:tab w:val="left" w:pos="796"/>
          <w:tab w:val="left" w:pos="1134"/>
        </w:tabs>
        <w:spacing w:after="0" w:line="240" w:lineRule="auto"/>
        <w:ind w:left="709"/>
        <w:jc w:val="both"/>
        <w:rPr>
          <w:rFonts w:ascii="Times New Roman" w:hAnsi="Times New Roman"/>
          <w:i/>
          <w:sz w:val="24"/>
          <w:szCs w:val="24"/>
        </w:rPr>
      </w:pP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w:t>
      </w:r>
      <w:r w:rsidRPr="00EE0D14">
        <w:rPr>
          <w:sz w:val="24"/>
          <w:szCs w:val="24"/>
        </w:rPr>
        <w:lastRenderedPageBreak/>
        <w:t xml:space="preserve">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434B701B"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lastRenderedPageBreak/>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lastRenderedPageBreak/>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xml:space="preserve">, формат: один файл – </w:t>
      </w:r>
      <w:r w:rsidRPr="00735176">
        <w:rPr>
          <w:sz w:val="24"/>
          <w:szCs w:val="24"/>
        </w:rPr>
        <w:lastRenderedPageBreak/>
        <w:t>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w:t>
      </w:r>
      <w:r w:rsidRPr="00EE0D14">
        <w:rPr>
          <w:sz w:val="24"/>
          <w:szCs w:val="24"/>
        </w:rPr>
        <w:lastRenderedPageBreak/>
        <w:t xml:space="preserve">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 xml:space="preserve">указанную </w:t>
      </w:r>
      <w:r w:rsidR="008D7A6F">
        <w:rPr>
          <w:sz w:val="24"/>
          <w:szCs w:val="24"/>
        </w:rPr>
        <w:lastRenderedPageBreak/>
        <w:t>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w:t>
      </w:r>
      <w:r w:rsidR="00C123CA" w:rsidRPr="00EE0D14">
        <w:rPr>
          <w:sz w:val="24"/>
          <w:szCs w:val="24"/>
        </w:rPr>
        <w:lastRenderedPageBreak/>
        <w:t xml:space="preserve">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lastRenderedPageBreak/>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53F86BB5" w:rsidR="003754A0" w:rsidRPr="0060035F" w:rsidRDefault="003754A0" w:rsidP="0060035F">
      <w:pPr>
        <w:pStyle w:val="3"/>
        <w:tabs>
          <w:tab w:val="left" w:pos="1418"/>
          <w:tab w:val="left" w:pos="1560"/>
        </w:tabs>
        <w:ind w:left="0"/>
        <w:rPr>
          <w:sz w:val="24"/>
          <w:szCs w:val="24"/>
        </w:rPr>
      </w:pPr>
      <w:r w:rsidRPr="0060035F">
        <w:rPr>
          <w:sz w:val="24"/>
          <w:szCs w:val="24"/>
        </w:rPr>
        <w:t>Сроки возврата обеспечения заявки на участие в закупке  указаны в ч. 4.4.10 ст. 4.4 Положения о закупке.</w:t>
      </w:r>
    </w:p>
    <w:p w14:paraId="0863D889" w14:textId="77777777" w:rsidR="003754A0" w:rsidRDefault="003754A0" w:rsidP="003754A0">
      <w:pPr>
        <w:pStyle w:val="3"/>
        <w:numPr>
          <w:ilvl w:val="0"/>
          <w:numId w:val="0"/>
        </w:numPr>
        <w:tabs>
          <w:tab w:val="left" w:pos="1560"/>
        </w:tabs>
        <w:ind w:firstLine="709"/>
        <w:rPr>
          <w:i/>
          <w:sz w:val="24"/>
          <w:szCs w:val="24"/>
          <w:lang w:val="ru-RU"/>
        </w:rPr>
      </w:pPr>
    </w:p>
    <w:p w14:paraId="49F2B45B" w14:textId="51EA0296"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xml:space="preserve">, </w:t>
      </w:r>
      <w:r w:rsidR="00515DEB" w:rsidRPr="00EE0D14">
        <w:rPr>
          <w:sz w:val="24"/>
          <w:szCs w:val="24"/>
        </w:rPr>
        <w:lastRenderedPageBreak/>
        <w:t>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lastRenderedPageBreak/>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 xml:space="preserve">общей цене за единицу </w:t>
      </w:r>
      <w:r w:rsidR="00860209" w:rsidRPr="00EE0D14">
        <w:rPr>
          <w:rFonts w:eastAsia="Calibri"/>
          <w:sz w:val="24"/>
          <w:szCs w:val="24"/>
        </w:rPr>
        <w:lastRenderedPageBreak/>
        <w:t>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w:t>
      </w:r>
      <w:r w:rsidRPr="00EE0D14">
        <w:rPr>
          <w:rFonts w:eastAsia="Calibri"/>
          <w:sz w:val="24"/>
          <w:szCs w:val="24"/>
        </w:rPr>
        <w:lastRenderedPageBreak/>
        <w:t xml:space="preserve">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w:t>
      </w:r>
      <w:r w:rsidRPr="00EE0D14">
        <w:rPr>
          <w:sz w:val="24"/>
          <w:szCs w:val="24"/>
        </w:rPr>
        <w:lastRenderedPageBreak/>
        <w:t>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w:t>
      </w:r>
      <w:r w:rsidR="004C63A9" w:rsidRPr="00EE0D14">
        <w:rPr>
          <w:sz w:val="24"/>
          <w:szCs w:val="24"/>
        </w:rPr>
        <w:lastRenderedPageBreak/>
        <w:t xml:space="preserve">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lastRenderedPageBreak/>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w:t>
      </w:r>
      <w:r w:rsidRPr="00EE0D14">
        <w:rPr>
          <w:sz w:val="24"/>
          <w:szCs w:val="24"/>
        </w:rPr>
        <w:lastRenderedPageBreak/>
        <w:t>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w:t>
      </w:r>
      <w:r w:rsidRPr="00EE0D14">
        <w:rPr>
          <w:sz w:val="24"/>
          <w:szCs w:val="24"/>
        </w:rPr>
        <w:lastRenderedPageBreak/>
        <w:t xml:space="preserve">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lastRenderedPageBreak/>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w:t>
      </w:r>
      <w:r w:rsidRPr="00EE0D14">
        <w:rPr>
          <w:sz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lastRenderedPageBreak/>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w:t>
      </w:r>
      <w:r w:rsidRPr="00667662">
        <w:rPr>
          <w:rFonts w:ascii="Times New Roman" w:eastAsia="Times New Roman" w:hAnsi="Times New Roman" w:cs="Times New Roman"/>
        </w:rPr>
        <w:lastRenderedPageBreak/>
        <w:t xml:space="preserve">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097FCE1D"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0596B565"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w:t>
      </w:r>
      <w:r w:rsidRPr="007408A8">
        <w:rPr>
          <w:sz w:val="24"/>
          <w:szCs w:val="24"/>
        </w:rPr>
        <w:lastRenderedPageBreak/>
        <w:t>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00E7E790"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lastRenderedPageBreak/>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7177C501" w:rsidR="004C2709" w:rsidRPr="00AA4672" w:rsidRDefault="003476EA">
      <w:pPr>
        <w:pStyle w:val="20"/>
        <w:tabs>
          <w:tab w:val="left" w:pos="1276"/>
        </w:tabs>
        <w:ind w:left="0"/>
        <w:rPr>
          <w:sz w:val="24"/>
          <w:szCs w:val="24"/>
        </w:rPr>
      </w:pPr>
      <w:r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5AAE0C0"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22485945"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6D3D6765" w:rsidR="00365A33" w:rsidRDefault="00365A33" w:rsidP="00365A33">
      <w:pPr>
        <w:pStyle w:val="20"/>
        <w:numPr>
          <w:ilvl w:val="0"/>
          <w:numId w:val="0"/>
        </w:numPr>
        <w:tabs>
          <w:tab w:val="left" w:pos="851"/>
        </w:tabs>
        <w:ind w:left="709"/>
        <w:rPr>
          <w:sz w:val="24"/>
          <w:szCs w:val="24"/>
          <w:lang w:val="ru-RU"/>
        </w:rPr>
      </w:pPr>
    </w:p>
    <w:p w14:paraId="67B4758A" w14:textId="77777777" w:rsidR="0004794C" w:rsidRDefault="0004794C" w:rsidP="00365A33">
      <w:pPr>
        <w:pStyle w:val="20"/>
        <w:numPr>
          <w:ilvl w:val="0"/>
          <w:numId w:val="0"/>
        </w:numPr>
        <w:tabs>
          <w:tab w:val="left" w:pos="851"/>
        </w:tabs>
        <w:ind w:left="709"/>
        <w:rPr>
          <w:sz w:val="24"/>
          <w:szCs w:val="24"/>
          <w:lang w:val="ru-RU"/>
        </w:rPr>
      </w:pPr>
      <w:bookmarkStart w:id="149" w:name="_GoBack"/>
      <w:bookmarkEnd w:id="149"/>
    </w:p>
    <w:sectPr w:rsidR="0004794C" w:rsidSect="00E074DB">
      <w:headerReference w:type="even" r:id="rId19"/>
      <w:headerReference w:type="default" r:id="rId20"/>
      <w:footerReference w:type="default" r:id="rId21"/>
      <w:headerReference w:type="first" r:id="rId22"/>
      <w:pgSz w:w="11906" w:h="16838" w:code="9"/>
      <w:pgMar w:top="1134" w:right="850" w:bottom="1134" w:left="1701" w:header="425" w:footer="61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612B83" w:rsidRDefault="00612B83">
      <w:r>
        <w:separator/>
      </w:r>
    </w:p>
  </w:endnote>
  <w:endnote w:type="continuationSeparator" w:id="0">
    <w:p w14:paraId="75C4ADD0" w14:textId="77777777" w:rsidR="00612B83" w:rsidRDefault="00612B83">
      <w:r>
        <w:continuationSeparator/>
      </w:r>
    </w:p>
  </w:endnote>
  <w:endnote w:type="continuationNotice" w:id="1">
    <w:p w14:paraId="45E22EC7" w14:textId="77777777" w:rsidR="00612B83" w:rsidRDefault="0061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D35BF1" w:rsidRDefault="00D35BF1">
    <w:pPr>
      <w:pStyle w:val="af8"/>
      <w:jc w:val="center"/>
    </w:pPr>
  </w:p>
  <w:p w14:paraId="77E8A6E6" w14:textId="77777777" w:rsidR="00D35BF1" w:rsidRDefault="00D35BF1">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612B83" w:rsidRDefault="00612B83">
      <w:r>
        <w:separator/>
      </w:r>
    </w:p>
  </w:footnote>
  <w:footnote w:type="continuationSeparator" w:id="0">
    <w:p w14:paraId="6FEE6E6B" w14:textId="77777777" w:rsidR="00612B83" w:rsidRDefault="00612B83">
      <w:r>
        <w:continuationSeparator/>
      </w:r>
    </w:p>
  </w:footnote>
  <w:footnote w:type="continuationNotice" w:id="1">
    <w:p w14:paraId="3E485A11" w14:textId="77777777" w:rsidR="00612B83" w:rsidRDefault="00612B83"/>
  </w:footnote>
  <w:footnote w:id="2">
    <w:p w14:paraId="0679A0AF" w14:textId="32078BDD" w:rsidR="00D35BF1" w:rsidRPr="004D44CA" w:rsidRDefault="00D35BF1">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01DD0828" w14:textId="77777777" w:rsidR="00D35BF1" w:rsidRPr="005432DB" w:rsidRDefault="00D35BF1"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D35BF1" w:rsidRDefault="00D35BF1">
    <w:pPr>
      <w:pStyle w:val="af6"/>
      <w:jc w:val="center"/>
    </w:pPr>
  </w:p>
  <w:p w14:paraId="366BDE3D"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76AA7F75" w:rsidR="00D35BF1" w:rsidRDefault="00D35BF1" w:rsidP="00E074DB">
    <w:pPr>
      <w:pStyle w:val="af6"/>
      <w:jc w:val="center"/>
    </w:pPr>
    <w:r>
      <w:fldChar w:fldCharType="begin"/>
    </w:r>
    <w:r>
      <w:instrText>PAGE   \* MERGEFORMAT</w:instrText>
    </w:r>
    <w:r>
      <w:fldChar w:fldCharType="separate"/>
    </w:r>
    <w:r w:rsidR="0004794C" w:rsidRPr="0004794C">
      <w:rPr>
        <w:noProof/>
        <w:lang w:val="ru-RU"/>
      </w:rPr>
      <w:t>28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94C"/>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35F"/>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6FDD"/>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6B2C"/>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40BA"/>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4DB"/>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fontTable" Target="fontTable.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EF4B6-0663-4659-A02C-120D5928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30</Pages>
  <Words>13705</Words>
  <Characters>92719</Characters>
  <Application>Microsoft Office Word</Application>
  <DocSecurity>0</DocSecurity>
  <Lines>772</Lines>
  <Paragraphs>212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106212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Копелев Вадим Валерьевич</cp:lastModifiedBy>
  <cp:revision>25</cp:revision>
  <cp:lastPrinted>2020-02-03T09:51:00Z</cp:lastPrinted>
  <dcterms:created xsi:type="dcterms:W3CDTF">2025-01-10T09:51:00Z</dcterms:created>
  <dcterms:modified xsi:type="dcterms:W3CDTF">2026-06-16T15:44:00Z</dcterms:modified>
</cp:coreProperties>
</file>