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8C486E" w:rsidRPr="008C486E">
        <w:rPr>
          <w:rFonts w:ascii="Times New Roman" w:eastAsia="Times New Roman" w:hAnsi="Times New Roman" w:cs="Times New Roman"/>
          <w:b/>
          <w:bCs/>
          <w:iCs/>
          <w:sz w:val="24"/>
          <w:szCs w:val="24"/>
          <w:lang w:eastAsia="ru-RU"/>
        </w:rPr>
        <w:t xml:space="preserve">26-23838 </w:t>
      </w:r>
      <w:r w:rsidR="007D65B4">
        <w:rPr>
          <w:rFonts w:ascii="Times New Roman" w:eastAsia="Times New Roman" w:hAnsi="Times New Roman" w:cs="Times New Roman"/>
          <w:b/>
          <w:bCs/>
          <w:iCs/>
          <w:sz w:val="24"/>
          <w:szCs w:val="24"/>
          <w:lang w:eastAsia="ru-RU"/>
        </w:rPr>
        <w:t>(194)</w:t>
      </w:r>
      <w:r w:rsidR="008C486E" w:rsidRPr="008C486E">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B50E93">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571DD0" w:rsidP="00060F63">
            <w:pPr>
              <w:tabs>
                <w:tab w:val="right" w:pos="9354"/>
              </w:tabs>
              <w:spacing w:after="0" w:line="240" w:lineRule="auto"/>
              <w:rPr>
                <w:rFonts w:ascii="Times New Roman" w:eastAsia="Times New Roman" w:hAnsi="Times New Roman" w:cs="Times New Roman"/>
                <w:b/>
                <w:sz w:val="20"/>
                <w:szCs w:val="20"/>
                <w:lang w:eastAsia="ru-RU"/>
              </w:rPr>
            </w:pPr>
            <w:r w:rsidRPr="00571DD0">
              <w:rPr>
                <w:rFonts w:ascii="Times New Roman" w:eastAsia="Times New Roman" w:hAnsi="Times New Roman" w:cs="Times New Roman"/>
                <w:b/>
                <w:sz w:val="20"/>
                <w:szCs w:val="20"/>
                <w:lang w:eastAsia="ru-RU"/>
              </w:rPr>
              <w:t>УФПС Ярославской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571DD0"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571DD0">
              <w:rPr>
                <w:rFonts w:ascii="Times New Roman" w:eastAsia="Times New Roman" w:hAnsi="Times New Roman" w:cs="Times New Roman"/>
                <w:b/>
                <w:i/>
                <w:sz w:val="20"/>
                <w:szCs w:val="20"/>
                <w:lang w:eastAsia="ru-RU"/>
              </w:rPr>
              <w:t>Выполнение работ по текущему ремонту системы отопления ОПС, расположенного по адресу: 152060, Ярославская обл., р-н Даниловский, с. Дмитриевское ул. Свободы, д. 24, для нужд УФПС Ярославской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9E73A7" w:rsidRPr="009E73A7">
              <w:rPr>
                <w:rFonts w:ascii="Times New Roman" w:eastAsia="Times New Roman" w:hAnsi="Times New Roman" w:cs="Times New Roman"/>
                <w:b/>
                <w:i/>
                <w:sz w:val="20"/>
                <w:szCs w:val="20"/>
                <w:lang w:eastAsia="ru-RU"/>
              </w:rPr>
              <w:t>399</w:t>
            </w:r>
            <w:r w:rsidR="009E73A7">
              <w:rPr>
                <w:rFonts w:ascii="Times New Roman" w:eastAsia="Times New Roman" w:hAnsi="Times New Roman" w:cs="Times New Roman"/>
                <w:b/>
                <w:i/>
                <w:sz w:val="20"/>
                <w:szCs w:val="20"/>
                <w:lang w:eastAsia="ru-RU"/>
              </w:rPr>
              <w:t> 382,</w:t>
            </w:r>
            <w:r w:rsidR="009E73A7" w:rsidRPr="009E73A7">
              <w:rPr>
                <w:rFonts w:ascii="Times New Roman" w:eastAsia="Times New Roman" w:hAnsi="Times New Roman" w:cs="Times New Roman"/>
                <w:b/>
                <w:i/>
                <w:sz w:val="20"/>
                <w:szCs w:val="20"/>
                <w:lang w:eastAsia="ru-RU"/>
              </w:rPr>
              <w:t>01 руб. (Триста девяносто девять тысяч триста восемьдесят два рубля 01 копейка)</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A21E77" w:rsidRPr="00A21E77" w:rsidRDefault="00A21E77" w:rsidP="00A21E77">
            <w:pPr>
              <w:tabs>
                <w:tab w:val="right" w:pos="9354"/>
              </w:tabs>
              <w:spacing w:after="0" w:line="240" w:lineRule="auto"/>
              <w:jc w:val="both"/>
              <w:rPr>
                <w:rFonts w:ascii="Times New Roman" w:eastAsia="Times New Roman" w:hAnsi="Times New Roman" w:cs="Times New Roman"/>
                <w:sz w:val="20"/>
                <w:szCs w:val="20"/>
                <w:lang w:eastAsia="ru-RU"/>
              </w:rPr>
            </w:pPr>
            <w:r w:rsidRPr="00A21E77">
              <w:rPr>
                <w:rFonts w:ascii="Times New Roman" w:eastAsia="Times New Roman" w:hAnsi="Times New Roman" w:cs="Times New Roman"/>
                <w:sz w:val="20"/>
                <w:szCs w:val="20"/>
                <w:lang w:eastAsia="ru-RU"/>
              </w:rPr>
              <w:t>Начало выполнения Работ: не позднее 5 (пяти) календарных дней с даты подписания договора.</w:t>
            </w:r>
          </w:p>
          <w:p w:rsidR="00537277" w:rsidRPr="00E24FE7" w:rsidRDefault="00A21E77" w:rsidP="00A21E77">
            <w:pPr>
              <w:tabs>
                <w:tab w:val="right" w:pos="9354"/>
              </w:tabs>
              <w:spacing w:after="0" w:line="240" w:lineRule="auto"/>
              <w:jc w:val="both"/>
              <w:rPr>
                <w:rFonts w:ascii="Times New Roman" w:eastAsia="Times New Roman" w:hAnsi="Times New Roman" w:cs="Times New Roman"/>
                <w:i/>
                <w:sz w:val="20"/>
                <w:szCs w:val="20"/>
                <w:lang w:eastAsia="ru-RU"/>
              </w:rPr>
            </w:pPr>
            <w:r w:rsidRPr="00A21E77">
              <w:rPr>
                <w:rFonts w:ascii="Times New Roman" w:eastAsia="Times New Roman" w:hAnsi="Times New Roman" w:cs="Times New Roman"/>
                <w:sz w:val="20"/>
                <w:szCs w:val="20"/>
                <w:lang w:eastAsia="ru-RU"/>
              </w:rPr>
              <w:t>Окончание выполнения Работ: в течение 30 (тридцати)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571DD0" w:rsidP="00653AD1">
            <w:pPr>
              <w:tabs>
                <w:tab w:val="right" w:pos="9354"/>
              </w:tabs>
              <w:spacing w:after="0" w:line="240" w:lineRule="auto"/>
              <w:rPr>
                <w:rFonts w:ascii="Times New Roman" w:eastAsia="Times New Roman" w:hAnsi="Times New Roman" w:cs="Times New Roman"/>
                <w:sz w:val="20"/>
                <w:szCs w:val="20"/>
                <w:lang w:eastAsia="ru-RU"/>
              </w:rPr>
            </w:pPr>
            <w:r w:rsidRPr="00571DD0">
              <w:rPr>
                <w:rFonts w:ascii="Times New Roman" w:eastAsia="Times New Roman" w:hAnsi="Times New Roman" w:cs="Times New Roman"/>
                <w:sz w:val="20"/>
                <w:szCs w:val="20"/>
                <w:lang w:eastAsia="ru-RU"/>
              </w:rPr>
              <w:t>43.22.12.190</w:t>
            </w:r>
          </w:p>
        </w:tc>
        <w:tc>
          <w:tcPr>
            <w:tcW w:w="4538" w:type="dxa"/>
          </w:tcPr>
          <w:p w:rsidR="00537277" w:rsidRPr="00E24FE7" w:rsidRDefault="00571DD0" w:rsidP="00060F63">
            <w:pPr>
              <w:tabs>
                <w:tab w:val="right" w:pos="9354"/>
              </w:tabs>
              <w:spacing w:after="0" w:line="240" w:lineRule="auto"/>
              <w:rPr>
                <w:rFonts w:ascii="Times New Roman" w:eastAsia="Times New Roman" w:hAnsi="Times New Roman" w:cs="Times New Roman"/>
                <w:i/>
                <w:sz w:val="20"/>
                <w:szCs w:val="20"/>
                <w:lang w:eastAsia="ru-RU"/>
              </w:rPr>
            </w:pPr>
            <w:r w:rsidRPr="00571DD0">
              <w:rPr>
                <w:rFonts w:ascii="Times New Roman" w:eastAsia="Times New Roman" w:hAnsi="Times New Roman" w:cs="Times New Roman"/>
                <w:i/>
                <w:sz w:val="20"/>
                <w:szCs w:val="20"/>
                <w:lang w:eastAsia="ru-RU"/>
              </w:rPr>
              <w:t>Работы по монтажу систем отопления, вентиляции и кондиционирования воздуха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3E17BE" w:rsidRPr="00986B0D" w:rsidRDefault="003E17BE" w:rsidP="008C486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w:t>
      </w:r>
      <w:bookmarkStart w:id="2" w:name="_GoBack"/>
      <w:bookmarkEnd w:id="2"/>
      <w:r w:rsidRPr="004C7BC6">
        <w:rPr>
          <w:rFonts w:ascii="Times New Roman" w:hAnsi="Times New Roman" w:cs="Times New Roman"/>
          <w:b/>
          <w:sz w:val="20"/>
          <w:szCs w:val="20"/>
        </w:rPr>
        <w:t xml:space="preserve">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6527E0" w:rsidRDefault="003E17BE" w:rsidP="006527E0">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415416" w:rsidRPr="006527E0" w:rsidRDefault="00415416" w:rsidP="006527E0">
      <w:pPr>
        <w:spacing w:after="0" w:line="240" w:lineRule="auto"/>
        <w:jc w:val="right"/>
        <w:rPr>
          <w:rFonts w:ascii="Times New Roman" w:hAnsi="Times New Roman" w:cs="Times New Roman"/>
          <w:b/>
          <w:i/>
          <w:sz w:val="20"/>
          <w:szCs w:val="20"/>
          <w:vertAlign w:val="superscript"/>
        </w:rPr>
      </w:pPr>
      <w:r w:rsidRPr="00E24FE7">
        <w:rPr>
          <w:rFonts w:ascii="Times New Roman" w:hAnsi="Times New Roman" w:cs="Times New Roman"/>
          <w:sz w:val="20"/>
          <w:szCs w:val="20"/>
        </w:rPr>
        <w:lastRenderedPageBreak/>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w:t>
      </w:r>
      <w:r w:rsidR="00682B03" w:rsidRPr="00E24FE7">
        <w:rPr>
          <w:rFonts w:ascii="Times New Roman" w:hAnsi="Times New Roman" w:cs="Times New Roman"/>
          <w:sz w:val="20"/>
          <w:szCs w:val="20"/>
        </w:rPr>
        <w:t>Заказчику,</w:t>
      </w:r>
      <w:r w:rsidRPr="00E24FE7">
        <w:rPr>
          <w:rFonts w:ascii="Times New Roman" w:hAnsi="Times New Roman" w:cs="Times New Roman"/>
          <w:sz w:val="20"/>
          <w:szCs w:val="20"/>
        </w:rPr>
        <w:t xml:space="preserve">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E93" w:rsidRDefault="00B50E93" w:rsidP="00060F63">
      <w:pPr>
        <w:spacing w:after="0" w:line="240" w:lineRule="auto"/>
      </w:pPr>
      <w:r>
        <w:separator/>
      </w:r>
    </w:p>
  </w:endnote>
  <w:endnote w:type="continuationSeparator" w:id="0">
    <w:p w:rsidR="00B50E93" w:rsidRDefault="00B50E93"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E93" w:rsidRDefault="00B50E93" w:rsidP="00060F63">
      <w:pPr>
        <w:spacing w:after="0" w:line="240" w:lineRule="auto"/>
      </w:pPr>
      <w:r>
        <w:separator/>
      </w:r>
    </w:p>
  </w:footnote>
  <w:footnote w:type="continuationSeparator" w:id="0">
    <w:p w:rsidR="00B50E93" w:rsidRDefault="00B50E93"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C3CEA"/>
    <w:rsid w:val="002C60B8"/>
    <w:rsid w:val="002F058A"/>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1DD0"/>
    <w:rsid w:val="005727CB"/>
    <w:rsid w:val="005E4A1A"/>
    <w:rsid w:val="005F08B7"/>
    <w:rsid w:val="006017DF"/>
    <w:rsid w:val="006055A8"/>
    <w:rsid w:val="0062560B"/>
    <w:rsid w:val="00627BAD"/>
    <w:rsid w:val="006414D4"/>
    <w:rsid w:val="00645A8C"/>
    <w:rsid w:val="006527E0"/>
    <w:rsid w:val="00653AD1"/>
    <w:rsid w:val="006652C4"/>
    <w:rsid w:val="0066618C"/>
    <w:rsid w:val="00681C71"/>
    <w:rsid w:val="00682B03"/>
    <w:rsid w:val="006A09E5"/>
    <w:rsid w:val="006F2FDB"/>
    <w:rsid w:val="006F59FB"/>
    <w:rsid w:val="00711770"/>
    <w:rsid w:val="00712EB8"/>
    <w:rsid w:val="0074194E"/>
    <w:rsid w:val="00755D36"/>
    <w:rsid w:val="00784A3C"/>
    <w:rsid w:val="00785689"/>
    <w:rsid w:val="00791C89"/>
    <w:rsid w:val="007972C7"/>
    <w:rsid w:val="007C42CE"/>
    <w:rsid w:val="007D65B4"/>
    <w:rsid w:val="007F4575"/>
    <w:rsid w:val="0084336C"/>
    <w:rsid w:val="00862462"/>
    <w:rsid w:val="00865482"/>
    <w:rsid w:val="008A0B99"/>
    <w:rsid w:val="008B3814"/>
    <w:rsid w:val="008C486E"/>
    <w:rsid w:val="008D7588"/>
    <w:rsid w:val="008F0B9D"/>
    <w:rsid w:val="00920FEB"/>
    <w:rsid w:val="00971872"/>
    <w:rsid w:val="00980FBF"/>
    <w:rsid w:val="009C608C"/>
    <w:rsid w:val="009E73A7"/>
    <w:rsid w:val="00A21E77"/>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50E93"/>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EA6C"/>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B31B-4426-4F34-83AB-6A721CD5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3852</Words>
  <Characters>21963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22</cp:revision>
  <dcterms:created xsi:type="dcterms:W3CDTF">2026-04-07T14:34:00Z</dcterms:created>
  <dcterms:modified xsi:type="dcterms:W3CDTF">2026-07-15T12:50:00Z</dcterms:modified>
</cp:coreProperties>
</file>