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5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2"/>
        <w:gridCol w:w="725"/>
        <w:gridCol w:w="4534"/>
      </w:tblGrid>
      <w:tr>
        <w:trPr/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«ПОДГОТОВИЛ»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«УТВЕРЖДАЮ»</w:t>
            </w:r>
          </w:p>
        </w:tc>
      </w:tr>
      <w:tr>
        <w:trPr/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Технический куратор договора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Инициатор договора</w:t>
            </w:r>
          </w:p>
        </w:tc>
      </w:tr>
      <w:tr>
        <w:trPr/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______________/ Стрелец В.А.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______________/ Решетникова А.А.</w:t>
            </w:r>
          </w:p>
        </w:tc>
      </w:tr>
      <w:tr>
        <w:trPr/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    » июль 2026 года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    » июль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bCs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>ОКПД2 81.30.10.000 Оказание услуг по обслуживанию территорий объектов филиала ПАО «РусГидро» - «Дагестанский филиал» механизированным способом.</w:t>
      </w:r>
    </w:p>
    <w:p>
      <w:pPr>
        <w:pStyle w:val="Normal"/>
        <w:numPr>
          <w:ilvl w:val="0"/>
          <w:numId w:val="0"/>
        </w:numPr>
        <w:bidi w:val="0"/>
        <w:ind w:left="792" w:hanging="0"/>
        <w:jc w:val="center"/>
        <w:rPr>
          <w:rFonts w:ascii="Times New Roman" w:hAnsi="Times New Roman"/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Лот №  </w:t>
      </w:r>
    </w:p>
    <w:p>
      <w:pPr>
        <w:pStyle w:val="Normal"/>
        <w:jc w:val="center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59" w:before="0" w:after="160"/>
        <w:rPr>
          <w:color w:val="000000"/>
          <w:sz w:val="24"/>
          <w:szCs w:val="24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  <w:r>
        <w:br w:type="page"/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0" w:firstLine="709"/>
        <w:contextualSpacing w:val="false"/>
        <w:jc w:val="both"/>
        <w:rPr>
          <w:sz w:val="24"/>
          <w:szCs w:val="24"/>
        </w:rPr>
      </w:pPr>
      <w:bookmarkStart w:id="0" w:name="_Toc130372574"/>
      <w:r>
        <w:rPr>
          <w:b/>
          <w:sz w:val="24"/>
          <w:szCs w:val="24"/>
        </w:rPr>
        <w:t>Общие сведения</w:t>
      </w:r>
      <w:bookmarkEnd w:id="0"/>
    </w:p>
    <w:p>
      <w:pPr>
        <w:pStyle w:val="ListParagraph"/>
        <w:numPr>
          <w:ilvl w:val="1"/>
          <w:numId w:val="4"/>
        </w:numPr>
        <w:spacing w:lineRule="auto" w:line="240" w:before="0" w:after="0"/>
        <w:ind w:left="0" w:right="0" w:firstLine="709"/>
        <w:contextualSpacing w:val="false"/>
        <w:jc w:val="both"/>
        <w:rPr>
          <w:sz w:val="24"/>
          <w:szCs w:val="24"/>
        </w:rPr>
      </w:pPr>
      <w:bookmarkStart w:id="1" w:name="_Toc46743506"/>
      <w:bookmarkStart w:id="2" w:name="_Toc54643696"/>
      <w:r>
        <w:rPr>
          <w:b/>
          <w:sz w:val="24"/>
          <w:szCs w:val="24"/>
        </w:rPr>
        <w:t>Наименование закупаемой продукции</w:t>
      </w:r>
      <w:bookmarkEnd w:id="1"/>
      <w:bookmarkEnd w:id="2"/>
      <w:r>
        <w:rPr>
          <w:b/>
          <w:sz w:val="24"/>
          <w:szCs w:val="24"/>
        </w:rPr>
        <w:t>:</w:t>
      </w:r>
    </w:p>
    <w:p>
      <w:pPr>
        <w:pStyle w:val="Normal"/>
        <w:bidi w:val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ab/>
        <w:t>ОКПД2 81.30.10.000 Оказание услуг по обслуживанию территорий объектов филиала ПАО «РусГидро» - «Дагестанский филиал» механизированным способом.</w:t>
      </w:r>
    </w:p>
    <w:p>
      <w:pPr>
        <w:pStyle w:val="Normal"/>
        <w:ind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  <w:bookmarkStart w:id="3" w:name="_Toc54643697"/>
      <w:bookmarkStart w:id="4" w:name="_Toc54643697"/>
    </w:p>
    <w:p>
      <w:pPr>
        <w:pStyle w:val="ListParagraph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bookmarkStart w:id="5" w:name="_Toc46743507"/>
      <w:r>
        <w:rPr>
          <w:b/>
          <w:sz w:val="24"/>
          <w:szCs w:val="24"/>
        </w:rPr>
        <w:t xml:space="preserve">Цель </w:t>
      </w:r>
      <w:bookmarkEnd w:id="5"/>
      <w:r>
        <w:rPr>
          <w:b/>
          <w:sz w:val="24"/>
          <w:szCs w:val="24"/>
        </w:rPr>
        <w:t>оказания услуг</w:t>
      </w:r>
      <w:bookmarkEnd w:id="4"/>
      <w:r>
        <w:rPr>
          <w:b/>
          <w:sz w:val="24"/>
          <w:szCs w:val="24"/>
        </w:rPr>
        <w:t>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 xml:space="preserve">В целях исполнения доходного договора, заключенного между АО «СК РусГидро» и филиалом ПАО «РусГидро» - «Дагестанский филиал» на оказание услуг </w:t>
      </w:r>
      <w:r>
        <w:rPr>
          <w:rFonts w:eastAsia="Times New Roman" w:cs="Times New Roman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>клининга производственных и административных зданий, очистки от растительности территории, уборки снега и обработки автодорог, тротуаров и уход за насаждениями.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>Оказание услуг по обслуживанию территорий объектов проводится с целью придания ухоженного вида территории, а также общего благоустройства.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</w:r>
    </w:p>
    <w:p>
      <w:pPr>
        <w:pStyle w:val="ListParagraph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bookmarkStart w:id="6" w:name="_Toc54643698"/>
      <w:bookmarkStart w:id="7" w:name="_Toc46743508"/>
      <w:r>
        <w:rPr>
          <w:b/>
          <w:sz w:val="24"/>
          <w:szCs w:val="24"/>
        </w:rPr>
        <w:t>Существующее положение</w:t>
      </w:r>
      <w:bookmarkEnd w:id="6"/>
      <w:bookmarkEnd w:id="7"/>
      <w:r>
        <w:rPr>
          <w:b/>
          <w:sz w:val="24"/>
          <w:szCs w:val="24"/>
        </w:rPr>
        <w:t>:</w:t>
      </w:r>
    </w:p>
    <w:p>
      <w:pPr>
        <w:pStyle w:val="BlockText"/>
        <w:ind w:left="0" w:right="-2" w:firstLine="708"/>
        <w:jc w:val="both"/>
        <w:rPr>
          <w:sz w:val="24"/>
          <w:szCs w:val="24"/>
        </w:rPr>
      </w:pPr>
      <w:r>
        <w:rPr>
          <w:b w:val="false"/>
          <w:sz w:val="24"/>
          <w:szCs w:val="24"/>
        </w:rPr>
        <w:t>Здания, сооружения и территории  филиала ПАО «РусГидро - «Дагестанский филиал»,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 поверхностей в надлежащем виде.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ru-RU" w:bidi="ar-SA"/>
        </w:rPr>
        <w:t>Работы выполняются на действующих энергетических объектах при работе гидросилового оборудования, находящегося под высоким напряжением.</w:t>
      </w:r>
    </w:p>
    <w:p>
      <w:pPr>
        <w:pStyle w:val="BlockText"/>
        <w:ind w:left="0" w:right="-2" w:firstLine="708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sz w:val="24"/>
          <w:szCs w:val="24"/>
        </w:rPr>
      </w:pPr>
      <w:bookmarkStart w:id="8" w:name="_Toc54643699"/>
      <w:r>
        <w:rPr>
          <w:b/>
          <w:bCs/>
          <w:color w:val="000000"/>
          <w:sz w:val="24"/>
          <w:szCs w:val="24"/>
          <w:shd w:fill="FFFFFF" w:val="clear"/>
        </w:rPr>
        <w:t>Таблица 1. Перечень объектов заказчика</w:t>
      </w:r>
      <w:bookmarkEnd w:id="8"/>
    </w:p>
    <w:tbl>
      <w:tblPr>
        <w:tblW w:w="99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1557"/>
        <w:gridCol w:w="3267"/>
        <w:gridCol w:w="2371"/>
        <w:gridCol w:w="2157"/>
      </w:tblGrid>
      <w:tr>
        <w:trPr>
          <w:trHeight w:val="2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объекта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Расположение объекта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8"/>
                <w:szCs w:val="18"/>
                <w:shd w:fill="auto" w:val="clear"/>
                <w:lang w:val="ru-RU"/>
              </w:rPr>
              <w:t>Наименование объекта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  <w:lang w:val="ru-RU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</w:tr>
      <w:tr>
        <w:trPr>
          <w:trHeight w:val="92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18"/>
                <w:szCs w:val="18"/>
                <w:shd w:fill="auto" w:val="clear"/>
              </w:rPr>
              <w:t>Ирганайская ГЭС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18"/>
                <w:szCs w:val="18"/>
                <w:shd w:fill="auto" w:val="clear"/>
              </w:rPr>
              <w:t>р. Аварское Койсу, Унцукульский район Республики Дагестан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both"/>
              <w:rPr/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Прилегающая территория ГЭС</w:t>
            </w:r>
          </w:p>
        </w:tc>
        <w:tc>
          <w:tcPr>
            <w:tcW w:w="21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iCs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auto"/>
                <w:kern w:val="0"/>
                <w:sz w:val="18"/>
                <w:szCs w:val="18"/>
                <w:lang w:val="ru-RU" w:eastAsia="ru-RU" w:bidi="ar-SA"/>
              </w:rPr>
              <w:t>Эксплуатирующая организация филиал ПАО «РусГидро» - «Дагестанский филиал»</w:t>
            </w:r>
          </w:p>
        </w:tc>
      </w:tr>
      <w:tr>
        <w:trPr>
          <w:trHeight w:val="2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18"/>
                <w:szCs w:val="18"/>
                <w:shd w:fill="auto" w:val="clear"/>
              </w:rPr>
              <w:t>Чиркейская ГЭС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18"/>
                <w:szCs w:val="18"/>
                <w:shd w:fill="auto" w:val="clear"/>
              </w:rPr>
              <w:t>Буйнакский район, п. Дубки, Республика Дагестан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both"/>
              <w:rPr/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Прилегающая территория ГЭС</w:t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662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18"/>
                <w:szCs w:val="18"/>
                <w:shd w:fill="auto" w:val="clear"/>
              </w:rPr>
              <w:t>Гунибская ГЭС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18"/>
                <w:szCs w:val="18"/>
                <w:shd w:fill="auto" w:val="clear"/>
              </w:rPr>
              <w:t>расположена на р. Каракойсу (в 22 км от ее устья), в Республике Дагестан, в Гунибском районе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both"/>
              <w:rPr/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Прилегающая территория ГЭС</w:t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Каскад Сулакских ГЭС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18"/>
                <w:szCs w:val="18"/>
                <w:shd w:fill="auto" w:val="clear"/>
              </w:rPr>
              <w:t>Чирюртская ГЭС-1: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18"/>
                <w:szCs w:val="18"/>
                <w:shd w:fill="auto" w:val="clear"/>
              </w:rPr>
              <w:t>р. Сулак, между селениями Верхний Чирюрт и Миатли Кизилюртовского района Республики Дагестан</w:t>
            </w:r>
          </w:p>
        </w:tc>
        <w:tc>
          <w:tcPr>
            <w:tcW w:w="23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both"/>
              <w:rPr/>
            </w:pPr>
            <w:r>
              <w:rPr>
                <w:rFonts w:eastAsia="Times New Roman" w:cs="Times New Roman"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Прилегающая территория ГЭС</w:t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shd w:fill="auto" w:val="clear"/>
              </w:rPr>
              <w:t>Чирюртская ГЭС-2: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  <w:shd w:fill="auto" w:val="clear"/>
              </w:rPr>
              <w:t>отводящий канал Чирюртской ГЭС-1, Кизилюртовский район, Республика Дагестан</w:t>
            </w:r>
          </w:p>
        </w:tc>
        <w:tc>
          <w:tcPr>
            <w:tcW w:w="2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20" w:leader="none"/>
              </w:tabs>
              <w:ind w:left="357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shd w:fill="auto" w:val="clear"/>
              </w:rPr>
              <w:t>Гельбахская ГЭС: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  <w:shd w:fill="auto" w:val="clear"/>
              </w:rPr>
              <w:t>расположена на р. Сулак (в 112 км от ее устья), в Республике Дагестан</w:t>
            </w:r>
          </w:p>
        </w:tc>
        <w:tc>
          <w:tcPr>
            <w:tcW w:w="2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20" w:leader="none"/>
              </w:tabs>
              <w:ind w:left="357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b/>
          <w:bCs/>
          <w:color w:val="000000"/>
          <w:sz w:val="24"/>
          <w:szCs w:val="24"/>
          <w:shd w:fill="FFFFFF" w:val="clear"/>
        </w:rPr>
      </w:pPr>
      <w:r>
        <w:rPr>
          <w:b/>
          <w:bCs/>
          <w:color w:val="000000"/>
          <w:sz w:val="24"/>
          <w:szCs w:val="24"/>
          <w:shd w:fill="FFFFFF" w:val="clear"/>
        </w:rPr>
      </w:r>
    </w:p>
    <w:p>
      <w:pPr>
        <w:pStyle w:val="ListParagraph"/>
        <w:numPr>
          <w:ilvl w:val="1"/>
          <w:numId w:val="4"/>
        </w:numPr>
        <w:ind w:left="0" w:right="0" w:firstLine="709"/>
        <w:jc w:val="both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 xml:space="preserve">Информация в отношении исполнения договора, </w:t>
      </w:r>
      <w:bookmarkStart w:id="9" w:name="_Hlk46492347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 xml:space="preserve">которая должна быть учтена при подготовке заявки </w:t>
      </w:r>
      <w:bookmarkEnd w:id="9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 xml:space="preserve">(в том числе перечень ресурсов, услуг и документов, предоставляемых заказчиком на этапе исполнения договора) </w:t>
      </w:r>
    </w:p>
    <w:p>
      <w:pPr>
        <w:pStyle w:val="ListParagraph"/>
        <w:numPr>
          <w:ilvl w:val="2"/>
          <w:numId w:val="4"/>
        </w:numPr>
        <w:ind w:left="0" w:right="0" w:firstLine="709"/>
        <w:jc w:val="both"/>
        <w:rPr/>
      </w:pPr>
      <w:r>
        <w:rPr/>
        <w:t xml:space="preserve">До начала производства работ Исполнитель обязан разработать </w:t>
      </w:r>
      <w:r>
        <w:rPr>
          <w:shd w:fill="auto" w:val="clear"/>
        </w:rPr>
        <w:t>проект производства работ на оказание услуг по уборке территории механизированным способом</w:t>
      </w:r>
      <w:r>
        <w:rPr/>
        <w:t xml:space="preserve">.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</w:t>
      </w:r>
      <w:r>
        <w:rPr>
          <w:b w:val="false"/>
          <w:bCs w:val="false"/>
          <w:iCs/>
          <w:sz w:val="24"/>
          <w:szCs w:val="24"/>
        </w:rPr>
        <w:t>филиалом ПАО «РусГидро» - «Дагестанский филиал».</w:t>
      </w:r>
    </w:p>
    <w:p>
      <w:pPr>
        <w:pStyle w:val="ListParagraph"/>
        <w:numPr>
          <w:ilvl w:val="2"/>
          <w:numId w:val="4"/>
        </w:numPr>
        <w:spacing w:before="709" w:after="0"/>
        <w:ind w:left="0" w:right="0" w:firstLine="709"/>
        <w:contextualSpacing/>
        <w:jc w:val="both"/>
        <w:rPr/>
      </w:pPr>
      <w:r>
        <w:rPr>
          <w:b w:val="false"/>
          <w:bCs w:val="false"/>
          <w:color w:val="111111"/>
        </w:rPr>
        <w:t>Допуск персонала исполнителя для оказания услуг должен осуществляться в соответствии с «Временным положением о допуске персонала строительно-монтажных организаций и командированного персонала к выполнению работ на объектах ПАО «РусГидро» (утв. приказом ОАО «РусГидро» № 736 от 13.11.2008 г.); Регламентом процесса «Допуск подрядных организаций на объекты ПАО «РусГидро» утвержденный приказом ПАО «РусГидро» от 28.04.2023 № 300 с обязательным оформлением необходимых нарядов-допусков.</w:t>
      </w:r>
    </w:p>
    <w:p>
      <w:pPr>
        <w:pStyle w:val="ListParagraph"/>
        <w:numPr>
          <w:ilvl w:val="2"/>
          <w:numId w:val="4"/>
        </w:numPr>
        <w:spacing w:before="709" w:after="0"/>
        <w:ind w:left="0" w:right="0" w:firstLine="709"/>
        <w:contextualSpacing/>
        <w:jc w:val="both"/>
        <w:rPr/>
      </w:pPr>
      <w:r>
        <w:rPr>
          <w:iCs/>
          <w:sz w:val="24"/>
          <w:szCs w:val="24"/>
        </w:rPr>
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с оформлением отчётной документации со стороны Исполнителя.</w:t>
      </w:r>
    </w:p>
    <w:p>
      <w:pPr>
        <w:pStyle w:val="ListParagraph"/>
        <w:numPr>
          <w:ilvl w:val="2"/>
          <w:numId w:val="4"/>
        </w:numPr>
        <w:spacing w:before="709" w:after="0"/>
        <w:ind w:left="0" w:right="0" w:firstLine="709"/>
        <w:contextualSpacing/>
        <w:jc w:val="both"/>
        <w:rPr>
          <w:rFonts w:ascii="Times New Roman" w:hAnsi="Times New Roman" w:eastAsia="Calibri" w:cs="Times New Roman"/>
          <w:b w:val="false"/>
          <w:bCs w:val="false"/>
          <w:color w:val="111111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111111"/>
          <w:kern w:val="0"/>
          <w:sz w:val="24"/>
          <w:szCs w:val="24"/>
          <w:lang w:val="ru-RU" w:eastAsia="ru-RU" w:bidi="ar-SA"/>
        </w:rPr>
        <w:t>Наличие транспортные средств, необходимых при выполнении услуг и право владения транспортных средств Исполнителем, подтверждаются документально по предварительной заявке Заказчика.</w:t>
      </w:r>
    </w:p>
    <w:p>
      <w:pPr>
        <w:pStyle w:val="ListParagraph"/>
        <w:numPr>
          <w:ilvl w:val="2"/>
          <w:numId w:val="4"/>
        </w:numPr>
        <w:spacing w:before="709" w:after="0"/>
        <w:ind w:left="0" w:right="0" w:firstLine="709"/>
        <w:contextualSpacing/>
        <w:jc w:val="both"/>
        <w:rPr/>
      </w:pPr>
      <w:r>
        <w:rPr>
          <w:iCs/>
        </w:rPr>
        <w:t>Услуги выполняются согласно Заявок Заказчика.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iCs/>
          <w:lang w:val="ru-RU"/>
        </w:rPr>
      </w:pPr>
      <w:r>
        <w:rPr>
          <w:iCs/>
          <w:lang w:val="ru-RU"/>
        </w:rPr>
      </w:r>
    </w:p>
    <w:p>
      <w:pPr>
        <w:pStyle w:val="ListParagraph"/>
        <w:widowControl/>
        <w:numPr>
          <w:ilvl w:val="1"/>
          <w:numId w:val="4"/>
        </w:numPr>
        <w:suppressAutoHyphens w:val="true"/>
        <w:bidi w:val="0"/>
        <w:spacing w:lineRule="auto" w:line="240" w:before="0" w:after="0"/>
        <w:ind w:left="680" w:right="0" w:hanging="0"/>
        <w:contextualSpacing/>
        <w:jc w:val="both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Требования к материально техническому оснащению: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highlight w:val="none"/>
          <w:shd w:fill="auto" w:val="clear"/>
        </w:rPr>
      </w:pPr>
      <w:r>
        <w:rPr>
          <w:b/>
          <w:bCs/>
          <w:iCs/>
          <w:shd w:fill="auto" w:val="clear"/>
        </w:rPr>
        <w:t xml:space="preserve">Таблица 2. Перечень специализированной техники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07"/>
        <w:gridCol w:w="4223"/>
        <w:gridCol w:w="2391"/>
      </w:tblGrid>
      <w:tr>
        <w:trPr/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>
                <w:b/>
                <w:bCs/>
                <w:sz w:val="18"/>
                <w:szCs w:val="18"/>
                <w:shd w:fill="auto" w:val="clear"/>
                <w:lang w:val="ru-RU"/>
              </w:rPr>
              <w:t>Наименование техники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>
                <w:b/>
                <w:bCs/>
                <w:sz w:val="18"/>
                <w:szCs w:val="18"/>
                <w:shd w:fill="auto" w:val="clear"/>
                <w:lang w:val="ru-RU"/>
              </w:rPr>
              <w:t>Характеристика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suppressLineNumbers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18"/>
                <w:szCs w:val="18"/>
                <w:shd w:fill="auto" w:val="clear"/>
                <w:lang w:val="ru-RU"/>
              </w:rPr>
              <w:t>Минимальное количество (не менее)</w:t>
            </w:r>
          </w:p>
        </w:tc>
      </w:tr>
      <w:tr>
        <w:trPr/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18"/>
                <w:szCs w:val="18"/>
                <w:u w:val="none"/>
                <w:em w:val="none"/>
                <w:lang w:val="ru-RU" w:eastAsia="ru-RU" w:bidi="ar-SA"/>
              </w:rPr>
              <w:t>Подметально - уборочная машина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shd w:fill="auto" w:val="clear"/>
                <w:em w:val="none"/>
                <w:lang w:val="ru-RU" w:eastAsia="ru-RU" w:bidi="ar-SA"/>
              </w:rPr>
              <w:t xml:space="preserve"> </w:t>
            </w:r>
            <w:r>
              <w:rPr>
                <w:rStyle w:val="Strong"/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shd w:fill="auto" w:val="clear"/>
                <w:em w:val="none"/>
                <w:lang w:val="ru-RU" w:eastAsia="ru-RU" w:bidi="ar-SA"/>
              </w:rPr>
              <w:t xml:space="preserve">С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8"/>
                <w:szCs w:val="18"/>
                <w:u w:val="none"/>
                <w:shd w:fill="auto" w:val="clear"/>
                <w:em w:val="none"/>
                <w:lang w:val="ru-RU" w:eastAsia="ru-RU" w:bidi="ar-SA"/>
              </w:rPr>
              <w:t>механическими щётками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spacing w:before="0" w:after="0"/>
        <w:ind w:left="0" w:right="0" w:hanging="0"/>
        <w:jc w:val="both"/>
        <w:rPr>
          <w:rFonts w:ascii="Times New Roman" w:hAnsi="Times New Roman"/>
          <w:b w:val="false"/>
          <w:bCs w:val="false"/>
          <w:color w:val="111111"/>
        </w:rPr>
      </w:pPr>
      <w:r>
        <w:rPr>
          <w:b w:val="false"/>
          <w:bCs w:val="false"/>
          <w:color w:val="111111"/>
          <w:shd w:fill="auto" w:val="clear"/>
          <w:lang w:val="ru-RU"/>
        </w:rPr>
        <w:tab/>
        <w:t>Транспортные средств</w:t>
      </w:r>
      <w:r>
        <w:rPr>
          <w:b w:val="false"/>
          <w:bCs w:val="false"/>
          <w:color w:val="111111"/>
          <w:shd w:fill="auto" w:val="clear"/>
          <w:lang w:val="en-US"/>
        </w:rPr>
        <w:t xml:space="preserve">а </w:t>
      </w:r>
      <w:r>
        <w:rPr>
          <w:b w:val="false"/>
          <w:bCs w:val="false"/>
          <w:color w:val="111111"/>
          <w:shd w:fill="auto" w:val="clear"/>
          <w:lang w:val="ru-RU"/>
        </w:rPr>
        <w:t>могут</w:t>
      </w:r>
      <w:r>
        <w:rPr>
          <w:b w:val="false"/>
          <w:bCs w:val="false"/>
          <w:color w:val="111111"/>
          <w:shd w:fill="auto" w:val="clear"/>
        </w:rPr>
        <w:t xml:space="preserve"> быть на любом праве владения на правах собственности /аренды/ лизинга /ином законном праве владения. Исполнитель должен иметь в наличии следующие документы:</w:t>
      </w:r>
    </w:p>
    <w:p>
      <w:pPr>
        <w:pStyle w:val="Heading3"/>
        <w:numPr>
          <w:ilvl w:val="0"/>
          <w:numId w:val="5"/>
        </w:numPr>
        <w:spacing w:before="0" w:after="0"/>
        <w:ind w:left="0" w:hanging="0"/>
        <w:jc w:val="both"/>
        <w:rPr/>
      </w:pPr>
      <w:r>
        <w:rPr>
          <w:b w:val="false"/>
          <w:bCs w:val="false"/>
          <w:color w:val="111111"/>
        </w:rPr>
        <w:t xml:space="preserve">паспорт транспортного средства (ПТС) </w:t>
      </w:r>
    </w:p>
    <w:p>
      <w:pPr>
        <w:pStyle w:val="Heading3"/>
        <w:numPr>
          <w:ilvl w:val="0"/>
          <w:numId w:val="5"/>
        </w:numPr>
        <w:spacing w:before="0" w:after="0"/>
        <w:ind w:left="0" w:hanging="0"/>
        <w:jc w:val="both"/>
        <w:rPr/>
      </w:pPr>
      <w:r>
        <w:rPr>
          <w:b w:val="false"/>
          <w:bCs w:val="false"/>
          <w:color w:val="111111"/>
        </w:rPr>
        <w:t>копия договора аренды (в случае владения по договору аренды)</w:t>
      </w:r>
    </w:p>
    <w:p>
      <w:pPr>
        <w:pStyle w:val="Heading3"/>
        <w:numPr>
          <w:ilvl w:val="0"/>
          <w:numId w:val="5"/>
        </w:numPr>
        <w:spacing w:before="0" w:after="0"/>
        <w:ind w:left="0" w:hanging="0"/>
        <w:jc w:val="both"/>
        <w:rPr/>
      </w:pPr>
      <w:r>
        <w:rPr>
          <w:b w:val="false"/>
          <w:bCs w:val="false"/>
          <w:color w:val="111111"/>
        </w:rPr>
        <w:t>копия договора лизинга (в случае владения по договору лизинга)</w:t>
      </w:r>
    </w:p>
    <w:p>
      <w:pPr>
        <w:pStyle w:val="Heading3"/>
        <w:numPr>
          <w:ilvl w:val="0"/>
          <w:numId w:val="5"/>
        </w:numPr>
        <w:spacing w:before="0" w:after="0"/>
        <w:ind w:left="0" w:hanging="0"/>
        <w:jc w:val="both"/>
        <w:rPr/>
      </w:pPr>
      <w:r>
        <w:rPr>
          <w:b w:val="false"/>
          <w:bCs w:val="false"/>
          <w:color w:val="111111"/>
        </w:rPr>
        <w:t>копия иного документа, подтверждающего законное право владения (в случае владения на ином основании).</w:t>
      </w:r>
    </w:p>
    <w:p>
      <w:pPr>
        <w:pStyle w:val="Heading3"/>
        <w:numPr>
          <w:ilvl w:val="0"/>
          <w:numId w:val="0"/>
        </w:numPr>
        <w:spacing w:before="0" w:after="0"/>
        <w:ind w:left="0" w:hanging="0"/>
        <w:jc w:val="both"/>
        <w:rPr/>
      </w:pPr>
      <w:r>
        <w:rPr>
          <w:rFonts w:eastAsia="Calibri"/>
          <w:b w:val="false"/>
          <w:bCs w:val="false"/>
          <w:color w:val="111111"/>
          <w:shd w:fill="auto" w:val="clear"/>
        </w:rPr>
        <w:t>Вышеперечисленные документы подтверждаются оригиналами по предварительной заявке Заказчика.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b w:val="false"/>
          <w:bCs w:val="false"/>
          <w:color w:val="111111"/>
        </w:rPr>
      </w:pPr>
      <w:r>
        <w:rPr>
          <w:rFonts w:eastAsia="Calibri"/>
          <w:b w:val="false"/>
          <w:bCs w:val="false"/>
          <w:color w:val="111111"/>
        </w:rPr>
      </w:r>
    </w:p>
    <w:p>
      <w:pPr>
        <w:pStyle w:val="Heading4"/>
        <w:keepNext w:val="true"/>
        <w:widowControl/>
        <w:numPr>
          <w:ilvl w:val="1"/>
          <w:numId w:val="4"/>
        </w:numPr>
        <w:bidi w:val="0"/>
        <w:spacing w:lineRule="auto" w:line="240" w:before="120" w:after="60"/>
        <w:ind w:left="680" w:right="0" w:hanging="0"/>
        <w:jc w:val="left"/>
        <w:rPr>
          <w:highlight w:val="none"/>
          <w:shd w:fill="auto" w:val="clear"/>
        </w:rPr>
      </w:pPr>
      <w:bookmarkStart w:id="10" w:name="_Toc146719875"/>
      <w:r>
        <w:rPr>
          <w:rFonts w:eastAsia="Calibri" w:cs="Times New Roman"/>
          <w:b/>
          <w:color w:val="000000"/>
          <w:kern w:val="0"/>
          <w:sz w:val="24"/>
          <w:szCs w:val="24"/>
          <w:shd w:fill="auto" w:val="clear"/>
          <w:lang w:val="ru-RU" w:eastAsia="ru-RU" w:bidi="ar-SA"/>
        </w:rPr>
        <w:t>Требования к количественному составу и квалификации персонала</w:t>
      </w:r>
      <w:bookmarkEnd w:id="10"/>
    </w:p>
    <w:p>
      <w:pPr>
        <w:pStyle w:val="Heading3"/>
        <w:numPr>
          <w:ilvl w:val="2"/>
          <w:numId w:val="4"/>
        </w:numPr>
        <w:spacing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Исполнитель для проведения работ обязуется направить на объект для проведения работ персонал в количественном составе, необходимом для выполнения работ в объеме, указанном в настоящих технических требованиях. До проведения работ Исполнитель назначает лиц, ответственных за выполнение работ, с правом  подписи в акте-допуске и правами выдачи нарядов- допусков на выполняемые  работы по предварительному согласованию с представителем Заказчика на объекте (руководитель работ, производитель работ). 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bidi w:val="0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Исполнитель должен иметь достаточное для исполнения договора количество квалифицированного и аттестованного персонала на каждую единицу техники. Группа по электробезопасности не ниже II группы.</w:t>
      </w:r>
    </w:p>
    <w:p>
      <w:pPr>
        <w:pStyle w:val="Heading3"/>
        <w:numPr>
          <w:ilvl w:val="2"/>
          <w:numId w:val="4"/>
        </w:numPr>
        <w:spacing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Исполнитель допускается на объект, в соответствии с нормативно-правовыми актами по охране труда, Методике допуска персонала подрядных организаций к выполнению работ на объектах Общества, утвержденную приказом ПАО «РусГидро» от 28.04.2023 № 300 «Об утверждении Регламента процесса «Допуск персонала подрядных организаций на объекты ПАО «РусГидро», Инструкции о пропускном и внитриобъектовом режимах филиала ПАО «Русгидро».</w:t>
      </w:r>
    </w:p>
    <w:p>
      <w:pPr>
        <w:pStyle w:val="Heading3"/>
        <w:numPr>
          <w:ilvl w:val="2"/>
          <w:numId w:val="4"/>
        </w:numPr>
        <w:spacing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Услуги на объектах выполняются в соответствии со следующими требованиями: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>СТО РусГидро 02.01.80-2012 «Гидротехнические сооружения ГЭС и ГАЭС. Правила эксплуатации. Нормы и требования»,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 xml:space="preserve">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гидроэлектростанций», 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>СТО РусГидро 02.01.62 – 2012 ГИДРОЭЛЕКТРОСТАНЦИИ.РЕМОНТ И ТЕХНИЧЕСКОЕ ОБСЛУЖИВАНИЕ ОБОРУДОВАНИЯ, ЗДАНИЙ И СООРУЖЕНИЙ.ОРГАНИЗАЦИЯ ПРОИЗВОДСТВЕННЫХ ПРОЦЕССОВ. НОРМЫ И ТРЕБОВАНИЯ,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 xml:space="preserve">Приказ от 15 декабря 2020 г. N 903н «Об утверждении правил по охране труда при эксплуатации электроустановок», 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>Национальный стандарт РФ ГОСТ Р 55260.1.7-2013,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 xml:space="preserve">Приказ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61411), 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>Федеральный закон от 22.07.2008 № 123-ФЗ «Технический регламент о требованиях пожарной безопасности»,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 w:val="false"/>
          <w:bCs w:val="false"/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>Федеральный закон от 24.06.1998 № 89-ФЗ «Об отходах производства и потребления»,</w:t>
      </w:r>
    </w:p>
    <w:p>
      <w:pPr>
        <w:pStyle w:val="ListParagraph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 w:val="false"/>
          <w:bCs w:val="false"/>
          <w:color w:val="000000"/>
          <w:highlight w:val="none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 xml:space="preserve">Федеральный закон от 10.01.2002 № 7-ФЗ «Об охране окружающей среды», Федерального закона от 30.03.1999 №52-ФЗ «О санитарно-эпидемиологическом благополучии населения», </w:t>
      </w:r>
    </w:p>
    <w:p>
      <w:pPr>
        <w:pStyle w:val="ListParagraph"/>
        <w:numPr>
          <w:ilvl w:val="0"/>
          <w:numId w:val="5"/>
        </w:numPr>
        <w:spacing w:before="709" w:after="0"/>
        <w:ind w:left="0" w:right="0" w:firstLine="709"/>
        <w:contextualSpacing/>
        <w:jc w:val="both"/>
        <w:rPr>
          <w:rFonts w:ascii="Times New Roman" w:hAnsi="Times New Roman"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Федеральный закон "О лицензировании отдельных видов деятельности" от 04.05.2011 N 99-ФЗ,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20"/>
          <w:tab w:val="left" w:pos="426" w:leader="none"/>
        </w:tabs>
        <w:bidi w:val="0"/>
        <w:spacing w:before="0" w:after="0"/>
        <w:ind w:left="737" w:right="0" w:hanging="0"/>
        <w:contextualSpacing/>
        <w:jc w:val="left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Обязательства Исполнителя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Техника эксплуатируется в технически исправном состоянии. Осуществление ежедневного предрейсового и послерейсового инструментального контроля техники со стороны Исполнителя.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Наличие и предоставление подменных единиц техники в случае неисправности основных единиц техники.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Исполнитель должен иметь в наличии аналогичное подменное транспортное средство, а в случае невозможности продолжения оказания услуг ранее предоставленным тр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анспортным средством вследствие возникновения в процессе оказания услуг обстоятельств, препятствующих выполнению обязательств Исполнителя по условиям договора. 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bidi w:val="0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Исполнитель обязан выполнить услуги в соответствии с требованиями Заказчика и нести все расходы, связанные с выполнением данных услуг. 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bidi w:val="0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При невозможности осуществления основным экипажем своих обязанностей, Исполнитель обязан своевременно предоставить замену персонала, квалификация которых должна отвечать требованиям эксплуатации транспортного средства данного вида. 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bidi w:val="0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Соблюдение требований внутриобъектового и контрольно-пропускного режимов, установленных на территории Заказчика. 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bidi w:val="0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Соблюдение требований и правил охраны труда, технической, промышленной, пожарной, экологической безопасности и иные установленные на территории Заказчика требования. </w:t>
      </w:r>
    </w:p>
    <w:p>
      <w:pPr>
        <w:pStyle w:val="Heading3"/>
        <w:numPr>
          <w:ilvl w:val="2"/>
          <w:numId w:val="4"/>
        </w:numPr>
        <w:bidi w:val="0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До начала оказания услуг Исполнитель должен подготовить площадку подъездных путей и основание под работу спецтехники.</w:t>
      </w:r>
    </w:p>
    <w:p>
      <w:pPr>
        <w:pStyle w:val="Heading3"/>
        <w:numPr>
          <w:ilvl w:val="2"/>
          <w:numId w:val="4"/>
        </w:numPr>
        <w:bidi w:val="0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Исполнитель самостоятельно закупает материалы, другое необходимое материально-техническое обеспечение для выполнения услуг на объекте.</w:t>
      </w:r>
    </w:p>
    <w:p>
      <w:pPr>
        <w:pStyle w:val="Heading3"/>
        <w:numPr>
          <w:ilvl w:val="2"/>
          <w:numId w:val="4"/>
        </w:numPr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Исполнитель не допускает порчи ограждений и асфальтовых покрытий, бордюрного камня, контейнерных площадок, а также зеленых насаждений и газ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онов на территории Заказчика, </w:t>
      </w:r>
    </w:p>
    <w:p>
      <w:pPr>
        <w:pStyle w:val="Normal"/>
        <w:numPr>
          <w:ilvl w:val="2"/>
          <w:numId w:val="4"/>
        </w:numPr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Исполнитель несет ответственность за все действия своего персонала, в том числе и за соблюдение персоналом законодательства Российской Федерации. Исполнитель принимает меры по предотвращению возможного причинения вреда, связанного с оказанием услуг, а также по ликвидации последствий нанесенного ущерба.</w:t>
      </w:r>
    </w:p>
    <w:p>
      <w:pPr>
        <w:pStyle w:val="Normal"/>
        <w:numPr>
          <w:ilvl w:val="2"/>
          <w:numId w:val="4"/>
        </w:numPr>
        <w:spacing w:before="0" w:after="0"/>
        <w:ind w:left="0" w:right="0" w:firstLine="709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Исполнитель несет полную ответственность за безопасное оказание услуг.</w:t>
      </w:r>
    </w:p>
    <w:p>
      <w:pPr>
        <w:pStyle w:val="Normal"/>
        <w:numPr>
          <w:ilvl w:val="2"/>
          <w:numId w:val="4"/>
        </w:numPr>
        <w:spacing w:before="0" w:after="0"/>
        <w:ind w:left="0" w:right="0" w:firstLine="709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Исполнитель обязан принять все необходимые меры по обеспечению безопасности при подготовке к оказанию услуг, при оказании услуг, после оказания услуг. Всю ответственность за обеспечение безопасности третьих лиц (ограждение опасной территории, сопровождение и т.п.) несет Исполнитель. Исполнитель несет ответственность за сохранность находящегося в зоне оказания услуг имущества Заказчика и третьих лиц. Ущерб, нанесенный Исполнителем Заказчику и третьим лицам, возмещается из средств Исполнителя.</w:t>
      </w:r>
    </w:p>
    <w:p>
      <w:pPr>
        <w:pStyle w:val="Normal"/>
        <w:numPr>
          <w:ilvl w:val="2"/>
          <w:numId w:val="4"/>
        </w:numPr>
        <w:spacing w:before="0" w:after="0"/>
        <w:ind w:left="0" w:right="0" w:firstLine="709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При несоответствии качества оказанных услуг требованиям Заказчика, Исполнитель устраняет все нарушения своими силами и за свой счет, а также возмещает все убытки, причиненные Заказчику в результате этих нарушений.</w:t>
      </w:r>
    </w:p>
    <w:p>
      <w:pPr>
        <w:pStyle w:val="ListParagraph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Исполнитель гарантирует бесперебойную работу в течение всего срока оказания услуг.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26" w:leader="none"/>
        </w:tabs>
        <w:spacing w:before="0" w:after="0"/>
        <w:ind w:left="0" w:right="0" w:hanging="0"/>
        <w:contextualSpacing w:val="false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Heading4"/>
        <w:keepNext w:val="true"/>
        <w:keepLines/>
        <w:widowControl/>
        <w:numPr>
          <w:ilvl w:val="1"/>
          <w:numId w:val="4"/>
        </w:numPr>
        <w:bidi w:val="0"/>
        <w:spacing w:before="0" w:after="0"/>
        <w:ind w:left="0" w:right="0" w:firstLine="709"/>
        <w:jc w:val="left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Обязательства Заказчика</w:t>
      </w:r>
    </w:p>
    <w:p>
      <w:pPr>
        <w:pStyle w:val="BodyText"/>
        <w:numPr>
          <w:ilvl w:val="2"/>
          <w:numId w:val="4"/>
        </w:numPr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BodyText"/>
        <w:numPr>
          <w:ilvl w:val="2"/>
          <w:numId w:val="4"/>
        </w:numPr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период оказания услуг Заказчиком безвозмездно предоставляются Исполнителю следующие ресурсы: электроэнергия,  вода. </w:t>
      </w:r>
    </w:p>
    <w:p>
      <w:pPr>
        <w:pStyle w:val="BodyText"/>
        <w:numPr>
          <w:ilvl w:val="2"/>
          <w:numId w:val="4"/>
        </w:numPr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0" w:after="0"/>
        <w:ind w:left="0" w:firstLine="709"/>
        <w:jc w:val="both"/>
        <w:rPr>
          <w:rFonts w:ascii="Times New Roman" w:hAnsi="Times New Roman"/>
          <w:b w:val="false"/>
          <w:bCs w:val="false"/>
          <w:color w:val="auto"/>
          <w:highlight w:val="none"/>
          <w:shd w:fill="auto" w:val="clear"/>
          <w:lang w:eastAsia="x-none"/>
        </w:rPr>
      </w:pPr>
      <w:r>
        <w:rPr>
          <w:b w:val="false"/>
          <w:bCs w:val="false"/>
          <w:color w:val="000000"/>
          <w:shd w:fill="auto" w:val="clear"/>
          <w:lang w:eastAsia="x-none"/>
        </w:rPr>
      </w:r>
    </w:p>
    <w:p>
      <w:pPr>
        <w:pStyle w:val="ListParagraph"/>
        <w:widowControl/>
        <w:numPr>
          <w:ilvl w:val="1"/>
          <w:numId w:val="4"/>
        </w:numPr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bookmarkStart w:id="11" w:name="_Toc1390129312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Иные требования и сведения общего характера</w:t>
      </w:r>
      <w:bookmarkEnd w:id="11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 </w:t>
      </w:r>
    </w:p>
    <w:p>
      <w:pPr>
        <w:pStyle w:val="ListParagraph"/>
        <w:numPr>
          <w:ilvl w:val="2"/>
          <w:numId w:val="4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Любая информация, полученная в ходе ознакомления с объектом, а также в ходе выполнения работ, является собственностью Заказчика и не может передаваться третьим лицам, использоваться в своих целях, распространяться или тиражироваться любыми способами без письменного разрешения Заказчика.</w:t>
      </w:r>
    </w:p>
    <w:p>
      <w:pPr>
        <w:pStyle w:val="ListParagraph"/>
        <w:numPr>
          <w:ilvl w:val="2"/>
          <w:numId w:val="4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Технология и качество оказываемых услуг должны удовлетворять требованиям экологических, санитарно-гигиенических норм и правил, действующих на территории Российской Федерации.</w:t>
      </w:r>
    </w:p>
    <w:p>
      <w:pPr>
        <w:pStyle w:val="ListParagraph"/>
        <w:numPr>
          <w:ilvl w:val="2"/>
          <w:numId w:val="4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Все проводимые работы должны быть согласованы с полномочными представителями Заказчика, список которых Заказчик предоставляет Исполнителю перед началом проводимых работ.</w:t>
      </w:r>
    </w:p>
    <w:p>
      <w:pPr>
        <w:pStyle w:val="ListParagraph"/>
        <w:numPr>
          <w:ilvl w:val="2"/>
          <w:numId w:val="4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Исполнитель обязан нести все расходы, связанные с эксплуатацией техники,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техники, оплату стоимости налоговых пошлин, страховых сборов, оплату штрафов, и иных расходов, возникающих в связи с эксплуатацией спецтехники.</w:t>
      </w:r>
    </w:p>
    <w:p>
      <w:pPr>
        <w:pStyle w:val="ListParagraph"/>
        <w:numPr>
          <w:ilvl w:val="2"/>
          <w:numId w:val="4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Предоставляемая техника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 медикаментами, в соответствии с согласованными Сторонами в Заявке временем и местом подачи. Исполнитель несет ответственность за техническое состояние техники.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 во время оказания услуг. Исполнитель несет ответственность за соблюдение действующих норм и правил при работе с ГПМ.</w:t>
      </w:r>
    </w:p>
    <w:p>
      <w:pPr>
        <w:pStyle w:val="Heading3"/>
        <w:numPr>
          <w:ilvl w:val="2"/>
          <w:numId w:val="4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Исполнитель до начала работ согласовывает с Филиалом, необходимые для выполнения работ, организационно-технологические документы. 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426" w:leader="none"/>
        </w:tabs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Объем заявленных услуг не налагает на Заказчика обязательства выполнения всего объема.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0" w:after="0"/>
        <w:ind w:left="0" w:firstLine="709"/>
        <w:jc w:val="both"/>
        <w:rPr>
          <w:rFonts w:ascii="Times New Roman" w:hAnsi="Times New Roman"/>
          <w:b w:val="false"/>
          <w:bCs w:val="false"/>
          <w:color w:val="auto"/>
          <w:highlight w:val="none"/>
          <w:shd w:fill="FFFF00" w:val="clear"/>
        </w:rPr>
      </w:pPr>
      <w:r>
        <w:rPr>
          <w:b w:val="false"/>
          <w:bCs w:val="false"/>
          <w:color w:val="000000"/>
          <w:shd w:fill="FFFF00" w:val="clear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ListParagraph"/>
        <w:numPr>
          <w:ilvl w:val="0"/>
          <w:numId w:val="4"/>
        </w:numPr>
        <w:ind w:left="0" w:firstLine="709"/>
        <w:jc w:val="center"/>
        <w:rPr>
          <w:b/>
        </w:rPr>
      </w:pPr>
      <w:bookmarkStart w:id="12" w:name="_Toc51339693"/>
      <w:bookmarkStart w:id="13" w:name="_Toc54643702"/>
      <w:r>
        <w:rPr>
          <w:b/>
        </w:rPr>
        <w:t>Требования к продукции</w:t>
      </w:r>
      <w:bookmarkEnd w:id="12"/>
      <w:bookmarkEnd w:id="13"/>
    </w:p>
    <w:p>
      <w:pPr>
        <w:pStyle w:val="ListParagraph"/>
        <w:numPr>
          <w:ilvl w:val="1"/>
          <w:numId w:val="4"/>
        </w:numPr>
        <w:ind w:left="0" w:firstLine="709"/>
        <w:jc w:val="both"/>
        <w:rPr>
          <w:b/>
        </w:rPr>
      </w:pPr>
      <w:bookmarkStart w:id="14" w:name="_Toc54643703"/>
      <w:r>
        <w:rPr>
          <w:b/>
        </w:rPr>
        <w:t>Требования к объемам и срокам оказания услуг</w:t>
      </w:r>
      <w:bookmarkEnd w:id="14"/>
    </w:p>
    <w:p>
      <w:pPr>
        <w:pStyle w:val="ListParagraph"/>
        <w:numPr>
          <w:ilvl w:val="2"/>
          <w:numId w:val="4"/>
        </w:numPr>
        <w:jc w:val="both"/>
        <w:rPr>
          <w:b/>
        </w:rPr>
      </w:pPr>
      <w:bookmarkStart w:id="15" w:name="_Toc54643704"/>
      <w:r>
        <w:rPr>
          <w:b/>
        </w:rPr>
        <w:t>Требования к перечню и объему услуг</w:t>
      </w:r>
      <w:bookmarkEnd w:id="15"/>
    </w:p>
    <w:p>
      <w:pPr>
        <w:pStyle w:val="ListParagraph"/>
        <w:ind w:left="1224" w:hanging="0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b/>
          <w:sz w:val="24"/>
          <w:szCs w:val="24"/>
        </w:rPr>
      </w:pPr>
      <w:bookmarkStart w:id="16" w:name="_Toc54643705"/>
      <w:bookmarkStart w:id="17" w:name="_Toc51339695"/>
      <w:r>
        <w:rPr>
          <w:b/>
          <w:sz w:val="24"/>
          <w:szCs w:val="24"/>
        </w:rPr>
        <w:t>Таблица</w:t>
      </w:r>
      <w:r>
        <w:rPr>
          <w:b/>
          <w:sz w:val="24"/>
          <w:szCs w:val="24"/>
          <w:shd w:fill="auto" w:val="clear"/>
        </w:rPr>
        <w:t xml:space="preserve"> 3. </w:t>
      </w:r>
      <w:r>
        <w:rPr>
          <w:b/>
          <w:sz w:val="24"/>
          <w:szCs w:val="24"/>
        </w:rPr>
        <w:t xml:space="preserve">Перечень </w:t>
      </w:r>
      <w:bookmarkEnd w:id="17"/>
      <w:r>
        <w:rPr>
          <w:b/>
          <w:sz w:val="24"/>
          <w:szCs w:val="24"/>
        </w:rPr>
        <w:t>и объем оказываемых услуг</w:t>
      </w:r>
      <w:bookmarkEnd w:id="16"/>
    </w:p>
    <w:tbl>
      <w:tblPr>
        <w:tblW w:w="5000" w:type="pct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01"/>
        <w:gridCol w:w="3912"/>
        <w:gridCol w:w="1023"/>
        <w:gridCol w:w="1636"/>
        <w:gridCol w:w="2849"/>
      </w:tblGrid>
      <w:tr>
        <w:trPr/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Ед. изм.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Объем оказания услуг *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Периодичность</w:t>
            </w:r>
          </w:p>
        </w:tc>
      </w:tr>
      <w:tr>
        <w:trPr/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0"/>
                <w:numId w:val="6"/>
              </w:numPr>
              <w:bidi w:val="0"/>
              <w:spacing w:lineRule="auto" w:line="240" w:before="0" w:after="0"/>
              <w:ind w:left="0" w:right="0" w:firstLine="7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Каскад Сулакских ГЭС: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1"/>
                <w:numId w:val="6"/>
              </w:numPr>
              <w:suppressAutoHyphens w:val="false"/>
              <w:bidi w:val="0"/>
              <w:spacing w:lineRule="auto" w:line="240" w:before="0" w:after="0"/>
              <w:ind w:left="-340" w:right="227" w:firstLine="737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Подметально - уборочная машина, с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механическими щётками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маш-час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По мере необходимости по Заявкам Заказчика</w:t>
            </w:r>
          </w:p>
        </w:tc>
      </w:tr>
      <w:tr>
        <w:trPr/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0"/>
                <w:numId w:val="6"/>
              </w:numPr>
              <w:bidi w:val="0"/>
              <w:spacing w:lineRule="auto" w:line="240" w:before="0" w:after="0"/>
              <w:ind w:left="0" w:right="0" w:firstLine="7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Ирганайская ГЭС: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1"/>
                <w:numId w:val="6"/>
              </w:numPr>
              <w:suppressAutoHyphens w:val="false"/>
              <w:bidi w:val="0"/>
              <w:spacing w:lineRule="auto" w:line="240" w:before="0" w:after="0"/>
              <w:ind w:left="-57" w:right="283" w:firstLine="737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Подметально - уборочная машина, с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механическими щётками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маш-час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По мере необходимости по Заявкам Заказчика</w:t>
            </w:r>
          </w:p>
        </w:tc>
      </w:tr>
      <w:tr>
        <w:trPr/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0"/>
                <w:numId w:val="6"/>
              </w:numPr>
              <w:bidi w:val="0"/>
              <w:spacing w:lineRule="auto" w:line="240" w:before="0" w:after="0"/>
              <w:ind w:left="0" w:right="0" w:firstLine="7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Чиркейская ГЭС: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1"/>
                <w:numId w:val="6"/>
              </w:numPr>
              <w:suppressAutoHyphens w:val="false"/>
              <w:bidi w:val="0"/>
              <w:spacing w:lineRule="auto" w:line="240" w:before="0" w:after="0"/>
              <w:ind w:left="-57" w:right="397" w:firstLine="737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Подметально-уборочная машина, с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механическими щётками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маш-час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ru-RU" w:bidi="ar-SA"/>
              </w:rPr>
              <w:t>По мере необходимости по Заявкам Заказчика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sz w:val="20"/>
          <w:szCs w:val="20"/>
        </w:rPr>
      </w:pPr>
      <w:r>
        <w:rPr>
          <w:rFonts w:eastAsia="Calibri"/>
          <w:b/>
          <w:i/>
          <w:iCs/>
          <w:sz w:val="20"/>
          <w:szCs w:val="20"/>
          <w:shd w:fill="auto" w:val="clear"/>
          <w:lang w:val="x-none" w:eastAsia="x-none"/>
        </w:rPr>
        <w:t>*Информация об объеме услуг имеет информационно-справочный характер и приведена исходя из планируемого к приобретению Заказчиком объёма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</w:r>
    </w:p>
    <w:p>
      <w:pPr>
        <w:pStyle w:val="ListParagraph"/>
        <w:numPr>
          <w:ilvl w:val="2"/>
          <w:numId w:val="4"/>
        </w:numPr>
        <w:jc w:val="both"/>
        <w:rPr>
          <w:b/>
        </w:rPr>
      </w:pPr>
      <w:bookmarkStart w:id="18" w:name="_Toc54643706"/>
      <w:bookmarkStart w:id="19" w:name="_Toc51339696"/>
      <w:r>
        <w:rPr>
          <w:b/>
        </w:rPr>
        <w:t xml:space="preserve">Требования </w:t>
      </w:r>
      <w:bookmarkEnd w:id="19"/>
      <w:r>
        <w:rPr>
          <w:b/>
        </w:rPr>
        <w:t>к срокам оказания услуг</w:t>
      </w:r>
      <w:bookmarkEnd w:id="18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b/>
          <w:sz w:val="24"/>
          <w:szCs w:val="24"/>
        </w:rPr>
      </w:pPr>
      <w:bookmarkStart w:id="20" w:name="_Toc54643707"/>
      <w:bookmarkStart w:id="21" w:name="_Toc51339697"/>
      <w:bookmarkStart w:id="22" w:name="_Toc50125127"/>
      <w:r>
        <w:rPr>
          <w:b/>
          <w:sz w:val="24"/>
          <w:szCs w:val="24"/>
        </w:rPr>
        <w:t>Таблица</w:t>
      </w:r>
      <w:r>
        <w:rPr>
          <w:b/>
          <w:sz w:val="24"/>
          <w:szCs w:val="24"/>
          <w:shd w:fill="auto" w:val="clear"/>
        </w:rPr>
        <w:t xml:space="preserve"> 4. </w:t>
      </w:r>
      <w:bookmarkStart w:id="23" w:name="_Hlk50465284"/>
      <w:r>
        <w:rPr>
          <w:b/>
          <w:sz w:val="24"/>
          <w:szCs w:val="24"/>
        </w:rPr>
        <w:t xml:space="preserve">Требования к срокам </w:t>
      </w:r>
      <w:bookmarkEnd w:id="21"/>
      <w:bookmarkEnd w:id="22"/>
      <w:bookmarkEnd w:id="23"/>
      <w:r>
        <w:rPr>
          <w:b/>
          <w:sz w:val="24"/>
          <w:szCs w:val="24"/>
        </w:rPr>
        <w:t>оказания услуг</w:t>
      </w:r>
      <w:bookmarkEnd w:id="20"/>
    </w:p>
    <w:tbl>
      <w:tblPr>
        <w:tblW w:w="99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1"/>
        <w:gridCol w:w="4405"/>
        <w:gridCol w:w="2482"/>
        <w:gridCol w:w="2483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услуг/ этапа услуг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Требования к началу срока оказания услуг/ этапа услуг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ОКПД2 81.30.10.000 Оказание услуг по обслуживанию территорий объектов филиала ПАО «РусГидро» - «Дагестанский филиал» механизированным способом.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С даты подписания договора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footerReference w:type="default" r:id="rId4"/>
          <w:type w:val="nextPage"/>
          <w:pgSz w:w="11906" w:h="16838"/>
          <w:pgMar w:left="1134" w:right="851" w:gutter="0" w:header="680" w:top="1134" w:footer="737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4"/>
        </w:numPr>
        <w:ind w:left="0" w:firstLine="709"/>
        <w:jc w:val="both"/>
        <w:rPr>
          <w:iCs/>
        </w:rPr>
      </w:pPr>
      <w:bookmarkStart w:id="24" w:name="_Toc54643709"/>
      <w:bookmarkStart w:id="25" w:name="_Toc54643708"/>
      <w:bookmarkStart w:id="26" w:name="_Toc46743511"/>
      <w:r>
        <w:rPr>
          <w:b/>
        </w:rPr>
        <w:t xml:space="preserve">Требования к </w:t>
      </w:r>
      <w:bookmarkEnd w:id="26"/>
      <w:r>
        <w:rPr>
          <w:b/>
        </w:rPr>
        <w:t>качеству услуг</w:t>
      </w:r>
      <w:bookmarkEnd w:id="25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b/>
          <w:sz w:val="24"/>
          <w:szCs w:val="24"/>
        </w:rPr>
      </w:pPr>
      <w:bookmarkStart w:id="27" w:name="_Toc51339698"/>
      <w:r>
        <w:rPr>
          <w:b/>
          <w:sz w:val="24"/>
          <w:szCs w:val="24"/>
        </w:rPr>
        <w:t>Табл</w:t>
      </w:r>
      <w:r>
        <w:rPr>
          <w:b/>
          <w:sz w:val="24"/>
          <w:szCs w:val="24"/>
          <w:shd w:fill="auto" w:val="clear"/>
        </w:rPr>
        <w:t>ица 5. Тр</w:t>
      </w:r>
      <w:r>
        <w:rPr>
          <w:b/>
          <w:sz w:val="24"/>
          <w:szCs w:val="24"/>
        </w:rPr>
        <w:t xml:space="preserve">ебования к </w:t>
      </w:r>
      <w:bookmarkEnd w:id="27"/>
      <w:r>
        <w:rPr>
          <w:b/>
          <w:sz w:val="24"/>
          <w:szCs w:val="24"/>
        </w:rPr>
        <w:t>качеству услуг</w:t>
      </w:r>
      <w:bookmarkEnd w:id="24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Наименование услуг/этапа услуг: </w:t>
      </w:r>
      <w:r>
        <w:rPr>
          <w:b w:val="false"/>
          <w:bCs w:val="false"/>
          <w:sz w:val="24"/>
          <w:szCs w:val="24"/>
        </w:rPr>
        <w:t>ОКПД2 81.30.10.000 Оказание услуг по обслуживанию территорий объектов филиала ПАО «РусГидро» - «Дагестанский филиал» механизированным способом.</w:t>
      </w:r>
    </w:p>
    <w:tbl>
      <w:tblPr>
        <w:tblStyle w:val="a5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693"/>
        <w:gridCol w:w="2977"/>
        <w:gridCol w:w="2692"/>
        <w:gridCol w:w="2927"/>
        <w:gridCol w:w="2744"/>
      </w:tblGrid>
      <w:tr>
        <w:trPr>
          <w:trHeight w:val="20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26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Наименование параметра</w:t>
            </w:r>
          </w:p>
        </w:tc>
        <w:tc>
          <w:tcPr>
            <w:tcW w:w="297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6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9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Общие 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x-none" w:bidi="ar-SA"/>
              </w:rPr>
              <w:t>Общие требования к оказанию услуг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x-none" w:bidi="ar-SA"/>
              </w:rPr>
              <w:t>Оказание услуги не должно отрицательно влиять на работоспособность систем, установленных по периметрам объектов.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x-none" w:bidi="ar-SA"/>
              </w:rPr>
              <w:t>Оказание услуг по подметанию и уборке территории осуществляется по заявкам Заказчика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В соответствии с п. 1.5 настоящих Технических требований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Требования к персоналу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В соответствии с п. 1.6  настоящих Технических требований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Требования к результатам у</w:t>
            </w:r>
            <w:r>
              <w:rPr>
                <w:b/>
                <w:kern w:val="0"/>
                <w:sz w:val="18"/>
                <w:szCs w:val="18"/>
                <w:lang w:val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При осмотре, производимом Заказчиком, отсутствует скопление травы на участках (мусора).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После проведения работ Исполнитель сдает выполненные работы Заказчику. Заказчик имеет право назначить своего представителя, который от имени Заказчика осуществляет контроль за ходом выполняемых работ, проверяет и принимает выполненные работы.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"/>
                <w:b w:val="false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Исполнитель обязан обеспечить безопасность для жизни и здоровья своих сотрудников и третьих лиц, а также предотвращение причинения вреда имуществу указанных лиц.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Исполнитель несет ответственность за все действия своего персонала, в том числе и за соблюдение персоналом законодательства Российской Федерации. Исполнитель принимает меры по предотвращению возможного причинения вреда, связанного с оказанием услуг, а также по ликвидации последствий нанесенного ущерба.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Исполнитель несет полную ответственность за безопасное оказание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Исполнитель обязан принять все необходимые меры по обеспечению безопасности при подготовке к оказанию услуг, при оказании услуг, после оказания услуг. Всю ответственность за обеспечение безопасности третьих лиц (ограждение опасной территории, сопровождение и т.п.) несет Исполнитель. Исполнитель несет ответственность за сохранность находящегося в зоне оказания услуг имущества филиалов, Заказчику и третьим лицам, возмещается из средств Исполнителя.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Прочие 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18"/>
                <w:szCs w:val="18"/>
                <w:lang w:val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Периметр территории филиалов очищен от  мусора;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Исполнитель передает УПД в двух экземплярах с приложением отчета об оказанных услугах и путевых листов работы спецтехники.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При несоответствии качества оказанных услуг требованиям Заказчика, Исполнитель устраняет все нарушения своими силами и за свой счет, а также возмещает все убытки, причиненные Заказчику в результате этих нарушений.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Недостатки оказанных услуг, обнаруженные в ходе приемки, фиксируются в соответствующем акте, подписываемом представителем Филиала и Исполнителем и с указанием срока и порядка их устранения.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комиссией филиала, с оформлением отчётной документации со стороны Исполнителя.</w:t>
            </w:r>
          </w:p>
        </w:tc>
        <w:tc>
          <w:tcPr>
            <w:tcW w:w="269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eastAsia="x-none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991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4.1.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При оказании услуг 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</w:tc>
        <w:tc>
          <w:tcPr>
            <w:tcW w:w="269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eastAsia="x-none" w:bidi="ar-SA"/>
              </w:rPr>
              <w:t>Требования к приемке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1332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5.1.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Исполнитель по заявке Заказчика оформляет отчетную и исполнительную документацию в соответствии с требованиями ГОСТ Р 57368-2016 "Сохранение произведений ландшафтной архитектуры и садово-паркового искусства. Общие требования" (утв. приказом Федерального агентства по техническому регулированию и метрологии от 23 декабря 2016 г. N 2069-ст).</w:t>
              <w:tab/>
              <w:t>Согласие с требованием</w:t>
            </w:r>
          </w:p>
        </w:tc>
        <w:tc>
          <w:tcPr>
            <w:tcW w:w="269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eastAsia="x-none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6.1.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Для приемки услуг Исполнитель оформляет после выполнения работ УПД в 2-ух экземплярах с приложением отчета об оказанных услугах и путевых листов работы спецтехники.</w:t>
            </w:r>
          </w:p>
        </w:tc>
        <w:tc>
          <w:tcPr>
            <w:tcW w:w="269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8"/>
                <w:szCs w:val="18"/>
                <w:lang w:val="ru-RU" w:eastAsia="x-none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7.1.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Постановление Правительства РФ от 29.04.2013 N 380 «Об утверждении Положения о мерах по сохранению водных биологических ресурсов и среды их обитания»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Паспорт национального проекта «Экология». Утвержден президиумом Совета при Президенте Российской Федерации по стратегическому развитию и национальным проектам (протокол от 24 декабря 2018 г. № 16)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Паспорт федерального проекта "Сохранение уникальных водных объектов". Утвержден протоколом заседания проектного комитета по национальному проекту "Экология" от 21 декабря 2018 г. N 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План деятельности Министерства природных ресурсов и экологии Российской Федерации на 2019 - 2024 годы" (утв. Минприроды России 28.06.2019 N 0010/12)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«Правила по охране труда при работе с инструментом и приспособлениями» (утв. приказом Минтруда России от 27.11.2020 N 835н)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«Правила противопожарного режима в Российской Федерации» (утверждены Постановлением Правительства РФ от 16.09.2020 N 1479)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 "Правила безопасности опасных производственных объектов, на которых используются подъемные сооружения" (утверждены приказом Ростехнадзора от 26.11.2020 №461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«Правила по охране труда при эксплуатации электроустановок» (утверждены приказом Минтруда РФ от 15.12.2020 №903н)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Гражданский кодекс РФ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Федеральный закон 89-ФЗ "Об отходах производства и потребления"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Постановление Правительства РФ от 07.10.2020 N 1614 "Об утверждении Правил пожарной безопасности в лесах"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kern w:val="0"/>
                <w:sz w:val="18"/>
                <w:szCs w:val="18"/>
                <w:lang w:val="ru-RU" w:eastAsia="x-none" w:bidi="ar-SA"/>
              </w:rPr>
              <w:t>- Экологическая политика ПАО «РусГидро»</w:t>
            </w:r>
          </w:p>
        </w:tc>
        <w:tc>
          <w:tcPr>
            <w:tcW w:w="2692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927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2"/>
              <w:rPr>
                <w:rFonts w:ascii="Times New Roman" w:hAnsi="Times New Roman" w:eastAsia="Calibri" w:cs="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numPr>
          <w:ilvl w:val="0"/>
          <w:numId w:val="4"/>
        </w:numPr>
        <w:spacing w:before="0" w:after="0"/>
        <w:ind w:left="0" w:firstLine="709"/>
        <w:rPr>
          <w:rFonts w:eastAsia="Calibri"/>
          <w:b/>
          <w:bCs/>
        </w:rPr>
      </w:pPr>
      <w:r>
        <w:rPr>
          <w:rFonts w:eastAsia="Calibri"/>
          <w:b/>
          <w:bCs/>
        </w:rPr>
        <w:t>Требования к документации по ценообразованию на этапе закупки</w:t>
      </w:r>
    </w:p>
    <w:p>
      <w:pPr>
        <w:pStyle w:val="Normal"/>
        <w:numPr>
          <w:ilvl w:val="0"/>
          <w:numId w:val="0"/>
        </w:numPr>
        <w:spacing w:before="0" w:after="0"/>
        <w:ind w:left="567" w:hanging="0"/>
        <w:contextualSpacing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  <w:tab/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Calibri" w:cs="Times New Roman"/>
          <w:b w:val="false"/>
          <w:bCs/>
          <w:iCs/>
          <w:color w:val="000000"/>
          <w:kern w:val="0"/>
          <w:sz w:val="24"/>
          <w:szCs w:val="24"/>
          <w:shd w:fill="auto" w:val="clear"/>
          <w:lang w:val="ru-RU" w:eastAsia="x-none" w:bidi="ar-SA"/>
        </w:rPr>
        <w:tab/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iCs/>
        </w:rPr>
      </w:pPr>
      <w:r>
        <w:rPr>
          <w:iCs/>
        </w:rPr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jc w:val="center"/>
        <w:rPr>
          <w:b/>
          <w:bCs/>
        </w:rPr>
      </w:pPr>
      <w:r>
        <w:rPr>
          <w:b/>
          <w:bCs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widowControl w:val="false"/>
        <w:numPr>
          <w:ilvl w:val="0"/>
          <w:numId w:val="0"/>
        </w:numPr>
        <w:snapToGrid w:val="false"/>
        <w:spacing w:before="0" w:after="60"/>
        <w:ind w:left="0" w:hanging="0"/>
        <w:contextualSpacing/>
        <w:rPr>
          <w:rFonts w:cs="Calibri"/>
          <w:b/>
          <w:bCs/>
          <w:color w:val="000000"/>
          <w:lang w:eastAsia="en-US" w:bidi="en-US"/>
        </w:rPr>
      </w:pPr>
      <w:r>
        <w:rPr>
          <w:rFonts w:cs="Calibri"/>
          <w:b/>
          <w:bCs/>
          <w:color w:val="000000"/>
          <w:lang w:eastAsia="en-US" w:bidi="en-US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ab/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</w:t>
      </w:r>
    </w:p>
    <w:p>
      <w:pPr>
        <w:pStyle w:val="Normal"/>
        <w:numPr>
          <w:ilvl w:val="0"/>
          <w:numId w:val="0"/>
        </w:numPr>
        <w:spacing w:before="0" w:after="0"/>
        <w:ind w:left="709" w:hanging="0"/>
        <w:contextualSpacing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4"/>
        </w:numPr>
        <w:spacing w:before="0" w:after="0"/>
        <w:ind w:left="0" w:firstLine="709"/>
        <w:rPr>
          <w:b/>
          <w:bCs/>
        </w:rPr>
      </w:pPr>
      <w:r>
        <w:rPr>
          <w:b/>
          <w:bCs/>
        </w:rPr>
        <w:t>Приложения</w:t>
      </w:r>
    </w:p>
    <w:p>
      <w:pPr>
        <w:pStyle w:val="Normal"/>
        <w:numPr>
          <w:ilvl w:val="0"/>
          <w:numId w:val="0"/>
        </w:numPr>
        <w:spacing w:before="0" w:after="0"/>
        <w:ind w:left="360" w:right="27" w:hanging="0"/>
        <w:contextualSpacing/>
        <w:jc w:val="both"/>
        <w:rPr>
          <w:iCs/>
        </w:rPr>
      </w:pPr>
      <w:r>
        <w:rPr>
          <w:rFonts w:eastAsia="Calibri"/>
          <w:sz w:val="24"/>
          <w:szCs w:val="24"/>
        </w:rPr>
        <w:t>Приложение № 1 – - Правила организации безопасного обслуживания ГТС гидросилового и гидромеханического оборудования.</w:t>
      </w:r>
    </w:p>
    <w:p>
      <w:pPr>
        <w:pStyle w:val="Normal"/>
        <w:numPr>
          <w:ilvl w:val="0"/>
          <w:numId w:val="0"/>
        </w:numPr>
        <w:spacing w:before="0" w:after="0"/>
        <w:ind w:left="360" w:right="27" w:hanging="0"/>
        <w:contextualSpacing/>
        <w:jc w:val="both"/>
        <w:rPr>
          <w:iCs/>
        </w:rPr>
      </w:pPr>
      <w:r>
        <w:rPr>
          <w:rFonts w:eastAsia="Calibri"/>
          <w:sz w:val="24"/>
          <w:szCs w:val="24"/>
        </w:rPr>
        <w:t>Приложение №2 - Методика допуска персонала подрядных организаций к выполнению работ на объектах Общества</w:t>
      </w:r>
    </w:p>
    <w:p>
      <w:pPr>
        <w:pStyle w:val="Normal"/>
        <w:numPr>
          <w:ilvl w:val="0"/>
          <w:numId w:val="0"/>
        </w:numPr>
        <w:spacing w:before="0" w:after="0"/>
        <w:ind w:left="360" w:right="27" w:hanging="0"/>
        <w:contextualSpacing/>
        <w:jc w:val="both"/>
        <w:rPr>
          <w:iCs/>
        </w:rPr>
      </w:pPr>
      <w:r>
        <w:rPr>
          <w:iCs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426" w:firstLine="283"/>
        <w:contextualSpacing/>
        <w:jc w:val="both"/>
        <w:rPr>
          <w:rFonts w:eastAsia="Calibri"/>
          <w:bCs/>
          <w:iCs/>
          <w:sz w:val="24"/>
          <w:szCs w:val="24"/>
          <w:highlight w:val="none"/>
          <w:shd w:fill="FFFF00" w:val="clear"/>
        </w:rPr>
      </w:pPr>
      <w:r>
        <w:rPr>
          <w:rFonts w:eastAsia="Calibri"/>
          <w:bCs/>
          <w:iCs/>
          <w:sz w:val="24"/>
          <w:szCs w:val="24"/>
          <w:shd w:fill="FFFF00" w:val="clear"/>
        </w:rPr>
      </w:r>
    </w:p>
    <w:p>
      <w:pPr>
        <w:pStyle w:val="Normal"/>
        <w:jc w:val="both"/>
        <w:rPr>
          <w:highlight w:val="none"/>
          <w:shd w:fill="FFFF00" w:val="clear"/>
        </w:rPr>
      </w:pPr>
      <w:r>
        <w:rPr>
          <w:shd w:fill="FFFF00" w:val="clear"/>
        </w:rPr>
      </w:r>
      <w:bookmarkStart w:id="28" w:name="_Ref40301253"/>
      <w:bookmarkStart w:id="29" w:name="_Ref40301253"/>
      <w:bookmarkEnd w:id="29"/>
    </w:p>
    <w:p>
      <w:pPr>
        <w:pStyle w:val="Normal"/>
        <w:rPr>
          <w:highlight w:val="none"/>
          <w:shd w:fill="FFFF00" w:val="clear"/>
        </w:rPr>
      </w:pPr>
      <w:r>
        <w:rPr/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851" w:right="851" w:gutter="0" w:header="708" w:top="765" w:footer="708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29104136"/>
    </w:sdtPr>
    <w:sdtContent>
      <w:p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Страница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PAGE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6</w:t>
        </w:r>
        <w:r>
          <w:rPr>
            <w:sz w:val="16"/>
            <w:b/>
            <w:szCs w:val="16"/>
            <w:bCs/>
          </w:rPr>
          <w:fldChar w:fldCharType="end"/>
        </w:r>
        <w:r>
          <w:rPr>
            <w:sz w:val="16"/>
            <w:szCs w:val="16"/>
          </w:rPr>
          <w:t xml:space="preserve"> из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NUMPAGES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10</w:t>
        </w:r>
        <w:r>
          <w:rPr>
            <w:sz w:val="16"/>
            <w:b/>
            <w:szCs w:val="16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24574488"/>
    </w:sdtPr>
    <w:sdtContent>
      <w:p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Страница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PAGE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8</w:t>
        </w:r>
        <w:r>
          <w:rPr>
            <w:sz w:val="16"/>
            <w:b/>
            <w:szCs w:val="16"/>
            <w:bCs/>
          </w:rPr>
          <w:fldChar w:fldCharType="end"/>
        </w:r>
        <w:r>
          <w:rPr>
            <w:sz w:val="16"/>
            <w:szCs w:val="16"/>
          </w:rPr>
          <w:t xml:space="preserve"> из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NUMPAGES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10</w:t>
        </w:r>
        <w:r>
          <w:rPr>
            <w:sz w:val="16"/>
            <w:b/>
            <w:szCs w:val="16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86446042"/>
    </w:sdtPr>
    <w:sdtContent>
      <w:p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Страница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PAGE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10</w:t>
        </w:r>
        <w:r>
          <w:rPr>
            <w:sz w:val="16"/>
            <w:b/>
            <w:szCs w:val="16"/>
            <w:bCs/>
          </w:rPr>
          <w:fldChar w:fldCharType="end"/>
        </w:r>
        <w:r>
          <w:rPr>
            <w:sz w:val="16"/>
            <w:szCs w:val="16"/>
          </w:rPr>
          <w:t xml:space="preserve"> из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NUMPAGES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10</w:t>
        </w:r>
        <w:r>
          <w:rPr>
            <w:sz w:val="16"/>
            <w:b/>
            <w:szCs w:val="16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eastAsia="Calibri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4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f814d9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f243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f814d9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f814d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814d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f814d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f814d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f814d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f814d9"/>
    <w:rPr/>
  </w:style>
  <w:style w:type="character" w:styleId="Style6" w:customStyle="1">
    <w:name w:val="Абзац списка Знак"/>
    <w:link w:val="ListParagraph"/>
    <w:uiPriority w:val="34"/>
    <w:qFormat/>
    <w:locked/>
    <w:rsid w:val="00f814d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7" w:customStyle="1">
    <w:name w:val="комментарий"/>
    <w:qFormat/>
    <w:rsid w:val="00f814d9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uiPriority w:val="9"/>
    <w:semiHidden/>
    <w:qFormat/>
    <w:rsid w:val="002f243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Hyperlink">
    <w:name w:val="Hyperlink"/>
    <w:uiPriority w:val="99"/>
    <w:rsid w:val="002f2433"/>
    <w:rPr>
      <w:color w:val="0000FF"/>
      <w:u w:val="single"/>
    </w:rPr>
  </w:style>
  <w:style w:type="character" w:styleId="Style8" w:customStyle="1">
    <w:name w:val="Название Знак"/>
    <w:link w:val="11"/>
    <w:uiPriority w:val="10"/>
    <w:qFormat/>
    <w:rsid w:val="00636fc3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9" w:customStyle="1">
    <w:name w:val="Нижний колонтитул Знак"/>
    <w:basedOn w:val="DefaultParagraphFont"/>
    <w:uiPriority w:val="99"/>
    <w:qFormat/>
    <w:rsid w:val="00e52ec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b293f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semiHidden/>
    <w:qFormat/>
    <w:rsid w:val="00ab293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ab293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3">
    <w:name w:val="Символ нумерации"/>
    <w:qFormat/>
    <w:rPr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f814d9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lockText">
    <w:name w:val="Block Text"/>
    <w:basedOn w:val="Normal"/>
    <w:qFormat/>
    <w:rsid w:val="00f814d9"/>
    <w:pPr>
      <w:ind w:left="-567" w:right="-766" w:hanging="0"/>
      <w:jc w:val="center"/>
    </w:pPr>
    <w:rPr>
      <w:b/>
      <w:bCs/>
      <w:sz w:val="24"/>
      <w:szCs w:val="20"/>
    </w:rPr>
  </w:style>
  <w:style w:type="paragraph" w:styleId="ListParagraph">
    <w:name w:val="List Paragraph"/>
    <w:basedOn w:val="Normal"/>
    <w:link w:val="Style6"/>
    <w:uiPriority w:val="34"/>
    <w:qFormat/>
    <w:rsid w:val="00f814d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7" w:customStyle="1">
    <w:name w:val="Таблица"/>
    <w:basedOn w:val="Normal"/>
    <w:qFormat/>
    <w:rsid w:val="00f814d9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8" w:customStyle="1">
    <w:name w:val="Таблица шапка"/>
    <w:basedOn w:val="Normal"/>
    <w:qFormat/>
    <w:rsid w:val="00f814d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ConsNonformat" w:customStyle="1">
    <w:name w:val="ConsNonformat"/>
    <w:qFormat/>
    <w:rsid w:val="0094372b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 w:customStyle="1">
    <w:name w:val="Знак Знак Знак Знак Знак Знак Знак Знак Знак"/>
    <w:basedOn w:val="Normal"/>
    <w:qFormat/>
    <w:rsid w:val="0094372b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2f2433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2f2433"/>
    <w:pPr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2f2433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11" w:customStyle="1">
    <w:name w:val="Название1"/>
    <w:basedOn w:val="Normal"/>
    <w:link w:val="Style8"/>
    <w:uiPriority w:val="10"/>
    <w:qFormat/>
    <w:rsid w:val="00636fc3"/>
    <w:pPr>
      <w:jc w:val="center"/>
    </w:pPr>
    <w:rPr>
      <w:szCs w:val="20"/>
      <w:lang w:val="x-none" w:eastAsia="x-none"/>
    </w:rPr>
  </w:style>
  <w:style w:type="paragraph" w:styleId="Footer">
    <w:name w:val="Footer"/>
    <w:basedOn w:val="Normal"/>
    <w:link w:val="Style9"/>
    <w:uiPriority w:val="99"/>
    <w:unhideWhenUsed/>
    <w:rsid w:val="00e52ec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ab293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ab293f"/>
    <w:pPr/>
    <w:rPr>
      <w:b/>
      <w:bCs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Абзац списка"/>
    <w:basedOn w:val="Normal"/>
    <w:qFormat/>
    <w:pPr>
      <w:spacing w:before="0" w:after="0"/>
      <w:ind w:left="720" w:hanging="0"/>
      <w:contextualSpacing/>
      <w:jc w:val="left"/>
    </w:pPr>
    <w:rPr>
      <w:rFonts w:eastAsia="Calibri"/>
    </w:rPr>
  </w:style>
  <w:style w:type="paragraph" w:styleId="BodyTextIndent">
    <w:name w:val="Body Text Indent"/>
    <w:basedOn w:val="Normal"/>
    <w:pPr>
      <w:suppressAutoHyphens w:val="false"/>
      <w:ind w:left="0" w:right="0" w:firstLine="720"/>
      <w:jc w:val="both"/>
    </w:pPr>
    <w:rPr>
      <w:rFonts w:eastAsia="Arial Unicode MS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21" w:customStyle="1">
    <w:name w:val="Стиль2"/>
    <w:uiPriority w:val="99"/>
    <w:qFormat/>
    <w:rsid w:val="0023562a"/>
  </w:style>
  <w:style w:type="numbering" w:styleId="7586807801">
    <w:name w:val="7586807801"/>
    <w:qFormat/>
  </w:style>
  <w:style w:type="numbering" w:styleId="20853875401">
    <w:name w:val="20853875401"/>
    <w:qFormat/>
  </w:style>
  <w:style w:type="numbering" w:styleId="39955797941">
    <w:name w:val="39955797941"/>
    <w:qFormat/>
  </w:style>
  <w:style w:type="numbering" w:styleId="23165393041">
    <w:name w:val="2316539304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814d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Application>AlterOffice/3.4.0.9$Linux_X86_64 LibreOffice_project/b8daf9e823b1a5463a2f48435ddc2e8696e7d4fc</Application>
  <AppVersion>15.0000</AppVersion>
  <Pages>10</Pages>
  <Words>2762</Words>
  <Characters>19419</Characters>
  <CharactersWithSpaces>21866</CharactersWithSpaces>
  <Paragraphs>309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2024-04-19T01:42:00Z</dcterms:created>
  <dc:creator>Демурова Вилена Витальевна</dc:creator>
  <dc:description/>
  <dc:language>ru-RU</dc:language>
  <cp:lastModifiedBy>streletsva@corp.gidroogk.com</cp:lastModifiedBy>
  <cp:lastPrinted>2024-09-18T00:03:00Z</cp:lastPrinted>
  <dcterms:modified xsi:type="dcterms:W3CDTF">2026-07-16T09:09:24Z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