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13.xml" ContentType="application/vnd.openxmlformats-officedocument.wordprocessingml.header+xml"/>
  <Override PartName="/word/footer10.xml" ContentType="application/vnd.openxmlformats-officedocument.wordprocessingml.footer+xml"/>
  <Override PartName="/word/footer2.xml" ContentType="application/vnd.openxmlformats-officedocument.wordprocessingml.footer+xml"/>
  <Override PartName="/word/header12.xml" ContentType="application/vnd.openxmlformats-officedocument.wordprocessingml.header+xml"/>
  <Override PartName="/word/settings.xml" ContentType="application/vnd.openxmlformats-officedocument.wordprocessingml.settings+xml"/>
  <Override PartName="/word/header9.xml" ContentType="application/vnd.openxmlformats-officedocument.wordprocessingml.header+xml"/>
  <Override PartName="/word/header11.xml" ContentType="application/vnd.openxmlformats-officedocument.wordprocessingml.header+xml"/>
  <Override PartName="/word/header8.xml" ContentType="application/vnd.openxmlformats-officedocument.wordprocessingml.header+xml"/>
  <Override PartName="/word/_rels/document.xml.rels" ContentType="application/vnd.openxmlformats-package.relationships+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9.xml" ContentType="application/vnd.openxmlformats-officedocument.wordprocessingml.footer+xml"/>
  <Override PartName="/word/embeddings/oleObject1.docx" ContentType="application/vnd.openxmlformats-officedocument.wordprocessingml.document"/>
  <Override PartName="/word/embeddings/oleObject2.docx" ContentType="application/vnd.openxmlformats-officedocument.wordprocessingml.document"/>
  <Override PartName="/word/embeddings/oleObject3.docx" ContentType="application/vnd.openxmlformats-officedocument.wordprocessingml.document"/>
  <Override PartName="/word/embeddings/oleObject4.xlsx" ContentType="application/vnd.openxmlformats-officedocument.spreadsheetml.sheet"/>
  <Override PartName="/word/header14.xml" ContentType="application/vnd.openxmlformats-officedocument.wordprocessingml.header+xml"/>
  <Override PartName="/word/footnotes.xml" ContentType="application/vnd.openxmlformats-officedocument.wordprocessingml.footnotes+xml"/>
  <Override PartName="/word/header4.xml" ContentType="application/vnd.openxmlformats-officedocument.wordprocessingml.header+xml"/>
  <Override PartName="/word/footer12.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15.xml" ContentType="application/vnd.openxmlformats-officedocument.wordprocessingml.header+xml"/>
  <Override PartName="/word/media/image1.png" ContentType="image/png"/>
  <Override PartName="/word/media/image2.wmf" ContentType="image/x-wmf"/>
  <Override PartName="/word/media/image3.wmf" ContentType="image/x-wmf"/>
  <Override PartName="/word/media/image4.wmf" ContentType="image/x-wmf"/>
  <Override PartName="/word/media/image5.wmf" ContentType="image/x-wmf"/>
  <Override PartName="/word/theme/theme1.xml" ContentType="application/vnd.openxmlformats-officedocument.theme+xml"/>
  <Override PartName="/word/header7.xml" ContentType="application/vnd.openxmlformats-officedocument.wordprocessingml.header+xml"/>
  <Override PartName="/word/header10.xml" ContentType="application/vnd.openxmlformats-officedocument.wordprocessingml.header+xml"/>
  <Override PartName="/word/header5.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3.xml" ContentType="application/vnd.openxmlformats-officedocument.wordprocessingml.footer+xml"/>
  <Override PartName="/word/footer11.xml" ContentType="application/vnd.openxmlformats-officedocument.wordprocessingml.footer+xml"/>
  <Override PartName="/word/document.xml" ContentType="application/vnd.openxmlformats-officedocument.wordprocessingml.document.main+xml"/>
  <Override PartName="/word/header6.xml" ContentType="application/vnd.openxmlformats-officedocument.wordprocessingml.header+xml"/>
  <Override PartName="/word/footer7.xml" ContentType="application/vnd.openxmlformats-officedocument.wordprocessingml.footer+xml"/>
  <Override PartName="/word/footer15.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5.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footer6.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8"/>
        <w:keepNext w:val="true"/>
        <w:spacing w:before="120" w:after="0"/>
        <w:ind w:left="4536" w:hanging="0"/>
        <w:jc w:val="right"/>
        <w:rPr/>
      </w:pPr>
      <w:r>
        <w:rPr/>
      </w:r>
    </w:p>
    <w:p>
      <w:pPr>
        <w:pStyle w:val="Style28"/>
        <w:ind w:hanging="0"/>
        <w:jc w:val="left"/>
        <w:rPr/>
      </w:pPr>
      <w:r>
        <w:rPr/>
        <w:drawing>
          <wp:inline distT="0" distB="0" distL="0" distR="0">
            <wp:extent cx="6261100" cy="100584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6261100" cy="1005840"/>
                    </a:xfrm>
                    <a:prstGeom prst="rect">
                      <a:avLst/>
                    </a:prstGeom>
                  </pic:spPr>
                </pic:pic>
              </a:graphicData>
            </a:graphic>
          </wp:inline>
        </w:drawing>
      </w:r>
    </w:p>
    <w:p>
      <w:pPr>
        <w:pStyle w:val="Style28"/>
        <w:ind w:left="4536" w:hanging="0"/>
        <w:jc w:val="left"/>
        <w:rPr/>
      </w:pPr>
      <w:r>
        <w:rPr/>
      </w:r>
    </w:p>
    <w:p>
      <w:pPr>
        <w:pStyle w:val="Style28"/>
        <w:ind w:left="4536" w:hanging="0"/>
        <w:jc w:val="right"/>
        <w:rPr/>
      </w:pPr>
      <w:r>
        <w:rPr/>
      </w:r>
    </w:p>
    <w:p>
      <w:pPr>
        <w:pStyle w:val="Style28"/>
        <w:ind w:left="4536" w:hanging="0"/>
        <w:jc w:val="right"/>
        <w:rPr/>
      </w:pPr>
      <w:r>
        <w:rPr/>
      </w:r>
    </w:p>
    <w:p>
      <w:pPr>
        <w:pStyle w:val="Style28"/>
        <w:ind w:left="4536" w:hanging="0"/>
        <w:jc w:val="right"/>
        <w:rPr/>
      </w:pPr>
      <w:r>
        <w:rPr/>
      </w:r>
    </w:p>
    <w:p>
      <w:pPr>
        <w:pStyle w:val="Style28"/>
        <w:rPr/>
      </w:pPr>
      <w:r>
        <w:rPr/>
      </w:r>
    </w:p>
    <w:p>
      <w:pPr>
        <w:pStyle w:val="Style28"/>
        <w:rPr/>
      </w:pPr>
      <w:r>
        <w:rPr/>
      </w:r>
    </w:p>
    <w:p>
      <w:pPr>
        <w:pStyle w:val="Style28"/>
        <w:rPr/>
      </w:pPr>
      <w:r>
        <w:rPr/>
      </w:r>
    </w:p>
    <w:p>
      <w:pPr>
        <w:pStyle w:val="Style28"/>
        <w:rPr/>
      </w:pPr>
      <w:r>
        <w:rPr/>
      </w:r>
    </w:p>
    <w:p>
      <w:pPr>
        <w:pStyle w:val="Style28"/>
        <w:rPr/>
      </w:pPr>
      <w:r>
        <w:rPr/>
      </w:r>
    </w:p>
    <w:p>
      <w:pPr>
        <w:pStyle w:val="Style28"/>
        <w:keepNext w:val="true"/>
        <w:numPr>
          <w:ilvl w:val="0"/>
          <w:numId w:val="0"/>
        </w:numPr>
        <w:ind w:left="0" w:hanging="0"/>
        <w:jc w:val="center"/>
        <w:outlineLvl w:val="2"/>
        <w:rPr>
          <w:b/>
          <w:bCs/>
          <w:caps/>
        </w:rPr>
      </w:pPr>
      <w:r>
        <w:rPr>
          <w:b/>
          <w:bCs/>
          <w:caps/>
        </w:rPr>
        <w:t>Документация о закупке</w:t>
      </w:r>
    </w:p>
    <w:p>
      <w:pPr>
        <w:pStyle w:val="Style28"/>
        <w:keepNext w:val="true"/>
        <w:spacing w:before="240" w:after="0"/>
        <w:jc w:val="center"/>
        <w:rPr>
          <w:rStyle w:val="Style10"/>
        </w:rPr>
      </w:pPr>
      <w:r>
        <w:rPr/>
        <w:t>Состязательный отбор в электронной форме, участниками которого могут быть только субъекты МСП на право заключения договора на </w:t>
      </w:r>
    </w:p>
    <w:p>
      <w:pPr>
        <w:pStyle w:val="Normal"/>
        <w:widowControl w:val="false"/>
        <w:spacing w:lineRule="auto" w:line="240" w:before="60" w:after="60"/>
        <w:ind w:left="-108" w:right="-108" w:hanging="0"/>
        <w:jc w:val="center"/>
        <w:rPr/>
      </w:pPr>
      <w:r>
        <w:rPr>
          <w:rStyle w:val="Style10"/>
          <w:rFonts w:eastAsia="Calibri" w:cs="" w:cstheme="minorBidi" w:eastAsiaTheme="minorHAnsi"/>
          <w:i w:val="false"/>
          <w:iCs w:val="false"/>
          <w:color w:val="000000"/>
          <w:kern w:val="0"/>
          <w:sz w:val="26"/>
          <w:szCs w:val="26"/>
          <w:shd w:fill="FFFFFF" w:val="clear"/>
          <w:lang w:val="ru-RU" w:eastAsia="en-US" w:bidi="ar-SA"/>
        </w:rPr>
        <w:t>«ОКПД2 27.90.40.190 Поставка комплектующих для систем автоматики и возбуждения для нужд филиала ПАО «РусГидро»- «Бурейская ГЭС»</w:t>
      </w:r>
    </w:p>
    <w:p>
      <w:pPr>
        <w:sectPr>
          <w:type w:val="nextPage"/>
          <w:pgSz w:w="11906" w:h="16838"/>
          <w:pgMar w:left="1134" w:right="850" w:gutter="0" w:header="0" w:top="851" w:footer="0" w:bottom="851"/>
          <w:pgNumType w:fmt="decimal"/>
          <w:formProt w:val="false"/>
          <w:textDirection w:val="lrTb"/>
          <w:docGrid w:type="default" w:linePitch="360" w:charSpace="0"/>
        </w:sectPr>
        <w:pStyle w:val="Style28"/>
        <w:keepNext w:val="true"/>
        <w:spacing w:before="240" w:after="0"/>
        <w:jc w:val="center"/>
        <w:rPr/>
      </w:pPr>
      <w:r>
        <w:rPr/>
        <w:t>(Лот № 35-ЭКСП-БПД</w:t>
      </w:r>
      <w:r>
        <w:rPr>
          <w:i w:val="false"/>
          <w:iCs w:val="false"/>
          <w:sz w:val="26"/>
          <w:szCs w:val="26"/>
          <w:lang w:eastAsia="en-US"/>
        </w:rPr>
        <w:t>-2026-БурГЭС</w:t>
      </w:r>
      <w:r>
        <w:rPr/>
        <w:t>)</w:t>
      </w:r>
    </w:p>
    <w:p>
      <w:pPr>
        <w:pStyle w:val="Style27"/>
        <w:numPr>
          <w:ilvl w:val="0"/>
          <w:numId w:val="0"/>
        </w:numPr>
        <w:ind w:left="0" w:hanging="0"/>
        <w:outlineLvl w:val="2"/>
        <w:rPr/>
      </w:pPr>
      <w:r>
        <w:rPr/>
        <w:t>Содержание</w:t>
      </w:r>
    </w:p>
    <w:sdt>
      <w:sdtPr>
        <w:docPartObj>
          <w:docPartGallery w:val="Table of Contents"/>
          <w:docPartUnique w:val="true"/>
        </w:docPartObj>
      </w:sdtPr>
      <w:sdtContent>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r>
            <w:fldChar w:fldCharType="begin"/>
          </w:r>
          <w:r>
            <w:rPr>
              <w:webHidden/>
              <w:rStyle w:val="Style18"/>
              <w:vanish w:val="false"/>
            </w:rPr>
            <w:instrText xml:space="preserve"> TOC \z \u \t "[РГ] Перечисление,5,[РГ] Подпункт,4,[РГ] Пункт,3,[РГ] Подраздел,2,[РГ] Раздел,1,[РГ] Раздел,1,[РГ] Раздел,1,[РГ] Раздел,1,[РГ] Раздел,1,[РГ] Раздел,1,[РГ] Раздел,1,[РГ] Раздел,1,[РГ] Раздел,1,[РГ] Раздел,1,[РГ] Подраздел,2,[РГ] Подраздел,2,[РГ] Подраздел,2,[РГ] Подраздел,2,[РГ] Подраздел,2,[РГ] Подраздел,2,[РГ] Подраздел,2,[РГ] Подраздел,2,[РГ] Подраздел,2,[РГ] Пункт,3,[РГ] Пункт,3,[РГ] Пункт,3,[РГ] Пункт,3,[РГ] Пункт,3,[РГ] Пункт,3,[РГ] Пункт,3,[РГ] Пункт,3,[РГ] Подпункт,4,[РГ] Подпункт,4,[РГ] Подпункт,4,[РГ] Подпункт,4,[РГ] Подпункт,4,[РГ] Подпункт,4,[РГ] Подпункт,4,[РГ] Подпункт,4,[РГ] Перечисление,5,[РГ] Перечисление,5,[РГ] Перечисление,5,[РГ] Перечисление,5,[РГ] Перечисление,5,[РГ] Перечисление,5,[РГ] Перечисление,5,[РГ] Перечисление,5" \h</w:instrText>
          </w:r>
          <w:r>
            <w:rPr>
              <w:webHidden/>
              <w:rStyle w:val="Style18"/>
              <w:vanish w:val="false"/>
            </w:rPr>
            <w:fldChar w:fldCharType="separate"/>
          </w:r>
          <w:hyperlink w:anchor="_Toc186224270">
            <w:r>
              <w:rPr>
                <w:webHidden/>
              </w:rPr>
              <w:fldChar w:fldCharType="begin"/>
            </w:r>
            <w:r>
              <w:rPr>
                <w:webHidden/>
              </w:rPr>
              <w:instrText xml:space="preserve">PAGEREF _Toc186224270 \h</w:instrText>
            </w:r>
            <w:r>
              <w:rPr>
                <w:webHidden/>
              </w:rPr>
              <w:fldChar w:fldCharType="separate"/>
            </w:r>
            <w:r>
              <w:rPr>
                <w:webHidden/>
                <w:rStyle w:val="Style18"/>
                <w:vanish w:val="false"/>
              </w:rPr>
              <w:t>Сокращения</w:t>
              <w:tab/>
              <w:t>6</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1">
            <w:r>
              <w:rPr>
                <w:webHidden/>
              </w:rPr>
              <w:fldChar w:fldCharType="begin"/>
            </w:r>
            <w:r>
              <w:rPr>
                <w:webHidden/>
              </w:rPr>
              <w:instrText xml:space="preserve">PAGEREF _Toc186224271 \h</w:instrText>
            </w:r>
            <w:r>
              <w:rPr>
                <w:webHidden/>
              </w:rPr>
              <w:fldChar w:fldCharType="separate"/>
            </w:r>
            <w:r>
              <w:rPr>
                <w:webHidden/>
                <w:rStyle w:val="Style18"/>
                <w:vanish w:val="false"/>
              </w:rPr>
              <w:t>Термины и определения</w:t>
              <w:tab/>
              <w:t>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2">
            <w:r>
              <w:rPr>
                <w:webHidden/>
                <w:rStyle w:val="Style18"/>
                <w:vanish w:val="false"/>
              </w:rPr>
              <w:t>1.</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Основные сведения о закупке</w:t>
            </w:r>
            <w:r>
              <w:rPr>
                <w:webHidden/>
              </w:rPr>
              <w:fldChar w:fldCharType="begin"/>
            </w:r>
            <w:r>
              <w:rPr>
                <w:webHidden/>
              </w:rPr>
              <w:instrText xml:space="preserve">PAGEREF _Toc186224272 \h</w:instrText>
            </w:r>
            <w:r>
              <w:rPr>
                <w:webHidden/>
              </w:rPr>
              <w:fldChar w:fldCharType="separate"/>
            </w:r>
            <w:r>
              <w:rPr>
                <w:rStyle w:val="Style18"/>
                <w:vanish w:val="false"/>
              </w:rPr>
              <w:tab/>
              <w:t>12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3">
            <w:r>
              <w:rPr>
                <w:webHidden/>
                <w:rStyle w:val="Style18"/>
                <w:vanish w:val="false"/>
              </w:rPr>
              <w:t>1.1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Статус настоящего раздела</w:t>
            </w:r>
            <w:r>
              <w:rPr>
                <w:webHidden/>
              </w:rPr>
              <w:fldChar w:fldCharType="begin"/>
            </w:r>
            <w:r>
              <w:rPr>
                <w:webHidden/>
              </w:rPr>
              <w:instrText xml:space="preserve">PAGEREF _Toc186224273 \h</w:instrText>
            </w:r>
            <w:r>
              <w:rPr>
                <w:webHidden/>
              </w:rPr>
              <w:fldChar w:fldCharType="separate"/>
            </w:r>
            <w:r>
              <w:rPr>
                <w:rStyle w:val="Style18"/>
                <w:vanish w:val="false"/>
              </w:rPr>
              <w:tab/>
              <w:t>12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4">
            <w:r>
              <w:rPr>
                <w:webHidden/>
                <w:rStyle w:val="Style18"/>
                <w:vanish w:val="false"/>
              </w:rPr>
              <w:t>1.2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Информация о проводимой закупке</w:t>
            </w:r>
            <w:r>
              <w:rPr>
                <w:webHidden/>
              </w:rPr>
              <w:fldChar w:fldCharType="begin"/>
            </w:r>
            <w:r>
              <w:rPr>
                <w:webHidden/>
              </w:rPr>
              <w:instrText xml:space="preserve">PAGEREF _Toc186224274 \h</w:instrText>
            </w:r>
            <w:r>
              <w:rPr>
                <w:webHidden/>
              </w:rPr>
              <w:fldChar w:fldCharType="separate"/>
            </w:r>
            <w:r>
              <w:rPr>
                <w:rStyle w:val="Style18"/>
                <w:vanish w:val="false"/>
              </w:rPr>
              <w:tab/>
              <w:t>12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5">
            <w:r>
              <w:rPr>
                <w:webHidden/>
                <w:rStyle w:val="Style18"/>
                <w:vanish w:val="false"/>
              </w:rPr>
              <w:t>2.</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Общие положения</w:t>
            </w:r>
            <w:r>
              <w:rPr>
                <w:webHidden/>
              </w:rPr>
              <w:fldChar w:fldCharType="begin"/>
            </w:r>
            <w:r>
              <w:rPr>
                <w:webHidden/>
              </w:rPr>
              <w:instrText xml:space="preserve">PAGEREF _Toc186224275 \h</w:instrText>
            </w:r>
            <w:r>
              <w:rPr>
                <w:webHidden/>
              </w:rPr>
              <w:fldChar w:fldCharType="separate"/>
            </w:r>
            <w:r>
              <w:rPr>
                <w:rStyle w:val="Style18"/>
                <w:vanish w:val="false"/>
              </w:rPr>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6">
            <w:r>
              <w:rPr>
                <w:webHidden/>
                <w:rStyle w:val="Style18"/>
                <w:vanish w:val="false"/>
              </w:rPr>
              <w:t>2.1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Общие сведения о закупке</w:t>
            </w:r>
            <w:r>
              <w:rPr>
                <w:webHidden/>
              </w:rPr>
              <w:fldChar w:fldCharType="begin"/>
            </w:r>
            <w:r>
              <w:rPr>
                <w:webHidden/>
              </w:rPr>
              <w:instrText xml:space="preserve">PAGEREF _Toc186224276 \h</w:instrText>
            </w:r>
            <w:r>
              <w:rPr>
                <w:webHidden/>
              </w:rPr>
              <w:fldChar w:fldCharType="separate"/>
            </w:r>
            <w:r>
              <w:rPr>
                <w:rStyle w:val="Style18"/>
                <w:vanish w:val="false"/>
              </w:rPr>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7">
            <w:r>
              <w:rPr>
                <w:webHidden/>
                <w:rStyle w:val="Style18"/>
                <w:vanish w:val="false"/>
              </w:rPr>
              <w:t>2.2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Правовой статус документов</w:t>
            </w:r>
            <w:r>
              <w:rPr>
                <w:webHidden/>
              </w:rPr>
              <w:fldChar w:fldCharType="begin"/>
            </w:r>
            <w:r>
              <w:rPr>
                <w:webHidden/>
              </w:rPr>
              <w:instrText xml:space="preserve">PAGEREF _Toc186224277 \h</w:instrText>
            </w:r>
            <w:r>
              <w:rPr>
                <w:webHidden/>
              </w:rPr>
              <w:fldChar w:fldCharType="separate"/>
            </w:r>
            <w:r>
              <w:rPr>
                <w:rStyle w:val="Style18"/>
                <w:vanish w:val="false"/>
              </w:rPr>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8">
            <w:r>
              <w:rPr>
                <w:webHidden/>
                <w:rStyle w:val="Style18"/>
                <w:vanish w:val="false"/>
              </w:rPr>
              <w:t>2.3</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Обжалование</w:t>
            </w:r>
            <w:r>
              <w:rPr>
                <w:webHidden/>
              </w:rPr>
              <w:fldChar w:fldCharType="begin"/>
            </w:r>
            <w:r>
              <w:rPr>
                <w:webHidden/>
              </w:rPr>
              <w:instrText xml:space="preserve">PAGEREF _Toc186224278 \h</w:instrText>
            </w:r>
            <w:r>
              <w:rPr>
                <w:webHidden/>
              </w:rPr>
              <w:fldChar w:fldCharType="separate"/>
            </w:r>
            <w:r>
              <w:rPr>
                <w:rStyle w:val="Style18"/>
                <w:vanish w:val="false"/>
              </w:rPr>
              <w:tab/>
              <w:t>25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9">
            <w:r>
              <w:rPr>
                <w:webHidden/>
                <w:rStyle w:val="Style18"/>
                <w:vanish w:val="false"/>
              </w:rPr>
              <w:t>2.4</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Особые положения при проведении закупки с использованием ЭП</w:t>
            </w:r>
            <w:r>
              <w:rPr>
                <w:webHidden/>
              </w:rPr>
              <w:fldChar w:fldCharType="begin"/>
            </w:r>
            <w:r>
              <w:rPr>
                <w:webHidden/>
              </w:rPr>
              <w:instrText xml:space="preserve">PAGEREF _Toc186224279 \h</w:instrText>
            </w:r>
            <w:r>
              <w:rPr>
                <w:webHidden/>
              </w:rPr>
              <w:fldChar w:fldCharType="separate"/>
            </w:r>
            <w:r>
              <w:rPr>
                <w:rStyle w:val="Style18"/>
                <w:vanish w:val="false"/>
              </w:rPr>
              <w:tab/>
              <w:t>26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0">
            <w:r>
              <w:rPr>
                <w:webHidden/>
                <w:rStyle w:val="Style18"/>
                <w:vanish w:val="false"/>
              </w:rPr>
              <w:t>2.5</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Прочие положения</w:t>
            </w:r>
            <w:r>
              <w:rPr>
                <w:webHidden/>
              </w:rPr>
              <w:fldChar w:fldCharType="begin"/>
            </w:r>
            <w:r>
              <w:rPr>
                <w:webHidden/>
              </w:rPr>
              <w:instrText xml:space="preserve">PAGEREF _Toc186224280 \h</w:instrText>
            </w:r>
            <w:r>
              <w:rPr>
                <w:webHidden/>
              </w:rPr>
              <w:fldChar w:fldCharType="separate"/>
            </w:r>
            <w:r>
              <w:rPr>
                <w:rStyle w:val="Style18"/>
                <w:vanish w:val="false"/>
              </w:rPr>
              <w:tab/>
              <w:t>26</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81">
            <w:r>
              <w:rPr>
                <w:webHidden/>
                <w:rStyle w:val="Style18"/>
                <w:vanish w:val="false"/>
              </w:rPr>
              <w:t>3.</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Требования к Участникам</w:t>
            </w:r>
            <w:r>
              <w:rPr>
                <w:webHidden/>
              </w:rPr>
              <w:fldChar w:fldCharType="begin"/>
            </w:r>
            <w:r>
              <w:rPr>
                <w:webHidden/>
              </w:rPr>
              <w:instrText xml:space="preserve">PAGEREF _Toc186224281 \h</w:instrText>
            </w:r>
            <w:r>
              <w:rPr>
                <w:webHidden/>
              </w:rPr>
              <w:fldChar w:fldCharType="separate"/>
            </w:r>
            <w:r>
              <w:rPr>
                <w:rStyle w:val="Style18"/>
                <w:vanish w:val="false"/>
              </w:rPr>
              <w:tab/>
              <w:t>27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2">
            <w:r>
              <w:rPr>
                <w:webHidden/>
                <w:rStyle w:val="Style18"/>
                <w:vanish w:val="false"/>
              </w:rPr>
              <w:t>3.1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Общие требования к Участникам</w:t>
            </w:r>
            <w:r>
              <w:rPr>
                <w:webHidden/>
              </w:rPr>
              <w:fldChar w:fldCharType="begin"/>
            </w:r>
            <w:r>
              <w:rPr>
                <w:webHidden/>
              </w:rPr>
              <w:instrText xml:space="preserve">PAGEREF _Toc186224282 \h</w:instrText>
            </w:r>
            <w:r>
              <w:rPr>
                <w:webHidden/>
              </w:rPr>
              <w:fldChar w:fldCharType="separate"/>
            </w:r>
            <w:r>
              <w:rPr>
                <w:rStyle w:val="Style18"/>
                <w:vanish w:val="false"/>
              </w:rPr>
              <w:tab/>
              <w:t>27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3">
            <w:r>
              <w:rPr>
                <w:webHidden/>
                <w:rStyle w:val="Style18"/>
                <w:vanish w:val="false"/>
              </w:rPr>
              <w:t>3.2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Коллективные участники</w:t>
            </w:r>
            <w:r>
              <w:rPr>
                <w:webHidden/>
              </w:rPr>
              <w:fldChar w:fldCharType="begin"/>
            </w:r>
            <w:r>
              <w:rPr>
                <w:webHidden/>
              </w:rPr>
              <w:instrText xml:space="preserve">PAGEREF _Toc186224283 \h</w:instrText>
            </w:r>
            <w:r>
              <w:rPr>
                <w:webHidden/>
              </w:rPr>
              <w:fldChar w:fldCharType="separate"/>
            </w:r>
            <w:r>
              <w:rPr>
                <w:rStyle w:val="Style18"/>
                <w:vanish w:val="false"/>
              </w:rPr>
              <w:tab/>
              <w:t>27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4">
            <w:r>
              <w:rPr>
                <w:webHidden/>
                <w:rStyle w:val="Style18"/>
                <w:vanish w:val="false"/>
              </w:rPr>
              <w:t>3.3</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Генеральные подрядчики</w:t>
            </w:r>
            <w:r>
              <w:rPr>
                <w:webHidden/>
              </w:rPr>
              <w:fldChar w:fldCharType="begin"/>
            </w:r>
            <w:r>
              <w:rPr>
                <w:webHidden/>
              </w:rPr>
              <w:instrText xml:space="preserve">PAGEREF _Toc186224284 \h</w:instrText>
            </w:r>
            <w:r>
              <w:rPr>
                <w:webHidden/>
              </w:rPr>
              <w:fldChar w:fldCharType="separate"/>
            </w:r>
            <w:r>
              <w:rPr>
                <w:rStyle w:val="Style18"/>
                <w:vanish w:val="false"/>
              </w:rPr>
              <w:tab/>
              <w:t>29</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85">
            <w:r>
              <w:rPr>
                <w:webHidden/>
                <w:rStyle w:val="Style18"/>
                <w:vanish w:val="false"/>
              </w:rPr>
              <w:t>4.</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Порядок проведения закупки</w:t>
            </w:r>
            <w:r>
              <w:rPr>
                <w:webHidden/>
              </w:rPr>
              <w:fldChar w:fldCharType="begin"/>
            </w:r>
            <w:r>
              <w:rPr>
                <w:webHidden/>
              </w:rPr>
              <w:instrText xml:space="preserve">PAGEREF _Toc186224285 \h</w:instrText>
            </w:r>
            <w:r>
              <w:rPr>
                <w:webHidden/>
              </w:rPr>
              <w:fldChar w:fldCharType="separate"/>
            </w:r>
            <w:r>
              <w:rPr>
                <w:rStyle w:val="Style18"/>
                <w:vanish w:val="false"/>
              </w:rPr>
              <w:tab/>
              <w:t>31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6">
            <w:r>
              <w:rPr>
                <w:webHidden/>
                <w:rStyle w:val="Style18"/>
                <w:vanish w:val="false"/>
              </w:rPr>
              <w:t>4.1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Общий порядок проведения закупки</w:t>
            </w:r>
            <w:r>
              <w:rPr>
                <w:webHidden/>
              </w:rPr>
              <w:fldChar w:fldCharType="begin"/>
            </w:r>
            <w:r>
              <w:rPr>
                <w:webHidden/>
              </w:rPr>
              <w:instrText xml:space="preserve">PAGEREF _Toc186224286 \h</w:instrText>
            </w:r>
            <w:r>
              <w:rPr>
                <w:webHidden/>
              </w:rPr>
              <w:fldChar w:fldCharType="separate"/>
            </w:r>
            <w:r>
              <w:rPr>
                <w:rStyle w:val="Style18"/>
                <w:vanish w:val="false"/>
              </w:rPr>
              <w:tab/>
              <w:t>31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7">
            <w:r>
              <w:rPr>
                <w:webHidden/>
                <w:rStyle w:val="Style18"/>
                <w:vanish w:val="false"/>
              </w:rPr>
              <w:t>4.2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Официальное размещение Извещения и Документации о закупке</w:t>
            </w:r>
            <w:r>
              <w:rPr>
                <w:webHidden/>
              </w:rPr>
              <w:fldChar w:fldCharType="begin"/>
            </w:r>
            <w:r>
              <w:rPr>
                <w:webHidden/>
              </w:rPr>
              <w:instrText xml:space="preserve">PAGEREF _Toc186224287 \h</w:instrText>
            </w:r>
            <w:r>
              <w:rPr>
                <w:webHidden/>
              </w:rPr>
              <w:fldChar w:fldCharType="separate"/>
            </w:r>
            <w:r>
              <w:rPr>
                <w:rStyle w:val="Style18"/>
                <w:vanish w:val="false"/>
              </w:rPr>
              <w:tab/>
              <w:t>33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8">
            <w:r>
              <w:rPr>
                <w:webHidden/>
                <w:rStyle w:val="Style18"/>
                <w:vanish w:val="false"/>
              </w:rPr>
              <w:t>4.3</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Подготовка заявки</w:t>
            </w:r>
            <w:r>
              <w:rPr>
                <w:webHidden/>
              </w:rPr>
              <w:fldChar w:fldCharType="begin"/>
            </w:r>
            <w:r>
              <w:rPr>
                <w:webHidden/>
              </w:rPr>
              <w:instrText xml:space="preserve">PAGEREF _Toc186224288 \h</w:instrText>
            </w:r>
            <w:r>
              <w:rPr>
                <w:webHidden/>
              </w:rPr>
              <w:fldChar w:fldCharType="separate"/>
            </w:r>
            <w:r>
              <w:rPr>
                <w:rStyle w:val="Style18"/>
                <w:vanish w:val="false"/>
              </w:rPr>
              <w:tab/>
              <w:t>33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9">
            <w:r>
              <w:rPr>
                <w:webHidden/>
                <w:rStyle w:val="Style18"/>
                <w:vanish w:val="false"/>
              </w:rPr>
              <w:t>4.4</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Разъяснение Документации о закупке</w:t>
            </w:r>
            <w:r>
              <w:rPr>
                <w:webHidden/>
              </w:rPr>
              <w:fldChar w:fldCharType="begin"/>
            </w:r>
            <w:r>
              <w:rPr>
                <w:webHidden/>
              </w:rPr>
              <w:instrText xml:space="preserve">PAGEREF _Toc186224289 \h</w:instrText>
            </w:r>
            <w:r>
              <w:rPr>
                <w:webHidden/>
              </w:rPr>
              <w:fldChar w:fldCharType="separate"/>
            </w:r>
            <w:r>
              <w:rPr>
                <w:rStyle w:val="Style18"/>
                <w:vanish w:val="false"/>
              </w:rPr>
              <w:tab/>
              <w:t>36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0">
            <w:r>
              <w:rPr>
                <w:webHidden/>
                <w:rStyle w:val="Style18"/>
                <w:vanish w:val="false"/>
              </w:rPr>
              <w:t>4.5</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Изменения Извещения и (или) Документации о закупке</w:t>
            </w:r>
            <w:r>
              <w:rPr>
                <w:webHidden/>
              </w:rPr>
              <w:fldChar w:fldCharType="begin"/>
            </w:r>
            <w:r>
              <w:rPr>
                <w:webHidden/>
              </w:rPr>
              <w:instrText xml:space="preserve">PAGEREF _Toc186224290 \h</w:instrText>
            </w:r>
            <w:r>
              <w:rPr>
                <w:webHidden/>
              </w:rPr>
              <w:fldChar w:fldCharType="separate"/>
            </w:r>
            <w:r>
              <w:rPr>
                <w:rStyle w:val="Style18"/>
                <w:vanish w:val="false"/>
              </w:rPr>
              <w:tab/>
              <w:t>37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1">
            <w:r>
              <w:rPr>
                <w:webHidden/>
                <w:rStyle w:val="Style18"/>
                <w:vanish w:val="false"/>
              </w:rPr>
              <w:t>4.6</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Подача заявок и их прием</w:t>
            </w:r>
            <w:r>
              <w:rPr>
                <w:webHidden/>
              </w:rPr>
              <w:fldChar w:fldCharType="begin"/>
            </w:r>
            <w:r>
              <w:rPr>
                <w:webHidden/>
              </w:rPr>
              <w:instrText xml:space="preserve">PAGEREF _Toc186224291 \h</w:instrText>
            </w:r>
            <w:r>
              <w:rPr>
                <w:webHidden/>
              </w:rPr>
              <w:fldChar w:fldCharType="separate"/>
            </w:r>
            <w:r>
              <w:rPr>
                <w:rStyle w:val="Style18"/>
                <w:vanish w:val="false"/>
              </w:rPr>
              <w:tab/>
              <w:t>37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2">
            <w:r>
              <w:rPr>
                <w:webHidden/>
                <w:rStyle w:val="Style18"/>
                <w:vanish w:val="false"/>
              </w:rPr>
              <w:t>4.7</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Изменение и отзыв заявок</w:t>
            </w:r>
            <w:r>
              <w:rPr>
                <w:webHidden/>
              </w:rPr>
              <w:fldChar w:fldCharType="begin"/>
            </w:r>
            <w:r>
              <w:rPr>
                <w:webHidden/>
              </w:rPr>
              <w:instrText xml:space="preserve">PAGEREF _Toc186224292 \h</w:instrText>
            </w:r>
            <w:r>
              <w:rPr>
                <w:webHidden/>
              </w:rPr>
              <w:fldChar w:fldCharType="separate"/>
            </w:r>
            <w:r>
              <w:rPr>
                <w:rStyle w:val="Style18"/>
                <w:vanish w:val="false"/>
              </w:rPr>
              <w:tab/>
              <w:t>38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3">
            <w:r>
              <w:rPr>
                <w:webHidden/>
                <w:rStyle w:val="Style18"/>
                <w:vanish w:val="false"/>
              </w:rPr>
              <w:t>4.8</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Открытие доступа к заявкам</w:t>
            </w:r>
            <w:r>
              <w:rPr>
                <w:webHidden/>
              </w:rPr>
              <w:fldChar w:fldCharType="begin"/>
            </w:r>
            <w:r>
              <w:rPr>
                <w:webHidden/>
              </w:rPr>
              <w:instrText xml:space="preserve">PAGEREF _Toc186224293 \h</w:instrText>
            </w:r>
            <w:r>
              <w:rPr>
                <w:webHidden/>
              </w:rPr>
              <w:fldChar w:fldCharType="separate"/>
            </w:r>
            <w:r>
              <w:rPr>
                <w:rStyle w:val="Style18"/>
                <w:vanish w:val="false"/>
              </w:rPr>
              <w:tab/>
              <w:t>38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4">
            <w:r>
              <w:rPr>
                <w:webHidden/>
                <w:rStyle w:val="Style18"/>
                <w:vanish w:val="false"/>
              </w:rPr>
              <w:t>4.9</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Рассмотрение заявок (отборочная стадия), в том числе (при необходимости) проведение аккредитации</w:t>
            </w:r>
            <w:r>
              <w:rPr>
                <w:webHidden/>
              </w:rPr>
              <w:fldChar w:fldCharType="begin"/>
            </w:r>
            <w:r>
              <w:rPr>
                <w:webHidden/>
              </w:rPr>
              <w:instrText xml:space="preserve">PAGEREF _Toc186224294 \h</w:instrText>
            </w:r>
            <w:r>
              <w:rPr>
                <w:webHidden/>
              </w:rPr>
              <w:fldChar w:fldCharType="separate"/>
            </w:r>
            <w:r>
              <w:rPr>
                <w:rStyle w:val="Style18"/>
                <w:vanish w:val="false"/>
              </w:rPr>
              <w:tab/>
              <w:t>39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5">
            <w:r>
              <w:rPr>
                <w:webHidden/>
                <w:rStyle w:val="Style18"/>
                <w:vanish w:val="false"/>
              </w:rPr>
              <w:t>4.10</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Дополнительные запросы разъяснений заявок</w:t>
            </w:r>
            <w:r>
              <w:rPr>
                <w:webHidden/>
              </w:rPr>
              <w:fldChar w:fldCharType="begin"/>
            </w:r>
            <w:r>
              <w:rPr>
                <w:webHidden/>
              </w:rPr>
              <w:instrText xml:space="preserve">PAGEREF _Toc186224295 \h</w:instrText>
            </w:r>
            <w:r>
              <w:rPr>
                <w:webHidden/>
              </w:rPr>
              <w:fldChar w:fldCharType="separate"/>
            </w:r>
            <w:r>
              <w:rPr>
                <w:rStyle w:val="Style18"/>
                <w:vanish w:val="false"/>
              </w:rPr>
              <w:tab/>
              <w:t>41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6">
            <w:r>
              <w:rPr>
                <w:webHidden/>
                <w:rStyle w:val="Style18"/>
                <w:vanish w:val="false"/>
              </w:rPr>
              <w:t>4.11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Переторжка</w:t>
            </w:r>
            <w:r>
              <w:rPr>
                <w:webHidden/>
              </w:rPr>
              <w:fldChar w:fldCharType="begin"/>
            </w:r>
            <w:r>
              <w:rPr>
                <w:webHidden/>
              </w:rPr>
              <w:instrText xml:space="preserve">PAGEREF _Toc186224296 \h</w:instrText>
            </w:r>
            <w:r>
              <w:rPr>
                <w:webHidden/>
              </w:rPr>
              <w:fldChar w:fldCharType="separate"/>
            </w:r>
            <w:r>
              <w:rPr>
                <w:rStyle w:val="Style18"/>
                <w:vanish w:val="false"/>
              </w:rPr>
              <w:tab/>
              <w:t>43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7">
            <w:r>
              <w:rPr>
                <w:webHidden/>
                <w:rStyle w:val="Style18"/>
                <w:vanish w:val="false"/>
              </w:rPr>
              <w:t>4.12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Оценка и сопоставление заявок</w:t>
            </w:r>
            <w:r>
              <w:rPr>
                <w:webHidden/>
              </w:rPr>
              <w:fldChar w:fldCharType="begin"/>
            </w:r>
            <w:r>
              <w:rPr>
                <w:webHidden/>
              </w:rPr>
              <w:instrText xml:space="preserve">PAGEREF _Toc186224297 \h</w:instrText>
            </w:r>
            <w:r>
              <w:rPr>
                <w:webHidden/>
              </w:rPr>
              <w:fldChar w:fldCharType="separate"/>
            </w:r>
            <w:r>
              <w:rPr>
                <w:rStyle w:val="Style18"/>
                <w:vanish w:val="false"/>
              </w:rPr>
              <w:tab/>
              <w:t>45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8">
            <w:r>
              <w:rPr>
                <w:webHidden/>
                <w:rStyle w:val="Style18"/>
                <w:vanish w:val="false"/>
              </w:rPr>
              <w:t>4.13</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Применение законодательства о национальном режиме</w:t>
            </w:r>
            <w:r>
              <w:rPr>
                <w:webHidden/>
              </w:rPr>
              <w:fldChar w:fldCharType="begin"/>
            </w:r>
            <w:r>
              <w:rPr>
                <w:webHidden/>
              </w:rPr>
              <w:instrText xml:space="preserve">PAGEREF _Toc186224298 \h</w:instrText>
            </w:r>
            <w:r>
              <w:rPr>
                <w:webHidden/>
              </w:rPr>
              <w:fldChar w:fldCharType="separate"/>
            </w:r>
            <w:r>
              <w:rPr>
                <w:rStyle w:val="Style18"/>
                <w:vanish w:val="false"/>
              </w:rPr>
              <w:tab/>
              <w:t>46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9">
            <w:r>
              <w:rPr>
                <w:webHidden/>
                <w:rStyle w:val="Style18"/>
                <w:vanish w:val="false"/>
              </w:rPr>
              <w:t>4.14</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Подведение итогов закупки (определение Победителя)</w:t>
            </w:r>
            <w:r>
              <w:rPr>
                <w:webHidden/>
              </w:rPr>
              <w:fldChar w:fldCharType="begin"/>
            </w:r>
            <w:r>
              <w:rPr>
                <w:webHidden/>
              </w:rPr>
              <w:instrText xml:space="preserve">PAGEREF _Toc186224299 \h</w:instrText>
            </w:r>
            <w:r>
              <w:rPr>
                <w:webHidden/>
              </w:rPr>
              <w:fldChar w:fldCharType="separate"/>
            </w:r>
            <w:r>
              <w:rPr>
                <w:rStyle w:val="Style18"/>
                <w:vanish w:val="false"/>
              </w:rPr>
              <w:tab/>
              <w:t>47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0">
            <w:r>
              <w:rPr>
                <w:webHidden/>
                <w:rStyle w:val="Style18"/>
                <w:vanish w:val="false"/>
              </w:rPr>
              <w:t>4.15</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Признание закупки несостоявшейся</w:t>
            </w:r>
            <w:r>
              <w:rPr>
                <w:webHidden/>
              </w:rPr>
              <w:fldChar w:fldCharType="begin"/>
            </w:r>
            <w:r>
              <w:rPr>
                <w:webHidden/>
              </w:rPr>
              <w:instrText xml:space="preserve">PAGEREF _Toc186224300 \h</w:instrText>
            </w:r>
            <w:r>
              <w:rPr>
                <w:webHidden/>
              </w:rPr>
              <w:fldChar w:fldCharType="separate"/>
            </w:r>
            <w:r>
              <w:rPr>
                <w:rStyle w:val="Style18"/>
                <w:vanish w:val="false"/>
              </w:rPr>
              <w:tab/>
              <w:t>48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1">
            <w:r>
              <w:rPr>
                <w:webHidden/>
                <w:rStyle w:val="Style18"/>
                <w:vanish w:val="false"/>
              </w:rPr>
              <w:t>4.16</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Отказ от проведения закупки (отмена закупки)</w:t>
            </w:r>
            <w:r>
              <w:rPr>
                <w:webHidden/>
              </w:rPr>
              <w:fldChar w:fldCharType="begin"/>
            </w:r>
            <w:r>
              <w:rPr>
                <w:webHidden/>
              </w:rPr>
              <w:instrText xml:space="preserve">PAGEREF _Toc186224301 \h</w:instrText>
            </w:r>
            <w:r>
              <w:rPr>
                <w:webHidden/>
              </w:rPr>
              <w:fldChar w:fldCharType="separate"/>
            </w:r>
            <w:r>
              <w:rPr>
                <w:rStyle w:val="Style18"/>
                <w:vanish w:val="false"/>
              </w:rPr>
              <w:tab/>
              <w:t>49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2">
            <w:r>
              <w:rPr>
                <w:webHidden/>
                <w:rStyle w:val="Style18"/>
                <w:vanish w:val="false"/>
              </w:rPr>
              <w:t>4.17</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Особенности проведения закупки с необходимостью обеспечения заявки</w:t>
            </w:r>
            <w:r>
              <w:rPr>
                <w:webHidden/>
              </w:rPr>
              <w:fldChar w:fldCharType="begin"/>
            </w:r>
            <w:r>
              <w:rPr>
                <w:webHidden/>
              </w:rPr>
              <w:instrText xml:space="preserve">PAGEREF _Toc186224302 \h</w:instrText>
            </w:r>
            <w:r>
              <w:rPr>
                <w:webHidden/>
              </w:rPr>
              <w:fldChar w:fldCharType="separate"/>
            </w:r>
            <w:r>
              <w:rPr>
                <w:rStyle w:val="Style18"/>
                <w:vanish w:val="false"/>
              </w:rPr>
              <w:tab/>
              <w:t>49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3">
            <w:r>
              <w:rPr>
                <w:webHidden/>
                <w:rStyle w:val="Style18"/>
                <w:vanish w:val="false"/>
              </w:rPr>
              <w:t>4.18</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Особенности проведения многолотовой закупки</w:t>
            </w:r>
            <w:r>
              <w:rPr>
                <w:webHidden/>
              </w:rPr>
              <w:fldChar w:fldCharType="begin"/>
            </w:r>
            <w:r>
              <w:rPr>
                <w:webHidden/>
              </w:rPr>
              <w:instrText xml:space="preserve">PAGEREF _Toc186224303 \h</w:instrText>
            </w:r>
            <w:r>
              <w:rPr>
                <w:webHidden/>
              </w:rPr>
              <w:fldChar w:fldCharType="separate"/>
            </w:r>
            <w:r>
              <w:rPr>
                <w:rStyle w:val="Style18"/>
                <w:vanish w:val="false"/>
              </w:rPr>
              <w:tab/>
              <w:t>52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4">
            <w:r>
              <w:rPr>
                <w:webHidden/>
                <w:rStyle w:val="Style18"/>
                <w:vanish w:val="false"/>
              </w:rPr>
              <w:t>4.19</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Особенности проведения закупки с возможностью подачи альтернативных предложений</w:t>
            </w:r>
            <w:r>
              <w:rPr>
                <w:webHidden/>
              </w:rPr>
              <w:fldChar w:fldCharType="begin"/>
            </w:r>
            <w:r>
              <w:rPr>
                <w:webHidden/>
              </w:rPr>
              <w:instrText xml:space="preserve">PAGEREF _Toc186224304 \h</w:instrText>
            </w:r>
            <w:r>
              <w:rPr>
                <w:webHidden/>
              </w:rPr>
              <w:fldChar w:fldCharType="separate"/>
            </w:r>
            <w:r>
              <w:rPr>
                <w:rStyle w:val="Style18"/>
                <w:vanish w:val="false"/>
              </w:rPr>
              <w:tab/>
              <w:t>53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5">
            <w:r>
              <w:rPr>
                <w:webHidden/>
                <w:rStyle w:val="Style18"/>
                <w:vanish w:val="false"/>
              </w:rPr>
              <w:t>4.20</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Особенности проведения закупки с выбором нескольких победителей</w:t>
            </w:r>
            <w:r>
              <w:rPr>
                <w:webHidden/>
              </w:rPr>
              <w:fldChar w:fldCharType="begin"/>
            </w:r>
            <w:r>
              <w:rPr>
                <w:webHidden/>
              </w:rPr>
              <w:instrText xml:space="preserve">PAGEREF _Toc186224305 \h</w:instrText>
            </w:r>
            <w:r>
              <w:rPr>
                <w:webHidden/>
              </w:rPr>
              <w:fldChar w:fldCharType="separate"/>
            </w:r>
            <w:r>
              <w:rPr>
                <w:rStyle w:val="Style18"/>
                <w:vanish w:val="false"/>
              </w:rPr>
              <w:tab/>
              <w:t>54</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06">
            <w:r>
              <w:rPr>
                <w:webHidden/>
                <w:rStyle w:val="Style18"/>
                <w:vanish w:val="false"/>
              </w:rPr>
              <w:t>5.</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Порядок заключения Договора</w:t>
            </w:r>
            <w:r>
              <w:rPr>
                <w:webHidden/>
              </w:rPr>
              <w:fldChar w:fldCharType="begin"/>
            </w:r>
            <w:r>
              <w:rPr>
                <w:webHidden/>
              </w:rPr>
              <w:instrText xml:space="preserve">PAGEREF _Toc186224306 \h</w:instrText>
            </w:r>
            <w:r>
              <w:rPr>
                <w:webHidden/>
              </w:rPr>
              <w:fldChar w:fldCharType="separate"/>
            </w:r>
            <w:r>
              <w:rPr>
                <w:rStyle w:val="Style18"/>
                <w:vanish w:val="false"/>
              </w:rPr>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7">
            <w:r>
              <w:rPr>
                <w:webHidden/>
                <w:rStyle w:val="Style18"/>
                <w:vanish w:val="false"/>
              </w:rPr>
              <w:t>5.1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Общие положения</w:t>
            </w:r>
            <w:r>
              <w:rPr>
                <w:webHidden/>
              </w:rPr>
              <w:fldChar w:fldCharType="begin"/>
            </w:r>
            <w:r>
              <w:rPr>
                <w:webHidden/>
              </w:rPr>
              <w:instrText xml:space="preserve">PAGEREF _Toc186224307 \h</w:instrText>
            </w:r>
            <w:r>
              <w:rPr>
                <w:webHidden/>
              </w:rPr>
              <w:fldChar w:fldCharType="separate"/>
            </w:r>
            <w:r>
              <w:rPr>
                <w:rStyle w:val="Style18"/>
                <w:vanish w:val="false"/>
              </w:rPr>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8">
            <w:r>
              <w:rPr>
                <w:webHidden/>
                <w:rStyle w:val="Style18"/>
                <w:vanish w:val="false"/>
              </w:rPr>
              <w:t>5.2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Заключение Договора</w:t>
            </w:r>
            <w:r>
              <w:rPr>
                <w:webHidden/>
              </w:rPr>
              <w:fldChar w:fldCharType="begin"/>
            </w:r>
            <w:r>
              <w:rPr>
                <w:webHidden/>
              </w:rPr>
              <w:instrText xml:space="preserve">PAGEREF _Toc186224308 \h</w:instrText>
            </w:r>
            <w:r>
              <w:rPr>
                <w:webHidden/>
              </w:rPr>
              <w:fldChar w:fldCharType="separate"/>
            </w:r>
            <w:r>
              <w:rPr>
                <w:rStyle w:val="Style18"/>
                <w:vanish w:val="false"/>
              </w:rPr>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9">
            <w:r>
              <w:rPr>
                <w:webHidden/>
                <w:rStyle w:val="Style18"/>
                <w:vanish w:val="false"/>
              </w:rPr>
              <w:t>5.3</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Преддоговорные переговоры</w:t>
            </w:r>
            <w:r>
              <w:rPr>
                <w:webHidden/>
              </w:rPr>
              <w:fldChar w:fldCharType="begin"/>
            </w:r>
            <w:r>
              <w:rPr>
                <w:webHidden/>
              </w:rPr>
              <w:instrText xml:space="preserve">PAGEREF _Toc186224309 \h</w:instrText>
            </w:r>
            <w:r>
              <w:rPr>
                <w:webHidden/>
              </w:rPr>
              <w:fldChar w:fldCharType="separate"/>
            </w:r>
            <w:r>
              <w:rPr>
                <w:rStyle w:val="Style18"/>
                <w:vanish w:val="false"/>
              </w:rPr>
              <w:tab/>
              <w:t>57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0">
            <w:r>
              <w:rPr>
                <w:webHidden/>
                <w:rStyle w:val="Style18"/>
                <w:vanish w:val="false"/>
              </w:rPr>
              <w:t>5.4</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Уклонение Победителя от заключения Договора</w:t>
            </w:r>
            <w:r>
              <w:rPr>
                <w:webHidden/>
              </w:rPr>
              <w:fldChar w:fldCharType="begin"/>
            </w:r>
            <w:r>
              <w:rPr>
                <w:webHidden/>
              </w:rPr>
              <w:instrText xml:space="preserve">PAGEREF _Toc186224310 \h</w:instrText>
            </w:r>
            <w:r>
              <w:rPr>
                <w:webHidden/>
              </w:rPr>
              <w:fldChar w:fldCharType="separate"/>
            </w:r>
            <w:r>
              <w:rPr>
                <w:rStyle w:val="Style18"/>
                <w:vanish w:val="false"/>
              </w:rPr>
              <w:tab/>
              <w:t>58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11">
            <w:r>
              <w:rPr>
                <w:webHidden/>
                <w:rStyle w:val="Style18"/>
                <w:vanish w:val="false"/>
              </w:rPr>
              <w:t>6.</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1 – Технические требования</w:t>
            </w:r>
            <w:r>
              <w:rPr>
                <w:webHidden/>
              </w:rPr>
              <w:fldChar w:fldCharType="begin"/>
            </w:r>
            <w:r>
              <w:rPr>
                <w:webHidden/>
              </w:rPr>
              <w:instrText xml:space="preserve">PAGEREF _Toc186224311 \h</w:instrText>
            </w:r>
            <w:r>
              <w:rPr>
                <w:webHidden/>
              </w:rPr>
              <w:fldChar w:fldCharType="separate"/>
            </w:r>
            <w:r>
              <w:rPr>
                <w:rStyle w:val="Style18"/>
                <w:vanish w:val="false"/>
              </w:rPr>
              <w:tab/>
              <w:t>60</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2">
            <w:r>
              <w:rPr>
                <w:webHidden/>
                <w:rStyle w:val="Style18"/>
                <w:vanish w:val="false"/>
              </w:rPr>
              <w:t>6.1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Пояснения к Техническим требованиям</w:t>
            </w:r>
            <w:r>
              <w:rPr>
                <w:webHidden/>
              </w:rPr>
              <w:fldChar w:fldCharType="begin"/>
            </w:r>
            <w:r>
              <w:rPr>
                <w:webHidden/>
              </w:rPr>
              <w:instrText xml:space="preserve">PAGEREF _Toc186224312 \h</w:instrText>
            </w:r>
            <w:r>
              <w:rPr>
                <w:webHidden/>
              </w:rPr>
              <w:fldChar w:fldCharType="separate"/>
            </w:r>
            <w:r>
              <w:rPr>
                <w:rStyle w:val="Style18"/>
                <w:vanish w:val="false"/>
              </w:rPr>
              <w:tab/>
              <w:t>60</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13">
            <w:r>
              <w:rPr>
                <w:webHidden/>
                <w:rStyle w:val="Style18"/>
                <w:vanish w:val="false"/>
              </w:rPr>
              <w:t>7.</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2 – Проект договора</w:t>
            </w:r>
            <w:r>
              <w:rPr>
                <w:webHidden/>
              </w:rPr>
              <w:fldChar w:fldCharType="begin"/>
            </w:r>
            <w:r>
              <w:rPr>
                <w:webHidden/>
              </w:rPr>
              <w:instrText xml:space="preserve">PAGEREF _Toc186224313 \h</w:instrText>
            </w:r>
            <w:r>
              <w:rPr>
                <w:webHidden/>
              </w:rPr>
              <w:fldChar w:fldCharType="separate"/>
            </w:r>
            <w:r>
              <w:rPr>
                <w:rStyle w:val="Style18"/>
                <w:vanish w:val="false"/>
              </w:rPr>
              <w:tab/>
              <w:t>61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4">
            <w:r>
              <w:rPr>
                <w:webHidden/>
                <w:rStyle w:val="Style18"/>
                <w:vanish w:val="false"/>
              </w:rPr>
              <w:t>7.1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Пояснения к Проекту договора</w:t>
            </w:r>
            <w:r>
              <w:rPr>
                <w:webHidden/>
              </w:rPr>
              <w:fldChar w:fldCharType="begin"/>
            </w:r>
            <w:r>
              <w:rPr>
                <w:webHidden/>
              </w:rPr>
              <w:instrText xml:space="preserve">PAGEREF _Toc186224314 \h</w:instrText>
            </w:r>
            <w:r>
              <w:rPr>
                <w:webHidden/>
              </w:rPr>
              <w:fldChar w:fldCharType="separate"/>
            </w:r>
            <w:r>
              <w:rPr>
                <w:rStyle w:val="Style18"/>
                <w:vanish w:val="false"/>
              </w:rPr>
              <w:tab/>
              <w:t>61</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15">
            <w:r>
              <w:rPr>
                <w:webHidden/>
                <w:rStyle w:val="Style18"/>
                <w:vanish w:val="false"/>
              </w:rPr>
              <w:t>8.</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3 – Требования к Участникам</w:t>
            </w:r>
            <w:r>
              <w:rPr>
                <w:webHidden/>
              </w:rPr>
              <w:fldChar w:fldCharType="begin"/>
            </w:r>
            <w:r>
              <w:rPr>
                <w:webHidden/>
              </w:rPr>
              <w:instrText xml:space="preserve">PAGEREF _Toc186224315 \h</w:instrText>
            </w:r>
            <w:r>
              <w:rPr>
                <w:webHidden/>
              </w:rPr>
              <w:fldChar w:fldCharType="separate"/>
            </w:r>
            <w:r>
              <w:rPr>
                <w:rStyle w:val="Style18"/>
                <w:vanish w:val="false"/>
              </w:rPr>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6">
            <w:r>
              <w:rPr>
                <w:webHidden/>
                <w:rStyle w:val="Style18"/>
                <w:vanish w:val="false"/>
              </w:rPr>
              <w:t>8.1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Пояснения к требованиям к Участникам</w:t>
            </w:r>
            <w:r>
              <w:rPr>
                <w:webHidden/>
              </w:rPr>
              <w:fldChar w:fldCharType="begin"/>
            </w:r>
            <w:r>
              <w:rPr>
                <w:webHidden/>
              </w:rPr>
              <w:instrText xml:space="preserve">PAGEREF _Toc186224316 \h</w:instrText>
            </w:r>
            <w:r>
              <w:rPr>
                <w:webHidden/>
              </w:rPr>
              <w:fldChar w:fldCharType="separate"/>
            </w:r>
            <w:r>
              <w:rPr>
                <w:rStyle w:val="Style18"/>
                <w:vanish w:val="false"/>
              </w:rPr>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7">
            <w:r>
              <w:rPr>
                <w:webHidden/>
                <w:rStyle w:val="Style18"/>
                <w:vanish w:val="false"/>
              </w:rPr>
              <w:t>8.2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Обязательные требования</w:t>
            </w:r>
            <w:r>
              <w:rPr>
                <w:webHidden/>
              </w:rPr>
              <w:fldChar w:fldCharType="begin"/>
            </w:r>
            <w:r>
              <w:rPr>
                <w:webHidden/>
              </w:rPr>
              <w:instrText xml:space="preserve">PAGEREF _Toc186224317 \h</w:instrText>
            </w:r>
            <w:r>
              <w:rPr>
                <w:webHidden/>
              </w:rPr>
              <w:fldChar w:fldCharType="separate"/>
            </w:r>
            <w:r>
              <w:rPr>
                <w:rStyle w:val="Style18"/>
                <w:vanish w:val="false"/>
              </w:rPr>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8">
            <w:r>
              <w:rPr>
                <w:webHidden/>
                <w:rStyle w:val="Style18"/>
                <w:vanish w:val="false"/>
              </w:rPr>
              <w:t>8.3</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Специальные требования</w:t>
            </w:r>
            <w:r>
              <w:rPr>
                <w:webHidden/>
              </w:rPr>
              <w:fldChar w:fldCharType="begin"/>
            </w:r>
            <w:r>
              <w:rPr>
                <w:webHidden/>
              </w:rPr>
              <w:instrText xml:space="preserve">PAGEREF _Toc186224318 \h</w:instrText>
            </w:r>
            <w:r>
              <w:rPr>
                <w:webHidden/>
              </w:rPr>
              <w:fldChar w:fldCharType="separate"/>
            </w:r>
            <w:r>
              <w:rPr>
                <w:rStyle w:val="Style18"/>
                <w:vanish w:val="false"/>
              </w:rPr>
              <w:tab/>
              <w:t>66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9">
            <w:r>
              <w:rPr>
                <w:webHidden/>
                <w:rStyle w:val="Style18"/>
                <w:vanish w:val="false"/>
              </w:rPr>
              <w:t>8.4</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Квалификационные требования</w:t>
            </w:r>
            <w:r>
              <w:rPr>
                <w:webHidden/>
              </w:rPr>
              <w:fldChar w:fldCharType="begin"/>
            </w:r>
            <w:r>
              <w:rPr>
                <w:webHidden/>
              </w:rPr>
              <w:instrText xml:space="preserve">PAGEREF _Toc186224319 \h</w:instrText>
            </w:r>
            <w:r>
              <w:rPr>
                <w:webHidden/>
              </w:rPr>
              <w:fldChar w:fldCharType="separate"/>
            </w:r>
            <w:r>
              <w:rPr>
                <w:rStyle w:val="Style18"/>
                <w:vanish w:val="false"/>
              </w:rPr>
              <w:tab/>
              <w:t>67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0">
            <w:r>
              <w:rPr>
                <w:webHidden/>
                <w:rStyle w:val="Style18"/>
                <w:vanish w:val="false"/>
              </w:rPr>
              <w:t>8.5</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Дополнительные требования к Коллективным участникам</w:t>
            </w:r>
            <w:r>
              <w:rPr>
                <w:webHidden/>
              </w:rPr>
              <w:fldChar w:fldCharType="begin"/>
            </w:r>
            <w:r>
              <w:rPr>
                <w:webHidden/>
              </w:rPr>
              <w:instrText xml:space="preserve">PAGEREF _Toc186224320 \h</w:instrText>
            </w:r>
            <w:r>
              <w:rPr>
                <w:webHidden/>
              </w:rPr>
              <w:fldChar w:fldCharType="separate"/>
            </w:r>
            <w:r>
              <w:rPr>
                <w:rStyle w:val="Style18"/>
                <w:vanish w:val="false"/>
              </w:rPr>
              <w:tab/>
              <w:t>68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1">
            <w:r>
              <w:rPr>
                <w:webHidden/>
                <w:rStyle w:val="Style18"/>
                <w:vanish w:val="false"/>
              </w:rPr>
              <w:t>8.6</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Дополнительные требования к Генеральным подрядчикам</w:t>
            </w:r>
            <w:r>
              <w:rPr>
                <w:webHidden/>
              </w:rPr>
              <w:fldChar w:fldCharType="begin"/>
            </w:r>
            <w:r>
              <w:rPr>
                <w:webHidden/>
              </w:rPr>
              <w:instrText xml:space="preserve">PAGEREF _Toc186224321 \h</w:instrText>
            </w:r>
            <w:r>
              <w:rPr>
                <w:webHidden/>
              </w:rPr>
              <w:fldChar w:fldCharType="separate"/>
            </w:r>
            <w:r>
              <w:rPr>
                <w:rStyle w:val="Style18"/>
                <w:vanish w:val="false"/>
              </w:rPr>
              <w:tab/>
              <w:t>68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22">
            <w:r>
              <w:rPr>
                <w:webHidden/>
                <w:rStyle w:val="Style18"/>
                <w:vanish w:val="false"/>
              </w:rPr>
              <w:t>9.</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4 – Образцы форм документов, включаемых в состав заявки</w:t>
            </w:r>
            <w:r>
              <w:rPr>
                <w:webHidden/>
              </w:rPr>
              <w:fldChar w:fldCharType="begin"/>
            </w:r>
            <w:r>
              <w:rPr>
                <w:webHidden/>
              </w:rPr>
              <w:instrText xml:space="preserve">PAGEREF _Toc186224322 \h</w:instrText>
            </w:r>
            <w:r>
              <w:rPr>
                <w:webHidden/>
              </w:rPr>
              <w:fldChar w:fldCharType="separate"/>
            </w:r>
            <w:r>
              <w:rPr>
                <w:rStyle w:val="Style18"/>
                <w:vanish w:val="false"/>
              </w:rPr>
              <w:tab/>
              <w:t>71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3">
            <w:r>
              <w:rPr>
                <w:webHidden/>
                <w:rStyle w:val="Style18"/>
                <w:vanish w:val="false"/>
              </w:rPr>
              <w:t>9.1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Пояснения к Образцам форм документов, включаемых в состав заявки</w:t>
            </w:r>
            <w:r>
              <w:rPr>
                <w:webHidden/>
              </w:rPr>
              <w:fldChar w:fldCharType="begin"/>
            </w:r>
            <w:r>
              <w:rPr>
                <w:webHidden/>
              </w:rPr>
              <w:instrText xml:space="preserve">PAGEREF _Toc186224323 \h</w:instrText>
            </w:r>
            <w:r>
              <w:rPr>
                <w:webHidden/>
              </w:rPr>
              <w:fldChar w:fldCharType="separate"/>
            </w:r>
            <w:r>
              <w:rPr>
                <w:rStyle w:val="Style18"/>
                <w:vanish w:val="false"/>
              </w:rPr>
              <w:tab/>
              <w:t>71</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24">
            <w:r>
              <w:rPr>
                <w:webHidden/>
                <w:rStyle w:val="Style18"/>
                <w:vanish w:val="false"/>
              </w:rPr>
              <w:t>10.</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5 – Образцы форм документов, предоставляемых Победителем</w:t>
            </w:r>
            <w:r>
              <w:rPr>
                <w:webHidden/>
              </w:rPr>
              <w:fldChar w:fldCharType="begin"/>
            </w:r>
            <w:r>
              <w:rPr>
                <w:webHidden/>
              </w:rPr>
              <w:instrText xml:space="preserve">PAGEREF _Toc186224324 \h</w:instrText>
            </w:r>
            <w:r>
              <w:rPr>
                <w:webHidden/>
              </w:rPr>
              <w:fldChar w:fldCharType="separate"/>
            </w:r>
            <w:r>
              <w:rPr>
                <w:rStyle w:val="Style18"/>
                <w:vanish w:val="false"/>
              </w:rPr>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5">
            <w:r>
              <w:rPr>
                <w:webHidden/>
                <w:rStyle w:val="Style18"/>
                <w:vanish w:val="false"/>
              </w:rPr>
              <w:t>10.1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Пояснения к Образцам форм документов, предоставляемых Победителем</w:t>
            </w:r>
            <w:r>
              <w:rPr>
                <w:webHidden/>
              </w:rPr>
              <w:fldChar w:fldCharType="begin"/>
            </w:r>
            <w:r>
              <w:rPr>
                <w:webHidden/>
              </w:rPr>
              <w:instrText xml:space="preserve">PAGEREF _Toc186224325 \h</w:instrText>
            </w:r>
            <w:r>
              <w:rPr>
                <w:webHidden/>
              </w:rPr>
              <w:fldChar w:fldCharType="separate"/>
            </w:r>
            <w:r>
              <w:rPr>
                <w:rStyle w:val="Style18"/>
                <w:vanish w:val="false"/>
              </w:rPr>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6">
            <w:r>
              <w:rPr>
                <w:webHidden/>
                <w:rStyle w:val="Style18"/>
                <w:vanish w:val="false"/>
              </w:rPr>
              <w:t>10.2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Форма справки «Сведения о цепочке собственников, включая бенефициаров (в том числе конечных)»</w:t>
            </w:r>
            <w:r>
              <w:rPr>
                <w:webHidden/>
              </w:rPr>
              <w:fldChar w:fldCharType="begin"/>
            </w:r>
            <w:r>
              <w:rPr>
                <w:webHidden/>
              </w:rPr>
              <w:instrText xml:space="preserve">PAGEREF _Toc186224326 \h</w:instrText>
            </w:r>
            <w:r>
              <w:rPr>
                <w:webHidden/>
              </w:rPr>
              <w:fldChar w:fldCharType="separate"/>
            </w:r>
            <w:r>
              <w:rPr>
                <w:rStyle w:val="Style18"/>
                <w:vanish w:val="false"/>
              </w:rPr>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7">
            <w:r>
              <w:rPr>
                <w:webHidden/>
                <w:rStyle w:val="Style18"/>
                <w:vanish w:val="false"/>
              </w:rPr>
              <w:t>10.3</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Форма «Заверение об обстоятельствах»</w:t>
            </w:r>
            <w:r>
              <w:rPr>
                <w:webHidden/>
              </w:rPr>
              <w:fldChar w:fldCharType="begin"/>
            </w:r>
            <w:r>
              <w:rPr>
                <w:webHidden/>
              </w:rPr>
              <w:instrText xml:space="preserve">PAGEREF _Toc186224327 \h</w:instrText>
            </w:r>
            <w:r>
              <w:rPr>
                <w:webHidden/>
              </w:rPr>
              <w:fldChar w:fldCharType="separate"/>
            </w:r>
            <w:r>
              <w:rPr>
                <w:rStyle w:val="Style18"/>
                <w:vanish w:val="false"/>
              </w:rPr>
              <w:tab/>
              <w:t>72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28">
            <w:r>
              <w:rPr>
                <w:webHidden/>
                <w:rStyle w:val="Style18"/>
                <w:vanish w:val="false"/>
              </w:rPr>
              <w:t>11.</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6 – Состав заявки</w:t>
            </w:r>
            <w:r>
              <w:rPr>
                <w:webHidden/>
              </w:rPr>
              <w:fldChar w:fldCharType="begin"/>
            </w:r>
            <w:r>
              <w:rPr>
                <w:webHidden/>
              </w:rPr>
              <w:instrText xml:space="preserve">PAGEREF _Toc186224328 \h</w:instrText>
            </w:r>
            <w:r>
              <w:rPr>
                <w:webHidden/>
              </w:rPr>
              <w:fldChar w:fldCharType="separate"/>
            </w:r>
            <w:r>
              <w:rPr>
                <w:rStyle w:val="Style18"/>
                <w:vanish w:val="false"/>
              </w:rPr>
              <w:tab/>
              <w:t>74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9">
            <w:r>
              <w:rPr>
                <w:webHidden/>
                <w:rStyle w:val="Style18"/>
                <w:vanish w:val="false"/>
              </w:rPr>
              <w:t>11.1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Состав заявки</w:t>
            </w:r>
            <w:r>
              <w:rPr>
                <w:webHidden/>
              </w:rPr>
              <w:fldChar w:fldCharType="begin"/>
            </w:r>
            <w:r>
              <w:rPr>
                <w:webHidden/>
              </w:rPr>
              <w:instrText xml:space="preserve">PAGEREF _Toc186224329 \h</w:instrText>
            </w:r>
            <w:r>
              <w:rPr>
                <w:webHidden/>
              </w:rPr>
              <w:fldChar w:fldCharType="separate"/>
            </w:r>
            <w:r>
              <w:rPr>
                <w:rStyle w:val="Style18"/>
                <w:vanish w:val="false"/>
              </w:rPr>
              <w:tab/>
              <w:t>74</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0">
            <w:r>
              <w:rPr>
                <w:webHidden/>
                <w:rStyle w:val="Style18"/>
                <w:vanish w:val="false"/>
              </w:rPr>
              <w:t>12.</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7 – Отборочные критерии рассмотрения заявок</w:t>
            </w:r>
            <w:r>
              <w:rPr>
                <w:webHidden/>
              </w:rPr>
              <w:fldChar w:fldCharType="begin"/>
            </w:r>
            <w:r>
              <w:rPr>
                <w:webHidden/>
              </w:rPr>
              <w:instrText xml:space="preserve">PAGEREF _Toc186224330 \h</w:instrText>
            </w:r>
            <w:r>
              <w:rPr>
                <w:webHidden/>
              </w:rPr>
              <w:fldChar w:fldCharType="separate"/>
            </w:r>
            <w:r>
              <w:rPr>
                <w:rStyle w:val="Style18"/>
                <w:vanish w:val="false"/>
              </w:rPr>
              <w:tab/>
              <w:t>77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1">
            <w:r>
              <w:rPr>
                <w:webHidden/>
                <w:rStyle w:val="Style18"/>
                <w:vanish w:val="false"/>
              </w:rPr>
              <w:t>12.1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Отборочные критерии рассмотрения заявок</w:t>
            </w:r>
            <w:r>
              <w:rPr>
                <w:webHidden/>
              </w:rPr>
              <w:fldChar w:fldCharType="begin"/>
            </w:r>
            <w:r>
              <w:rPr>
                <w:webHidden/>
              </w:rPr>
              <w:instrText xml:space="preserve">PAGEREF _Toc186224331 \h</w:instrText>
            </w:r>
            <w:r>
              <w:rPr>
                <w:webHidden/>
              </w:rPr>
              <w:fldChar w:fldCharType="separate"/>
            </w:r>
            <w:r>
              <w:rPr>
                <w:rStyle w:val="Style18"/>
                <w:vanish w:val="false"/>
              </w:rPr>
              <w:tab/>
              <w:t>77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2">
            <w:r>
              <w:rPr>
                <w:webHidden/>
                <w:rStyle w:val="Style18"/>
                <w:vanish w:val="false"/>
              </w:rPr>
              <w:t>12.2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Дополнительные критерии проверки заявок на соответствие условиям Документации о закупке</w:t>
            </w:r>
            <w:r>
              <w:rPr>
                <w:webHidden/>
              </w:rPr>
              <w:fldChar w:fldCharType="begin"/>
            </w:r>
            <w:r>
              <w:rPr>
                <w:webHidden/>
              </w:rPr>
              <w:instrText xml:space="preserve">PAGEREF _Toc186224332 \h</w:instrText>
            </w:r>
            <w:r>
              <w:rPr>
                <w:webHidden/>
              </w:rPr>
              <w:fldChar w:fldCharType="separate"/>
            </w:r>
            <w:r>
              <w:rPr>
                <w:rStyle w:val="Style18"/>
                <w:vanish w:val="false"/>
              </w:rPr>
              <w:tab/>
              <w:t>82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3">
            <w:r>
              <w:rPr>
                <w:webHidden/>
                <w:rStyle w:val="Style18"/>
                <w:vanish w:val="false"/>
              </w:rPr>
              <w:t>13.</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8 – Порядок и критерии оценки и сопоставления заявок</w:t>
            </w:r>
            <w:r>
              <w:rPr>
                <w:webHidden/>
              </w:rPr>
              <w:fldChar w:fldCharType="begin"/>
            </w:r>
            <w:r>
              <w:rPr>
                <w:webHidden/>
              </w:rPr>
              <w:instrText xml:space="preserve">PAGEREF _Toc186224333 \h</w:instrText>
            </w:r>
            <w:r>
              <w:rPr>
                <w:webHidden/>
              </w:rPr>
              <w:fldChar w:fldCharType="separate"/>
            </w:r>
            <w:r>
              <w:rPr>
                <w:rStyle w:val="Style18"/>
                <w:vanish w:val="false"/>
              </w:rPr>
              <w:tab/>
              <w:t>84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4">
            <w:r>
              <w:rPr>
                <w:webHidden/>
                <w:rStyle w:val="Style18"/>
                <w:vanish w:val="false"/>
              </w:rPr>
              <w:t>13.1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Порядок и критерии оценки и сопоставления заявок</w:t>
            </w:r>
            <w:r>
              <w:rPr>
                <w:webHidden/>
              </w:rPr>
              <w:fldChar w:fldCharType="begin"/>
            </w:r>
            <w:r>
              <w:rPr>
                <w:webHidden/>
              </w:rPr>
              <w:instrText xml:space="preserve">PAGEREF _Toc186224334 \h</w:instrText>
            </w:r>
            <w:r>
              <w:rPr>
                <w:webHidden/>
              </w:rPr>
              <w:fldChar w:fldCharType="separate"/>
            </w:r>
            <w:r>
              <w:rPr>
                <w:rStyle w:val="Style18"/>
                <w:vanish w:val="false"/>
              </w:rPr>
              <w:tab/>
              <w:t>84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5">
            <w:r>
              <w:rPr>
                <w:webHidden/>
                <w:rStyle w:val="Style18"/>
                <w:vanish w:val="false"/>
              </w:rPr>
              <w:t>13.2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Порядок и критерии оценки и сопоставления заявок</w:t>
            </w:r>
            <w:r>
              <w:rPr>
                <w:webHidden/>
              </w:rPr>
              <w:fldChar w:fldCharType="begin"/>
            </w:r>
            <w:r>
              <w:rPr>
                <w:webHidden/>
              </w:rPr>
              <w:instrText xml:space="preserve">PAGEREF _Toc186224335 \h</w:instrText>
            </w:r>
            <w:r>
              <w:rPr>
                <w:webHidden/>
              </w:rPr>
              <w:fldChar w:fldCharType="separate"/>
            </w:r>
            <w:r>
              <w:rPr>
                <w:rStyle w:val="Style18"/>
                <w:vanish w:val="false"/>
              </w:rPr>
              <w:tab/>
              <w:t>88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6">
            <w:r>
              <w:rPr>
                <w:webHidden/>
                <w:rStyle w:val="Style18"/>
                <w:vanish w:val="false"/>
              </w:rPr>
              <w:t>14.</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9 – Обоснование НМЦ</w:t>
            </w:r>
            <w:r>
              <w:rPr>
                <w:webHidden/>
              </w:rPr>
              <w:fldChar w:fldCharType="begin"/>
            </w:r>
            <w:r>
              <w:rPr>
                <w:webHidden/>
              </w:rPr>
              <w:instrText xml:space="preserve">PAGEREF _Toc186224336 \h</w:instrText>
            </w:r>
            <w:r>
              <w:rPr>
                <w:webHidden/>
              </w:rPr>
              <w:fldChar w:fldCharType="separate"/>
            </w:r>
            <w:r>
              <w:rPr>
                <w:rStyle w:val="Style18"/>
                <w:vanish w:val="false"/>
              </w:rPr>
              <w:tab/>
              <w:t>90</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7">
            <w:r>
              <w:rPr>
                <w:webHidden/>
                <w:rStyle w:val="Style18"/>
                <w:vanish w:val="false"/>
              </w:rPr>
              <w:t>14.1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Пояснения к Обоснованию НМЦ</w:t>
            </w:r>
            <w:r>
              <w:rPr>
                <w:webHidden/>
              </w:rPr>
              <w:fldChar w:fldCharType="begin"/>
            </w:r>
            <w:r>
              <w:rPr>
                <w:webHidden/>
              </w:rPr>
              <w:instrText xml:space="preserve">PAGEREF _Toc186224337 \h</w:instrText>
            </w:r>
            <w:r>
              <w:rPr>
                <w:webHidden/>
              </w:rPr>
              <w:fldChar w:fldCharType="separate"/>
            </w:r>
            <w:r>
              <w:rPr>
                <w:rStyle w:val="Style18"/>
                <w:vanish w:val="false"/>
              </w:rPr>
              <w:tab/>
              <w:t>90</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8">
            <w:r>
              <w:rPr>
                <w:webHidden/>
                <w:rStyle w:val="Style18"/>
                <w:vanish w:val="false"/>
              </w:rPr>
              <w:t>15.</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10 – Форма Заявки на аккредитацию</w:t>
            </w:r>
            <w:r>
              <w:rPr>
                <w:webHidden/>
              </w:rPr>
              <w:fldChar w:fldCharType="begin"/>
            </w:r>
            <w:r>
              <w:rPr>
                <w:webHidden/>
              </w:rPr>
              <w:instrText xml:space="preserve">PAGEREF _Toc186224338 \h</w:instrText>
            </w:r>
            <w:r>
              <w:rPr>
                <w:webHidden/>
              </w:rPr>
              <w:fldChar w:fldCharType="separate"/>
            </w:r>
            <w:r>
              <w:rPr>
                <w:rStyle w:val="Style18"/>
                <w:vanish w:val="false"/>
              </w:rPr>
              <w:tab/>
              <w:t>91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9">
            <w:r>
              <w:rPr>
                <w:webHidden/>
                <w:rStyle w:val="Style18"/>
                <w:vanish w:val="false"/>
              </w:rPr>
              <w:t>15.1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Пояснения к форме Заявки на аккредитацию</w:t>
            </w:r>
            <w:r>
              <w:rPr>
                <w:webHidden/>
              </w:rPr>
              <w:fldChar w:fldCharType="begin"/>
            </w:r>
            <w:r>
              <w:rPr>
                <w:webHidden/>
              </w:rPr>
              <w:instrText xml:space="preserve">PAGEREF _Toc186224339 \h</w:instrText>
            </w:r>
            <w:r>
              <w:rPr>
                <w:webHidden/>
              </w:rPr>
              <w:fldChar w:fldCharType="separate"/>
            </w:r>
            <w:r>
              <w:rPr>
                <w:rStyle w:val="Style18"/>
                <w:vanish w:val="false"/>
              </w:rPr>
              <w:tab/>
              <w:t>91</w:t>
            </w:r>
            <w:r>
              <w:rPr>
                <w:webHidden/>
              </w:rPr>
              <w:fldChar w:fldCharType="end"/>
            </w:r>
          </w:hyperlink>
          <w:r>
            <w:rPr>
              <w:rStyle w:val="Style18"/>
              <w:vanish w:val="false"/>
            </w:rPr>
            <w:fldChar w:fldCharType="end"/>
          </w:r>
        </w:p>
      </w:sdtContent>
    </w:sdt>
    <w:p>
      <w:pPr>
        <w:pStyle w:val="Style28"/>
        <w:jc w:val="both"/>
        <w:rPr/>
      </w:pPr>
      <w:r>
        <w:rPr/>
      </w:r>
    </w:p>
    <w:p>
      <w:pPr>
        <w:pStyle w:val="Style28"/>
        <w:keepNext w:val="true"/>
        <w:spacing w:before="60" w:after="0"/>
        <w:rPr>
          <w:rStyle w:val="Style16"/>
        </w:rPr>
      </w:pPr>
      <w:r>
        <w:rPr>
          <w:rStyle w:val="Style16"/>
        </w:rPr>
        <w:t xml:space="preserve">[Примечание (дополнительные удобства работы с Документацией о закупке; Microsoft Word | </w:t>
      </w:r>
      <w:r>
        <w:rPr>
          <w:rStyle w:val="Style16"/>
          <w:color w:val="4472C4" w:themeColor="accent1"/>
        </w:rPr>
        <w:t>AlterOffice AText – отмечены отличия для данного текстового редактора</w:t>
      </w:r>
      <w:r>
        <w:rPr>
          <w:rStyle w:val="Style16"/>
        </w:rPr>
        <w:t>):</w:t>
      </w:r>
    </w:p>
    <w:p>
      <w:pPr>
        <w:pStyle w:val="Style28"/>
        <w:numPr>
          <w:ilvl w:val="0"/>
          <w:numId w:val="11"/>
        </w:numPr>
        <w:spacing w:before="60" w:after="0"/>
        <w:ind w:left="284" w:hanging="284"/>
        <w:rPr>
          <w:rStyle w:val="Style16"/>
        </w:rPr>
      </w:pPr>
      <w:r>
        <w:rPr>
          <w:rStyle w:val="Style16"/>
        </w:rPr>
        <w:t xml:space="preserve">для навигации рекомендуется использовать боковое меню – включается на вкладке «Вид» в разделе «Отображение» опцией «Область навигации» | </w:t>
      </w:r>
      <w:r>
        <w:rPr>
          <w:rStyle w:val="Style16"/>
          <w:color w:val="4472C4" w:themeColor="accent1"/>
        </w:rPr>
        <w:t>включается на вкладке «Вид» опцией «Навигатор»</w:t>
      </w:r>
      <w:r>
        <w:rPr>
          <w:rStyle w:val="Style16"/>
        </w:rPr>
        <w:t>;</w:t>
      </w:r>
    </w:p>
    <w:p>
      <w:pPr>
        <w:pStyle w:val="Style28"/>
        <w:numPr>
          <w:ilvl w:val="0"/>
          <w:numId w:val="11"/>
        </w:numPr>
        <w:spacing w:before="60" w:after="0"/>
        <w:ind w:left="284" w:hanging="284"/>
        <w:rPr>
          <w:rStyle w:val="Style16"/>
        </w:rPr>
      </w:pPr>
      <w:r>
        <w:rPr>
          <w:rStyle w:val="Style16"/>
        </w:rPr>
        <w:t>переход по перекрестным и другим ссылкам осуществляется левым кликом мыши с</w:t>
      </w:r>
      <w:r>
        <w:rPr>
          <w:rStyle w:val="Style16"/>
          <w:lang w:val="en-US"/>
        </w:rPr>
        <w:t> </w:t>
      </w:r>
      <w:r>
        <w:rPr>
          <w:rStyle w:val="Style16"/>
        </w:rPr>
        <w:t xml:space="preserve">зажатой клавишей Ctrl, обратный возврат на место в тексте, с которого был сделан переход, осуществляется нажатием стрелки влево (←) с зажатой левой клавишей Alt </w:t>
      </w:r>
      <w:r>
        <w:rPr>
          <w:rStyle w:val="Style16"/>
          <w:color w:val="4472C4" w:themeColor="accent1"/>
        </w:rPr>
        <w:t>(обратный переход функционально не реализован в AlterOffice AText, пользуйтесь функциональностью «Навигатор»)</w:t>
      </w:r>
      <w:r>
        <w:rPr>
          <w:rStyle w:val="Style16"/>
        </w:rPr>
        <w:t>;</w:t>
      </w:r>
    </w:p>
    <w:p>
      <w:pPr>
        <w:pStyle w:val="Style28"/>
        <w:numPr>
          <w:ilvl w:val="0"/>
          <w:numId w:val="11"/>
        </w:numPr>
        <w:spacing w:before="60" w:after="0"/>
        <w:ind w:left="284" w:hanging="284"/>
        <w:rPr>
          <w:rStyle w:val="Style16"/>
        </w:rPr>
      </w:pPr>
      <w:r>
        <w:rPr>
          <w:rStyle w:val="Style16"/>
        </w:rPr>
        <w:t>открытие внедренного в текст документа (файла) осуществляется по двойному клику левой клавиши мыши по соответствующей иконке документа (файла) в</w:t>
      </w:r>
      <w:r>
        <w:rPr>
          <w:rStyle w:val="Style16"/>
          <w:lang w:val="en-US"/>
        </w:rPr>
        <w:t> </w:t>
      </w:r>
      <w:r>
        <w:rPr>
          <w:rStyle w:val="Style16"/>
        </w:rPr>
        <w:t>тексте;</w:t>
      </w:r>
    </w:p>
    <w:p>
      <w:pPr>
        <w:pStyle w:val="Style28"/>
        <w:numPr>
          <w:ilvl w:val="0"/>
          <w:numId w:val="11"/>
        </w:numPr>
        <w:spacing w:before="60" w:after="0"/>
        <w:ind w:left="284" w:hanging="284"/>
        <w:rPr>
          <w:rStyle w:val="Style16"/>
        </w:rPr>
      </w:pPr>
      <w:r>
        <w:rPr>
          <w:rStyle w:val="Style16"/>
          <w:color w:val="4472C4" w:themeColor="accent1"/>
        </w:rPr>
        <w:t>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Pr>
          <w:rStyle w:val="Style16"/>
        </w:rPr>
        <w:t>.]</w:t>
      </w:r>
    </w:p>
    <w:p>
      <w:pPr>
        <w:pStyle w:val="Style27"/>
        <w:numPr>
          <w:ilvl w:val="0"/>
          <w:numId w:val="0"/>
        </w:numPr>
        <w:ind w:left="0" w:hanging="0"/>
        <w:outlineLvl w:val="0"/>
        <w:rPr/>
      </w:pPr>
      <w:bookmarkStart w:id="0" w:name="_Toc186224270"/>
      <w:r>
        <w:rPr/>
        <w:t>Сокращения</w:t>
      </w:r>
      <w:bookmarkEnd w:id="0"/>
    </w:p>
    <w:p>
      <w:pPr>
        <w:pStyle w:val="Style28"/>
        <w:ind w:firstLine="567"/>
        <w:rPr/>
      </w:pPr>
      <w:r>
        <w:rPr>
          <w:b/>
          <w:bCs/>
        </w:rPr>
        <w:t>ГК РФ</w:t>
      </w:r>
      <w:r>
        <w:rPr/>
        <w:t xml:space="preserve"> – Гражданской кодекс Российской Федерации.</w:t>
      </w:r>
    </w:p>
    <w:p>
      <w:pPr>
        <w:pStyle w:val="Style28"/>
        <w:ind w:firstLine="567"/>
        <w:rPr/>
      </w:pPr>
      <w:r>
        <w:rPr>
          <w:b/>
          <w:bCs/>
        </w:rPr>
        <w:t>ЕГРИП</w:t>
      </w:r>
      <w:r>
        <w:rPr/>
        <w:t xml:space="preserve"> – Единый государственный реестр индивидуальных предпринимателей.</w:t>
      </w:r>
    </w:p>
    <w:p>
      <w:pPr>
        <w:pStyle w:val="Style28"/>
        <w:ind w:firstLine="567"/>
        <w:rPr/>
      </w:pPr>
      <w:r>
        <w:rPr>
          <w:b/>
          <w:bCs/>
        </w:rPr>
        <w:t>ЕГРЮЛ</w:t>
      </w:r>
      <w:r>
        <w:rPr/>
        <w:t xml:space="preserve"> – Единый государственный реестр юридических лиц.</w:t>
      </w:r>
    </w:p>
    <w:p>
      <w:pPr>
        <w:pStyle w:val="Style28"/>
        <w:ind w:firstLine="567"/>
        <w:rPr/>
      </w:pPr>
      <w:r>
        <w:rPr>
          <w:b/>
          <w:bCs/>
        </w:rPr>
        <w:t>ЕИС</w:t>
      </w:r>
      <w:r>
        <w:rPr/>
        <w:t xml:space="preserve"> – Единая информационная система в сфере закупок.</w:t>
      </w:r>
    </w:p>
    <w:p>
      <w:pPr>
        <w:pStyle w:val="Style28"/>
        <w:ind w:firstLine="567"/>
        <w:rPr/>
      </w:pPr>
      <w:r>
        <w:rPr>
          <w:b/>
          <w:bCs/>
        </w:rPr>
        <w:t>Закон 44-ФЗ</w:t>
      </w:r>
      <w:r>
        <w:rPr/>
        <w:t xml:space="preserve"> – Федеральный закон от 05.04.2013 № 44-ФЗ «О контрактной системе в</w:t>
      </w:r>
      <w:r>
        <w:rPr>
          <w:lang w:val="en-US"/>
        </w:rPr>
        <w:t> </w:t>
      </w:r>
      <w:r>
        <w:rPr/>
        <w:t>сфере закупок товаров, работ, услуг для обеспечения государственных и муниципальных нужд».</w:t>
      </w:r>
    </w:p>
    <w:p>
      <w:pPr>
        <w:pStyle w:val="Style28"/>
        <w:ind w:firstLine="567"/>
        <w:rPr/>
      </w:pPr>
      <w:r>
        <w:rPr>
          <w:b/>
          <w:bCs/>
        </w:rPr>
        <w:t>Закон 209-ФЗ</w:t>
      </w:r>
      <w:r>
        <w:rPr/>
        <w:t xml:space="preserve"> – Федеральный закон от 24.07.2007 № 209-ФЗ «О развитии малого и среднего предпринимательства в Российской Федерации».</w:t>
      </w:r>
    </w:p>
    <w:p>
      <w:pPr>
        <w:pStyle w:val="Style28"/>
        <w:ind w:firstLine="567"/>
        <w:rPr/>
      </w:pPr>
      <w:r>
        <w:rPr>
          <w:b/>
          <w:bCs/>
        </w:rPr>
        <w:t>Закон 223-ФЗ</w:t>
      </w:r>
      <w:r>
        <w:rPr/>
        <w:t xml:space="preserve"> – Федеральный закон от 18.07.2011 № 223-ФЗ «О закупках товаров, работ, услуг отдельными видами юридических лиц».</w:t>
      </w:r>
    </w:p>
    <w:p>
      <w:pPr>
        <w:pStyle w:val="Style28"/>
        <w:ind w:firstLine="567"/>
        <w:rPr/>
      </w:pPr>
      <w:r>
        <w:rPr>
          <w:b/>
          <w:bCs/>
        </w:rPr>
        <w:t>Закон 255-ФЗ</w:t>
      </w:r>
      <w:r>
        <w:rPr/>
        <w:t xml:space="preserve"> – Федеральный закон от 14.07.2022 № 255-ФЗ «О контроле за деятельностью лиц, находящихся под иностранным влиянием».</w:t>
      </w:r>
    </w:p>
    <w:p>
      <w:pPr>
        <w:pStyle w:val="Style28"/>
        <w:ind w:firstLine="567"/>
        <w:rPr/>
      </w:pPr>
      <w:r>
        <w:rPr>
          <w:b/>
          <w:bCs/>
        </w:rPr>
        <w:t>Закон 422-ФЗ</w:t>
      </w:r>
      <w:r>
        <w:rP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pPr>
        <w:pStyle w:val="Style28"/>
        <w:ind w:firstLine="567"/>
        <w:rPr/>
      </w:pPr>
      <w:r>
        <w:rPr>
          <w:b/>
          <w:bCs/>
        </w:rPr>
        <w:t>Законодательство</w:t>
      </w:r>
      <w:r>
        <w:rPr/>
        <w:t xml:space="preserve"> – законодательство Российской Федерации (если в тексте настоящей Документации о закупке прямо не указано иное).</w:t>
      </w:r>
    </w:p>
    <w:p>
      <w:pPr>
        <w:pStyle w:val="Style28"/>
        <w:ind w:firstLine="567"/>
        <w:rPr/>
      </w:pPr>
      <w:r>
        <w:rPr>
          <w:b/>
          <w:bCs/>
        </w:rPr>
        <w:t>Извещение</w:t>
      </w:r>
      <w:r>
        <w:rPr/>
        <w:t xml:space="preserve"> – извещение о проведении настоящей закупки.</w:t>
      </w:r>
    </w:p>
    <w:p>
      <w:pPr>
        <w:pStyle w:val="Style28"/>
        <w:ind w:firstLine="567"/>
        <w:rPr/>
      </w:pPr>
      <w:r>
        <w:rPr>
          <w:b/>
          <w:bCs/>
        </w:rPr>
        <w:t>ИНН</w:t>
      </w:r>
      <w:r>
        <w:rPr/>
        <w:t xml:space="preserve"> – идентификационный номер налогоплательщика.</w:t>
      </w:r>
    </w:p>
    <w:p>
      <w:pPr>
        <w:pStyle w:val="Style28"/>
        <w:ind w:firstLine="567"/>
        <w:rPr/>
      </w:pPr>
      <w:r>
        <w:rPr>
          <w:b/>
          <w:bCs/>
        </w:rPr>
        <w:t>ИФНС</w:t>
      </w:r>
      <w:r>
        <w:rPr/>
        <w:t xml:space="preserve"> – инспекция Федеральной налоговой службы Российской Федерации.</w:t>
      </w:r>
    </w:p>
    <w:p>
      <w:pPr>
        <w:pStyle w:val="Style28"/>
        <w:ind w:firstLine="567"/>
        <w:rPr/>
      </w:pPr>
      <w:r>
        <w:rPr>
          <w:b/>
          <w:bCs/>
        </w:rPr>
        <w:t>МТР</w:t>
      </w:r>
      <w:r>
        <w:rPr/>
        <w:t xml:space="preserve"> – материально-технические ресурсы.</w:t>
      </w:r>
    </w:p>
    <w:p>
      <w:pPr>
        <w:pStyle w:val="Style28"/>
        <w:ind w:firstLine="567"/>
        <w:rPr/>
      </w:pPr>
      <w:r>
        <w:rPr>
          <w:b/>
          <w:bCs/>
        </w:rPr>
        <w:t>НДС</w:t>
      </w:r>
      <w:r>
        <w:rPr/>
        <w:t xml:space="preserve"> – налог на добавленную стоимость.</w:t>
      </w:r>
    </w:p>
    <w:p>
      <w:pPr>
        <w:pStyle w:val="Style28"/>
        <w:ind w:firstLine="567"/>
        <w:rPr/>
      </w:pPr>
      <w:r>
        <w:rPr>
          <w:b/>
          <w:bCs/>
        </w:rPr>
        <w:t>НМЦ</w:t>
      </w:r>
      <w:r>
        <w:rPr/>
        <w:t xml:space="preserve"> – начальная (максимальная) цена договора.</w:t>
      </w:r>
    </w:p>
    <w:p>
      <w:pPr>
        <w:pStyle w:val="Style28"/>
        <w:ind w:firstLine="567"/>
        <w:rPr/>
      </w:pPr>
      <w:r>
        <w:rPr>
          <w:b/>
          <w:bCs/>
        </w:rPr>
        <w:t>Оператор ЭП</w:t>
      </w:r>
      <w:r>
        <w:rPr/>
        <w:t xml:space="preserve"> – оператор электронной площадки.</w:t>
      </w:r>
    </w:p>
    <w:p>
      <w:pPr>
        <w:pStyle w:val="Style28"/>
        <w:ind w:firstLine="567"/>
        <w:rPr/>
      </w:pPr>
      <w:r>
        <w:rPr>
          <w:b/>
          <w:bCs/>
        </w:rPr>
        <w:t>Официальный сайт</w:t>
      </w:r>
      <w:r>
        <w:rPr/>
        <w:t xml:space="preserve"> – официальный сайт Единой информационной системы в сфере закупок, расположенный в сети Интернет по </w:t>
      </w:r>
      <w:r>
        <w:rPr>
          <w:lang w:val="en-US"/>
        </w:rPr>
        <w:t>URL</w:t>
      </w:r>
      <w:r>
        <w:rPr/>
        <w:t>-адресу https://zakupki.gov.ru/.</w:t>
      </w:r>
    </w:p>
    <w:p>
      <w:pPr>
        <w:pStyle w:val="Style28"/>
        <w:ind w:firstLine="567"/>
        <w:rPr/>
      </w:pPr>
      <w:r>
        <w:rPr>
          <w:b/>
          <w:bCs/>
        </w:rPr>
        <w:t>Положение о закупке</w:t>
      </w:r>
      <w:r>
        <w:rPr/>
        <w:t xml:space="preserve"> – Единое Положение о закупке продукции для нужд Группы РусГидро.</w:t>
      </w:r>
    </w:p>
    <w:p>
      <w:pPr>
        <w:pStyle w:val="Style28"/>
        <w:ind w:firstLine="567"/>
        <w:rPr/>
      </w:pPr>
      <w:r>
        <w:rPr>
          <w:b/>
          <w:bCs/>
        </w:rPr>
        <w:t>Положение об аккредитации</w:t>
      </w:r>
      <w:r>
        <w:rP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pPr>
        <w:pStyle w:val="Style28"/>
        <w:ind w:firstLine="567"/>
        <w:rPr/>
      </w:pPr>
      <w:r>
        <w:rPr>
          <w:b/>
          <w:bCs/>
        </w:rPr>
        <w:t>ПП 395</w:t>
      </w:r>
      <w:r>
        <w:rPr/>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pPr>
        <w:pStyle w:val="Style28"/>
        <w:ind w:firstLine="567"/>
        <w:rPr/>
      </w:pPr>
      <w:r>
        <w:rPr>
          <w:b/>
          <w:bCs/>
        </w:rPr>
        <w:t>ПП 1352</w:t>
      </w:r>
      <w:r>
        <w:rP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pStyle w:val="Style28"/>
        <w:ind w:firstLine="567"/>
        <w:rPr/>
      </w:pPr>
      <w:r>
        <w:rPr>
          <w:b/>
          <w:bCs/>
        </w:rPr>
        <w:t>ПП 1875</w:t>
      </w:r>
      <w:r>
        <w:rPr/>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Style28"/>
        <w:ind w:firstLine="567"/>
        <w:rPr/>
      </w:pPr>
      <w:r>
        <w:rPr>
          <w:b/>
          <w:bCs/>
        </w:rPr>
        <w:t>Реестр МСП</w:t>
      </w:r>
      <w:r>
        <w:rPr/>
        <w:t xml:space="preserve"> – единый реестр субъектов малого и среднего предпринимательства, ведение которого осуществляется в соответствии с Законом 209-ФЗ.</w:t>
      </w:r>
    </w:p>
    <w:p>
      <w:pPr>
        <w:pStyle w:val="Style28"/>
        <w:ind w:firstLine="567"/>
        <w:rPr/>
      </w:pPr>
      <w:r>
        <w:rPr>
          <w:b/>
          <w:bCs/>
        </w:rPr>
        <w:t>Система ЭДО</w:t>
      </w:r>
      <w:r>
        <w:rPr>
          <w:rStyle w:val="FootnoteReference"/>
          <w:b/>
          <w:bCs/>
        </w:rPr>
        <w:footnoteReference w:id="2"/>
      </w:r>
      <w:r>
        <w:rPr/>
        <w:t xml:space="preserve"> – 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p>
    <w:p>
      <w:pPr>
        <w:pStyle w:val="Style28"/>
        <w:ind w:firstLine="567"/>
        <w:rPr/>
      </w:pPr>
      <w:r>
        <w:rPr>
          <w:b/>
          <w:bCs/>
        </w:rPr>
        <w:t>Стороны</w:t>
      </w:r>
      <w:r>
        <w:rPr/>
        <w:t xml:space="preserve"> – Организатор, Заказчик и Участники, являющиеся сторонами данной закупки (при совместном упоминании).</w:t>
      </w:r>
    </w:p>
    <w:p>
      <w:pPr>
        <w:pStyle w:val="Style28"/>
        <w:ind w:firstLine="567"/>
        <w:rPr/>
      </w:pPr>
      <w:r>
        <w:rPr>
          <w:b/>
          <w:bCs/>
        </w:rPr>
        <w:t>Субъект МСП</w:t>
      </w:r>
      <w:r>
        <w:rPr/>
        <w:t xml:space="preserve"> – субъект малого и среднего предпринимательства.</w:t>
      </w:r>
    </w:p>
    <w:p>
      <w:pPr>
        <w:pStyle w:val="Style28"/>
        <w:ind w:firstLine="567"/>
        <w:rPr/>
      </w:pPr>
      <w:r>
        <w:rPr>
          <w:b/>
          <w:bCs/>
        </w:rPr>
        <w:t>ЭП</w:t>
      </w:r>
      <w:r>
        <w:rPr/>
        <w:t xml:space="preserve"> – электронная площадка.</w:t>
      </w:r>
    </w:p>
    <w:p>
      <w:pPr>
        <w:pStyle w:val="Style27"/>
        <w:numPr>
          <w:ilvl w:val="0"/>
          <w:numId w:val="0"/>
        </w:numPr>
        <w:ind w:left="0" w:hanging="0"/>
        <w:outlineLvl w:val="0"/>
        <w:rPr/>
      </w:pPr>
      <w:bookmarkStart w:id="1" w:name="_Toc186224271"/>
      <w:r>
        <w:rPr/>
        <w:t>Термины и определения</w:t>
      </w:r>
      <w:bookmarkEnd w:id="1"/>
    </w:p>
    <w:p>
      <w:pPr>
        <w:pStyle w:val="Style28"/>
        <w:ind w:firstLine="567"/>
        <w:rPr/>
      </w:pPr>
      <w:r>
        <w:rPr>
          <w:b/>
          <w:bCs/>
        </w:rPr>
        <w:t>Аккредитация</w:t>
      </w:r>
      <w:r>
        <w:rP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p>
    <w:p>
      <w:pPr>
        <w:pStyle w:val="Style28"/>
        <w:ind w:firstLine="567"/>
        <w:rPr/>
      </w:pPr>
      <w:r>
        <w:rPr>
          <w:b/>
          <w:bCs/>
        </w:rPr>
        <w:t>Актуализация статуса (аккредитации)</w:t>
      </w:r>
      <w:r>
        <w:rP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28"/>
        <w:ind w:firstLine="567"/>
        <w:rPr/>
      </w:pPr>
      <w:r>
        <w:rPr>
          <w:b/>
          <w:bCs/>
        </w:rPr>
        <w:t>Альтернативное предложение</w:t>
      </w:r>
      <w:r>
        <w:rPr/>
        <w:t xml:space="preserve"> – 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p>
    <w:p>
      <w:pPr>
        <w:pStyle w:val="Style28"/>
        <w:ind w:firstLine="567"/>
        <w:rPr/>
      </w:pPr>
      <w:r>
        <w:rPr>
          <w:b/>
          <w:bCs/>
        </w:rPr>
        <w:t>Генеральный подрядчик</w:t>
      </w:r>
      <w:r>
        <w:rP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pPr>
        <w:pStyle w:val="Style28"/>
        <w:ind w:firstLine="567"/>
        <w:rPr/>
      </w:pPr>
      <w:r>
        <w:rPr>
          <w:b/>
          <w:bCs/>
        </w:rPr>
        <w:t>Документация о закупке</w:t>
      </w:r>
      <w:r>
        <w:rPr/>
        <w:t xml:space="preserve"> – комплект документов, содержащий всю необходимую согласно законодательству информацию о закупке и условиях ее проведения.</w:t>
      </w:r>
    </w:p>
    <w:p>
      <w:pPr>
        <w:pStyle w:val="Style28"/>
        <w:ind w:firstLine="567"/>
        <w:rPr/>
      </w:pPr>
      <w:r>
        <w:rPr>
          <w:b/>
          <w:bCs/>
        </w:rPr>
        <w:t>Единая информационная система в сфере закупок</w:t>
      </w:r>
      <w:r>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pPr>
        <w:pStyle w:val="Style28"/>
        <w:ind w:firstLine="567"/>
        <w:rPr/>
      </w:pPr>
      <w:r>
        <w:rPr>
          <w:b/>
          <w:bCs/>
        </w:rPr>
        <w:t>Единый реестр субъектов малого и среднего предпринимательства</w:t>
      </w:r>
      <w:r>
        <w:rP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pPr>
        <w:pStyle w:val="Style28"/>
        <w:ind w:firstLine="567"/>
        <w:rPr/>
      </w:pPr>
      <w:r>
        <w:rPr>
          <w:b/>
          <w:bCs/>
        </w:rPr>
        <w:t>Заказчик</w:t>
      </w:r>
      <w:r>
        <w:rPr/>
        <w:t xml:space="preserve"> – юридическое лицо, в интересах и за счет средств, которого осуществляется закупка.</w:t>
      </w:r>
    </w:p>
    <w:p>
      <w:pPr>
        <w:pStyle w:val="Style28"/>
        <w:ind w:firstLine="567"/>
        <w:rPr/>
      </w:pPr>
      <w:r>
        <w:rPr>
          <w:b/>
          <w:bCs/>
        </w:rPr>
        <w:t>Закупка</w:t>
      </w:r>
      <w:r>
        <w:rP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pPr>
        <w:pStyle w:val="Style28"/>
        <w:ind w:firstLine="567"/>
        <w:rPr/>
      </w:pPr>
      <w:r>
        <w:rPr>
          <w:b/>
          <w:bCs/>
        </w:rPr>
        <w:t>Закупочная комиссия</w:t>
      </w:r>
      <w:r>
        <w:rPr/>
        <w:t xml:space="preserve"> – коллегиальный орган, принимающий решения о ходе проведения соответствующей закупки (в том числе по выбору ее победителя).</w:t>
      </w:r>
    </w:p>
    <w:p>
      <w:pPr>
        <w:pStyle w:val="Style28"/>
        <w:ind w:firstLine="567"/>
        <w:rPr/>
      </w:pPr>
      <w:r>
        <w:rPr>
          <w:b/>
          <w:bCs/>
        </w:rPr>
        <w:t>Заявка (заявка на участие в закупке)</w:t>
      </w:r>
      <w:r>
        <w:rP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pPr>
        <w:pStyle w:val="Style28"/>
        <w:ind w:firstLine="567"/>
        <w:rPr/>
      </w:pPr>
      <w:r>
        <w:rPr>
          <w:b/>
          <w:bCs/>
        </w:rPr>
        <w:t>Заявка на аккредитацию</w:t>
      </w:r>
      <w:r>
        <w:rPr/>
        <w:t xml:space="preserve"> – сведения, которые Заявитель предоставляет в установленном Положением об аккредитации порядке для прохождения аккредитации.</w:t>
      </w:r>
    </w:p>
    <w:p>
      <w:pPr>
        <w:pStyle w:val="Style28"/>
        <w:ind w:firstLine="567"/>
        <w:rPr>
          <w:szCs w:val="26"/>
        </w:rPr>
      </w:pPr>
      <w:r>
        <w:rPr>
          <w:b/>
          <w:bCs/>
        </w:rPr>
        <w:t>Извещение о закупке (Извещение)</w:t>
      </w:r>
      <w:r>
        <w:rP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pPr>
        <w:pStyle w:val="Style28"/>
        <w:ind w:firstLine="567"/>
        <w:rPr/>
      </w:pPr>
      <w:r>
        <w:rPr>
          <w:b/>
          <w:bCs/>
        </w:rPr>
        <w:t>Интеллектуальные системы управления электросетевым хозяйством</w:t>
      </w:r>
      <w:r>
        <w:rP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pPr>
        <w:pStyle w:val="Style28"/>
        <w:ind w:firstLine="567"/>
        <w:rPr/>
      </w:pPr>
      <w:r>
        <w:rPr>
          <w:b/>
          <w:bCs/>
        </w:rPr>
        <w:t>Коллективный участник</w:t>
      </w:r>
      <w:r>
        <w:rPr/>
        <w:t xml:space="preserve"> – объединение юридических и (или) физических лиц, в том числе индивидуальных предпринимателей, выступающих на стороне одного Участника и несущих солидарную ответственность по обязательствам, вытекающим из участия в закупке и дальнейшего заключения и исполнения договора.</w:t>
      </w:r>
    </w:p>
    <w:p>
      <w:pPr>
        <w:pStyle w:val="Style28"/>
        <w:ind w:firstLine="567"/>
        <w:rPr/>
      </w:pPr>
      <w:r>
        <w:rPr>
          <w:b/>
          <w:bCs/>
        </w:rPr>
        <w:t>Лот</w:t>
      </w:r>
      <w:r>
        <w:rPr/>
        <w:t xml:space="preserve"> – продукция, на которую в рамках закупки допускаются подача отдельного предложения и заключение отдельного договора.</w:t>
      </w:r>
    </w:p>
    <w:p>
      <w:pPr>
        <w:pStyle w:val="Style28"/>
        <w:ind w:firstLine="567"/>
        <w:rPr/>
      </w:pPr>
      <w:r>
        <w:rPr>
          <w:b/>
          <w:bCs/>
        </w:rPr>
        <w:t>Мониторинг аккредитованных поставщиков</w:t>
      </w:r>
      <w:r>
        <w:rP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28"/>
        <w:ind w:firstLine="567"/>
        <w:rPr/>
      </w:pPr>
      <w:r>
        <w:rPr>
          <w:b/>
          <w:bCs/>
        </w:rPr>
        <w:t>Начальная (максимальная) цена договора</w:t>
      </w:r>
      <w:r>
        <w:rP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pPr>
        <w:pStyle w:val="Style28"/>
        <w:ind w:firstLine="567"/>
        <w:rPr/>
      </w:pPr>
      <w:r>
        <w:rPr>
          <w:b/>
          <w:bCs/>
        </w:rPr>
        <w:t>Оператор электронной площадки</w:t>
      </w:r>
      <w:r>
        <w:rP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pPr>
        <w:pStyle w:val="Style28"/>
        <w:ind w:firstLine="567"/>
        <w:rPr/>
      </w:pPr>
      <w:r>
        <w:rPr>
          <w:b/>
          <w:bCs/>
        </w:rPr>
        <w:t>Организатор</w:t>
      </w:r>
      <w:r>
        <w:rPr/>
        <w:t xml:space="preserve"> – Заказчик или действующее по договору с ним юридическое лицо, выступающее Сторонним организатором закупки.</w:t>
      </w:r>
    </w:p>
    <w:p>
      <w:pPr>
        <w:pStyle w:val="Style28"/>
        <w:ind w:firstLine="567"/>
        <w:rPr/>
      </w:pPr>
      <w:r>
        <w:rPr>
          <w:b/>
          <w:bCs/>
        </w:rPr>
        <w:t>Официальное размещение</w:t>
      </w:r>
      <w:r>
        <w:rPr/>
        <w:t xml:space="preserve"> – размещение информации о закупке на ЭП.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pPr>
        <w:pStyle w:val="Style28"/>
        <w:ind w:firstLine="567"/>
        <w:rPr/>
      </w:pPr>
      <w:r>
        <w:rPr>
          <w:b/>
          <w:bCs/>
        </w:rPr>
        <w:t>Переторжка</w:t>
      </w:r>
      <w:r>
        <w:rPr/>
        <w:t xml:space="preserve"> – опциональный этап закупки, представляющий собой процедуру подачи Участниками дополнительных предложений с целью повысить их предпочтительность для Заказчика.</w:t>
      </w:r>
    </w:p>
    <w:p>
      <w:pPr>
        <w:pStyle w:val="Style28"/>
        <w:ind w:firstLine="567"/>
        <w:rPr>
          <w:szCs w:val="26"/>
        </w:rPr>
      </w:pPr>
      <w:r>
        <w:rPr>
          <w:b/>
          <w:bCs/>
          <w:szCs w:val="26"/>
        </w:rPr>
        <w:t>Победитель</w:t>
      </w:r>
      <w:r>
        <w:rPr>
          <w:szCs w:val="26"/>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(или единственного критерия оценки, если условия закупки не предполагают два и более критерия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pPr>
        <w:pStyle w:val="Style28"/>
        <w:ind w:firstLine="567"/>
        <w:rPr/>
      </w:pPr>
      <w:r>
        <w:rPr>
          <w:b/>
          <w:bCs/>
        </w:rPr>
        <w:t>Поставщик</w:t>
      </w:r>
      <w:r>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pPr>
        <w:pStyle w:val="Style28"/>
        <w:ind w:firstLine="567"/>
        <w:rPr/>
      </w:pPr>
      <w:r>
        <w:rPr>
          <w:b/>
          <w:bCs/>
        </w:rPr>
        <w:t>Постквалификация</w:t>
      </w:r>
      <w:r>
        <w:rPr/>
        <w:t xml:space="preserve"> – процедура дополнительной проверки Участника перед выбором его Победителем на подтверждения его соответствия квалификационным требованиям, установленным в Документации о закупке.</w:t>
      </w:r>
    </w:p>
    <w:p>
      <w:pPr>
        <w:pStyle w:val="Style28"/>
        <w:ind w:firstLine="567"/>
        <w:rPr/>
      </w:pPr>
      <w:r>
        <w:rPr>
          <w:b/>
          <w:bCs/>
        </w:rPr>
        <w:t>Предмет закупки / предмет договора</w:t>
      </w:r>
      <w:r>
        <w:rPr/>
        <w:t xml:space="preserve"> – конкретная продукция, которую предполагается закупить в объеме и на условиях, определенных Заказчиком.</w:t>
      </w:r>
    </w:p>
    <w:p>
      <w:pPr>
        <w:pStyle w:val="Style28"/>
        <w:ind w:firstLine="567"/>
        <w:rPr/>
      </w:pPr>
      <w:r>
        <w:rPr>
          <w:b/>
          <w:bCs/>
        </w:rPr>
        <w:t>Преференция</w:t>
      </w:r>
      <w:r>
        <w:rP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p>
    <w:p>
      <w:pPr>
        <w:pStyle w:val="Style28"/>
        <w:ind w:firstLine="567"/>
        <w:rPr/>
      </w:pPr>
      <w:r>
        <w:rPr>
          <w:b/>
          <w:bCs/>
        </w:rPr>
        <w:t>Применение законодательства о национальном режиме</w:t>
      </w:r>
      <w:r>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pPr>
        <w:pStyle w:val="Style28"/>
        <w:ind w:firstLine="567"/>
        <w:rPr/>
      </w:pPr>
      <w:r>
        <w:rPr>
          <w:b/>
          <w:bCs/>
        </w:rPr>
        <w:t>Программное обеспечение</w:t>
      </w:r>
      <w:r>
        <w:rP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pPr>
        <w:pStyle w:val="Style28"/>
        <w:ind w:firstLine="567"/>
        <w:rPr/>
      </w:pPr>
      <w:r>
        <w:rPr>
          <w:b/>
          <w:bCs/>
        </w:rPr>
        <w:t>Продукция</w:t>
      </w:r>
      <w:r>
        <w:rP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pPr>
        <w:pStyle w:val="Style28"/>
        <w:ind w:firstLine="567"/>
        <w:rPr/>
      </w:pPr>
      <w:r>
        <w:rPr>
          <w:b/>
          <w:bCs/>
        </w:rPr>
        <w:t>Реестр аккредитации</w:t>
      </w:r>
      <w:r>
        <w:rPr/>
        <w:t xml:space="preserve"> – перечень лиц – Заявителей, подававших Заявки на аккредитацию с указанием в отношении них результатов процедуры аккредитации.</w:t>
      </w:r>
    </w:p>
    <w:p>
      <w:pPr>
        <w:pStyle w:val="Style28"/>
        <w:ind w:firstLine="567"/>
        <w:rPr/>
      </w:pPr>
      <w:r>
        <w:rPr>
          <w:b/>
          <w:bCs/>
        </w:rPr>
        <w:t>Субъект малого и среднего предпринимательства</w:t>
      </w:r>
      <w:r>
        <w:rP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FootnoteReference"/>
        </w:rPr>
        <w:footnoteReference w:id="3"/>
      </w:r>
      <w:r>
        <w:rPr/>
        <w:t>, если иное не установлено в Документации о закупке.</w:t>
      </w:r>
    </w:p>
    <w:p>
      <w:pPr>
        <w:pStyle w:val="Style28"/>
        <w:ind w:firstLine="567"/>
        <w:rPr/>
      </w:pPr>
      <w:r>
        <w:rPr>
          <w:b/>
          <w:bCs/>
        </w:rPr>
        <w:t>Уполномоченное лицо</w:t>
      </w:r>
      <w:r>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pPr>
        <w:pStyle w:val="Style28"/>
        <w:ind w:firstLine="567"/>
        <w:rPr/>
      </w:pPr>
      <w:r>
        <w:rPr>
          <w:b/>
          <w:bCs/>
        </w:rPr>
        <w:t>Участник</w:t>
      </w:r>
      <w:r>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pPr>
        <w:pStyle w:val="Style22"/>
        <w:rPr/>
      </w:pPr>
      <w:bookmarkStart w:id="2" w:name="_Ref125359988"/>
      <w:bookmarkStart w:id="3" w:name="_Toc186224272"/>
      <w:r>
        <w:rPr/>
        <w:t>Основные сведения о закупке</w:t>
      </w:r>
      <w:bookmarkEnd w:id="2"/>
      <w:bookmarkEnd w:id="3"/>
    </w:p>
    <w:p>
      <w:pPr>
        <w:pStyle w:val="Style23"/>
        <w:rPr/>
      </w:pPr>
      <w:bookmarkStart w:id="4" w:name="_Toc186224273"/>
      <w:r>
        <w:rPr/>
        <w:t>Статус настоящего раздела</w:t>
      </w:r>
      <w:bookmarkEnd w:id="4"/>
    </w:p>
    <w:p>
      <w:pPr>
        <w:pStyle w:val="Style24"/>
        <w:rPr/>
      </w:pPr>
      <w:r>
        <w:rPr/>
        <w:t>В настоящем разделе содержатся основные сведения о предмете, способе и иных ключевых условиях проводимой закупки.</w:t>
      </w:r>
    </w:p>
    <w:p>
      <w:pPr>
        <w:pStyle w:val="Style24"/>
        <w:rPr/>
      </w:pPr>
      <w:r>
        <w:rP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Style13"/>
          </w:rPr>
          <w:t>Технических требованиях (Приложение № 1)</w:t>
        </w:r>
      </w:hyperlink>
      <w:r>
        <w:rPr>
          <w:rStyle w:val="Style13"/>
        </w:rPr>
        <w:t>,</w:t>
      </w:r>
      <w:r>
        <w:rPr/>
        <w:t xml:space="preserve"> в </w:t>
      </w:r>
      <w:hyperlink w:anchor="Прил02_ПроектДоговора">
        <w:r>
          <w:rPr>
            <w:rStyle w:val="Style13"/>
          </w:rPr>
          <w:t>Проекте договора (Приложение № 2)</w:t>
        </w:r>
      </w:hyperlink>
      <w:r>
        <w:rP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pPr>
        <w:pStyle w:val="Style24"/>
        <w:rPr/>
      </w:pPr>
      <w:bookmarkStart w:id="5" w:name="_Ref136768031"/>
      <w:r>
        <w:rPr/>
        <w:t>Информация о проводимой закупке, указанная в подразделе </w:t>
      </w:r>
      <w:r>
        <w:rPr/>
        <w:fldChar w:fldCharType="begin"/>
      </w:r>
      <w:r>
        <w:rPr/>
        <w:instrText xml:space="preserve"> REF _Ref125359973 \r \h </w:instrText>
      </w:r>
      <w:r>
        <w:rPr/>
        <w:fldChar w:fldCharType="separate"/>
      </w:r>
      <w:r>
        <w:rPr/>
        <w:t>1.2</w:t>
      </w:r>
      <w:r>
        <w:rPr/>
        <w:fldChar w:fldCharType="end"/>
      </w:r>
      <w:r>
        <w:rPr/>
        <w:t>, в объеме, определенном частью 9 статьи 4 Закона 223-ФЗ, составляет Извещение о закупке.</w:t>
      </w:r>
      <w:bookmarkEnd w:id="5"/>
    </w:p>
    <w:p>
      <w:pPr>
        <w:pStyle w:val="Style23"/>
        <w:spacing w:before="360" w:after="120"/>
        <w:rPr/>
      </w:pPr>
      <w:bookmarkStart w:id="6" w:name="_Ref125359973"/>
      <w:bookmarkStart w:id="7" w:name="_Ref127270076"/>
      <w:bookmarkStart w:id="8" w:name="_Toc186224274"/>
      <w:r>
        <w:rPr/>
        <w:t>Информация о проводимой закупке</w:t>
      </w:r>
      <w:bookmarkEnd w:id="6"/>
      <w:bookmarkEnd w:id="7"/>
      <w:bookmarkEnd w:id="8"/>
    </w:p>
    <w:tbl>
      <w:tblPr>
        <w:tblStyle w:val="af5"/>
        <w:tblW w:w="9754"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836"/>
        <w:gridCol w:w="3242"/>
        <w:gridCol w:w="5676"/>
      </w:tblGrid>
      <w:tr>
        <w:trPr>
          <w:cnfStyle w:val="100000000000" w:firstRow="1" w:lastRow="0" w:firstColumn="0" w:lastColumn="0" w:oddVBand="0" w:evenVBand="0" w:oddHBand="0" w:evenHBand="0" w:firstRowFirstColumn="0" w:firstRowLastColumn="0" w:lastRowFirstColumn="0" w:lastRowLastColumn="0"/>
        </w:trPr>
        <w:tc>
          <w:tcPr>
            <w:tcW w:w="836"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3242"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пункта</w:t>
            </w:r>
          </w:p>
        </w:tc>
        <w:tc>
          <w:tcPr>
            <w:tcW w:w="5676"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Содержание пункта</w:t>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9" w:name="_Ref125360980"/>
            <w:bookmarkStart w:id="10" w:name="_Ref125360980"/>
            <w:bookmarkEnd w:id="10"/>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Способ закупки:</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Состязательный отбор в электронной форме, участниками которого могут быть только субъекты МСП.</w:t>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1" w:name="_Ref125360996"/>
            <w:bookmarkStart w:id="12" w:name="_Ref125360996"/>
            <w:bookmarkEnd w:id="12"/>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Предмет Договора</w:t>
              <w:br/>
              <w:t>(в том числе номер лота):</w:t>
            </w:r>
          </w:p>
        </w:tc>
        <w:tc>
          <w:tcPr>
            <w:tcW w:w="5676" w:type="dxa"/>
            <w:tcBorders/>
          </w:tcPr>
          <w:p>
            <w:pPr>
              <w:pStyle w:val="Style28"/>
              <w:widowControl w:val="false"/>
              <w:suppressAutoHyphens w:val="true"/>
              <w:spacing w:before="60" w:after="60"/>
              <w:rPr/>
            </w:pPr>
            <w:r>
              <w:rPr>
                <w:rFonts w:eastAsia="Calibri" w:cs=""/>
                <w:kern w:val="0"/>
                <w:sz w:val="26"/>
                <w:szCs w:val="22"/>
                <w:lang w:val="ru-RU" w:eastAsia="en-US" w:bidi="ar-SA"/>
              </w:rPr>
              <w:t>Лот № 35-ЭКСП-БПД</w:t>
            </w:r>
            <w:r>
              <w:rPr>
                <w:rFonts w:eastAsia="Calibri" w:cs=""/>
                <w:i w:val="false"/>
                <w:iCs w:val="false"/>
                <w:kern w:val="0"/>
                <w:sz w:val="26"/>
                <w:szCs w:val="26"/>
                <w:lang w:val="ru-RU" w:eastAsia="en-US" w:bidi="ar-SA"/>
              </w:rPr>
              <w:t>-2026-БурГЭС «ОКПД2 27.90.40.190 Поставка комплектующих для систем автоматики и возбуждения для нужд филиала ПАО "РусГидро"-"Бурейская ГЭС"»</w:t>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3" w:name="_Ref135729276"/>
            <w:bookmarkStart w:id="14" w:name="_Ref135729276"/>
            <w:bookmarkEnd w:id="14"/>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Описание</w:t>
              <w:br/>
              <w:t>предмета закупки:</w:t>
            </w:r>
          </w:p>
        </w:tc>
        <w:tc>
          <w:tcPr>
            <w:tcW w:w="5676" w:type="dxa"/>
            <w:tcBorders/>
          </w:tcPr>
          <w:p>
            <w:pPr>
              <w:pStyle w:val="Style28"/>
              <w:widowControl w:val="false"/>
              <w:suppressAutoHyphens w:val="true"/>
              <w:spacing w:before="60" w:after="60"/>
              <w:rPr/>
            </w:pPr>
            <w:r>
              <w:rPr>
                <w:rFonts w:eastAsia="Calibri" w:cs=""/>
                <w:kern w:val="0"/>
                <w:sz w:val="26"/>
                <w:szCs w:val="22"/>
                <w:lang w:val="ru-RU" w:eastAsia="en-US" w:bidi="ar-SA"/>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r>
                <w:rPr>
                  <w:rStyle w:val="Style13"/>
                  <w:rFonts w:eastAsia="Calibri" w:cs=""/>
                  <w:kern w:val="0"/>
                  <w:sz w:val="26"/>
                  <w:szCs w:val="22"/>
                  <w:lang w:val="ru-RU" w:eastAsia="en-US" w:bidi="ar-SA"/>
                </w:rPr>
                <w:t>Технических требованиях (Приложении № 1)</w:t>
              </w:r>
            </w:hyperlink>
            <w:r>
              <w:rPr>
                <w:rFonts w:eastAsia="Calibri" w:cs=""/>
                <w:kern w:val="0"/>
                <w:sz w:val="26"/>
                <w:szCs w:val="22"/>
                <w:lang w:val="ru-RU" w:eastAsia="en-US" w:bidi="ar-SA"/>
              </w:rPr>
              <w:t>.</w:t>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5" w:name="_Ref125367124"/>
            <w:bookmarkStart w:id="16" w:name="_Ref125367124"/>
            <w:bookmarkEnd w:id="16"/>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Многолотовая закупка:</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Нет.</w:t>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7" w:name="_Ref125360764"/>
            <w:bookmarkStart w:id="18" w:name="_Ref125360764"/>
            <w:bookmarkEnd w:id="18"/>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Наименование и адрес ЭП, на которой проводится закупка:</w:t>
            </w:r>
          </w:p>
        </w:tc>
        <w:tc>
          <w:tcPr>
            <w:tcW w:w="5676" w:type="dxa"/>
            <w:tcBorders/>
          </w:tcPr>
          <w:p>
            <w:pPr>
              <w:pStyle w:val="Style28"/>
              <w:widowControl w:val="false"/>
              <w:suppressAutoHyphens w:val="true"/>
              <w:spacing w:before="60" w:after="60"/>
              <w:rPr/>
            </w:pPr>
            <w:r>
              <w:rPr>
                <w:rFonts w:eastAsia="Calibri" w:cs=""/>
                <w:kern w:val="0"/>
                <w:sz w:val="26"/>
                <w:szCs w:val="22"/>
                <w:lang w:val="ru-RU" w:eastAsia="en-US" w:bidi="ar-SA"/>
              </w:rPr>
              <w:t>Электронная (торговая) площадка: Электронная (торговая) площадка: АО «Российский аукционный дом» https://tender.lot-online.ru</w:t>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9" w:name="_Ref125360970"/>
            <w:bookmarkStart w:id="20" w:name="_Ref125360970"/>
            <w:bookmarkEnd w:id="20"/>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Участники:</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pPr>
              <w:pStyle w:val="Style28"/>
              <w:widowControl w:val="false"/>
              <w:suppressAutoHyphens w:val="true"/>
              <w:spacing w:before="60" w:after="60"/>
              <w:rPr/>
            </w:pPr>
            <w:r>
              <w:rPr>
                <w:rFonts w:eastAsia="Calibri" w:cs=""/>
                <w:kern w:val="0"/>
                <w:sz w:val="26"/>
                <w:szCs w:val="22"/>
                <w:lang w:val="ru-RU" w:eastAsia="en-US" w:bidi="ar-SA"/>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r>
                <w:rPr>
                  <w:rStyle w:val="Style13"/>
                  <w:rFonts w:eastAsia="Calibri" w:cs=""/>
                  <w:kern w:val="0"/>
                  <w:sz w:val="26"/>
                  <w:szCs w:val="22"/>
                  <w:lang w:val="ru-RU" w:eastAsia="en-US" w:bidi="ar-SA"/>
                </w:rPr>
                <w:t>Проекта Договора (Приложение № 2)</w:t>
              </w:r>
            </w:hyperlink>
            <w:r>
              <w:rPr>
                <w:rFonts w:eastAsia="Calibri" w:cs=""/>
                <w:kern w:val="0"/>
                <w:sz w:val="26"/>
                <w:szCs w:val="22"/>
                <w:lang w:val="ru-RU" w:eastAsia="en-US" w:bidi="ar-SA"/>
              </w:rPr>
              <w:t xml:space="preserve"> прямого запрета на привлечение к исполнению обязательств по Договору третьих лиц).</w:t>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1" w:name="_Ref125360988"/>
            <w:bookmarkStart w:id="22" w:name="_Ref125360988"/>
            <w:bookmarkEnd w:id="22"/>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Заказчик:</w:t>
            </w:r>
          </w:p>
        </w:tc>
        <w:tc>
          <w:tcPr>
            <w:tcW w:w="5676" w:type="dxa"/>
            <w:tcBorders/>
          </w:tcPr>
          <w:p>
            <w:pPr>
              <w:pStyle w:val="Tableheader"/>
              <w:widowControl w:val="false"/>
              <w:suppressAutoHyphens w:val="true"/>
              <w:spacing w:before="120" w:after="60"/>
              <w:jc w:val="left"/>
              <w:rPr>
                <w:b w:val="false"/>
                <w:sz w:val="26"/>
                <w:szCs w:val="26"/>
              </w:rPr>
            </w:pPr>
            <w:r>
              <w:rPr>
                <w:rFonts w:eastAsia="Calibri" w:cs=""/>
                <w:b w:val="false"/>
                <w:kern w:val="0"/>
                <w:sz w:val="26"/>
                <w:szCs w:val="26"/>
                <w:lang w:val="ru-RU" w:eastAsia="en-US" w:bidi="ar-SA"/>
              </w:rPr>
              <w:t>Наименование (полное и сокращенное): Публичное акционерное общество «Федеральная гидрогенерирующая компания – РусГидро»; ПАО «РусГидро»</w:t>
            </w:r>
          </w:p>
          <w:p>
            <w:pPr>
              <w:pStyle w:val="Tableheader"/>
              <w:widowControl w:val="false"/>
              <w:suppressAutoHyphens w:val="true"/>
              <w:spacing w:before="120" w:after="60"/>
              <w:jc w:val="left"/>
              <w:rPr>
                <w:b w:val="false"/>
                <w:sz w:val="26"/>
                <w:szCs w:val="26"/>
              </w:rPr>
            </w:pPr>
            <w:r>
              <w:rPr>
                <w:rFonts w:eastAsia="Calibri" w:cs=""/>
                <w:b w:val="false"/>
                <w:kern w:val="0"/>
                <w:sz w:val="26"/>
                <w:szCs w:val="26"/>
                <w:lang w:val="ru-RU" w:eastAsia="en-US" w:bidi="ar-SA"/>
              </w:rPr>
              <w:t>Место нахождения: 660049, Россия, Красноярский край,  г.о. город Красноярск, ул. Перенсона, зд. 2А, помещ.1</w:t>
            </w:r>
          </w:p>
          <w:p>
            <w:pPr>
              <w:pStyle w:val="Tableheader"/>
              <w:widowControl w:val="false"/>
              <w:suppressAutoHyphens w:val="true"/>
              <w:spacing w:before="120" w:after="60"/>
              <w:jc w:val="left"/>
              <w:rPr>
                <w:b w:val="false"/>
                <w:sz w:val="26"/>
                <w:szCs w:val="26"/>
              </w:rPr>
            </w:pPr>
            <w:r>
              <w:rPr>
                <w:rFonts w:eastAsia="Calibri" w:cs=""/>
                <w:b w:val="false"/>
                <w:kern w:val="0"/>
                <w:sz w:val="26"/>
                <w:szCs w:val="26"/>
                <w:lang w:val="ru-RU" w:eastAsia="en-US" w:bidi="ar-SA"/>
              </w:rPr>
              <w:t>Почтовый адрес: 660049, Россия, Красноярский край,  г.о. город Красноярск, ул. Перенсона, зд. 2А, помещ.1</w:t>
            </w:r>
          </w:p>
          <w:p>
            <w:pPr>
              <w:pStyle w:val="Tableheader"/>
              <w:widowControl w:val="false"/>
              <w:suppressAutoHyphens w:val="true"/>
              <w:spacing w:before="120" w:after="60"/>
              <w:jc w:val="left"/>
              <w:rPr>
                <w:b w:val="false"/>
                <w:sz w:val="26"/>
                <w:szCs w:val="26"/>
              </w:rPr>
            </w:pPr>
            <w:r>
              <w:rPr>
                <w:rFonts w:eastAsia="Calibri" w:cs=""/>
                <w:b w:val="false"/>
                <w:kern w:val="0"/>
                <w:sz w:val="26"/>
                <w:szCs w:val="26"/>
                <w:lang w:val="ru-RU" w:eastAsia="en-US" w:bidi="ar-SA"/>
              </w:rPr>
              <w:t xml:space="preserve">Адрес электронной почты: </w:t>
            </w:r>
            <w:hyperlink r:id="rId3">
              <w:r>
                <w:rPr>
                  <w:rStyle w:val="Hyperlink"/>
                  <w:rFonts w:eastAsia="Calibri" w:cs=""/>
                  <w:b w:val="false"/>
                  <w:kern w:val="0"/>
                  <w:sz w:val="26"/>
                  <w:szCs w:val="26"/>
                  <w:lang w:val="ru-RU" w:eastAsia="en-US" w:bidi="ar-SA"/>
                </w:rPr>
                <w:t>OFFICE@RUSHYDRO.RU</w:t>
              </w:r>
            </w:hyperlink>
            <w:r>
              <w:rPr>
                <w:rFonts w:eastAsia="Calibri" w:cs=""/>
                <w:b w:val="false"/>
                <w:kern w:val="0"/>
                <w:sz w:val="26"/>
                <w:szCs w:val="26"/>
                <w:lang w:val="ru-RU" w:eastAsia="en-US" w:bidi="ar-SA"/>
              </w:rPr>
              <w:t xml:space="preserve"> </w:t>
            </w:r>
          </w:p>
          <w:p>
            <w:pPr>
              <w:pStyle w:val="Normal"/>
              <w:widowControl w:val="false"/>
              <w:tabs>
                <w:tab w:val="clear" w:pos="720"/>
                <w:tab w:val="left" w:pos="426" w:leader="none"/>
              </w:tabs>
              <w:suppressAutoHyphens w:val="true"/>
              <w:spacing w:before="120" w:after="120"/>
              <w:jc w:val="left"/>
              <w:rPr/>
            </w:pPr>
            <w:r>
              <w:rPr>
                <w:rStyle w:val="Style10"/>
                <w:rFonts w:eastAsia="Calibri" w:cs=""/>
                <w:i w:val="false"/>
                <w:iCs w:val="false"/>
                <w:color w:val="000000"/>
                <w:kern w:val="0"/>
                <w:sz w:val="26"/>
                <w:szCs w:val="26"/>
                <w:shd w:fill="FFFFFF" w:val="clear"/>
                <w:lang w:val="ru-RU" w:eastAsia="en-US" w:bidi="ar-SA"/>
              </w:rPr>
              <w:t>Контактный телефон: 8 (495) 225-32-32</w:t>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3" w:name="_Ref125360954"/>
            <w:bookmarkStart w:id="24" w:name="_Ref125360954"/>
            <w:bookmarkEnd w:id="24"/>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Организатор:</w:t>
            </w:r>
          </w:p>
        </w:tc>
        <w:tc>
          <w:tcPr>
            <w:tcW w:w="5676" w:type="dxa"/>
            <w:tcBorders/>
          </w:tcPr>
          <w:p>
            <w:pPr>
              <w:pStyle w:val="Tableheader"/>
              <w:widowControl w:val="false"/>
              <w:suppressAutoHyphens w:val="true"/>
              <w:spacing w:before="120" w:after="60"/>
              <w:jc w:val="left"/>
              <w:rPr>
                <w:b w:val="false"/>
                <w:sz w:val="26"/>
                <w:szCs w:val="26"/>
              </w:rPr>
            </w:pPr>
            <w:r>
              <w:rPr>
                <w:rFonts w:eastAsia="Calibri" w:cs=""/>
                <w:b w:val="false"/>
                <w:kern w:val="0"/>
                <w:sz w:val="26"/>
                <w:szCs w:val="26"/>
                <w:lang w:val="ru-RU" w:eastAsia="en-US" w:bidi="ar-SA"/>
              </w:rPr>
              <w:t>Наименование (полное и сокращенное): Филиал Публичного акционерного общества "Федеральная гидрогенерирующая компания - РусГидро" - "Бурейская ГЭС"; Филиал ПАО "РусГидро" - "Бурейская ГЭС"</w:t>
            </w:r>
          </w:p>
          <w:p>
            <w:pPr>
              <w:pStyle w:val="Tableheader"/>
              <w:widowControl w:val="false"/>
              <w:suppressAutoHyphens w:val="true"/>
              <w:spacing w:before="120" w:after="60"/>
              <w:jc w:val="left"/>
              <w:rPr>
                <w:b w:val="false"/>
                <w:sz w:val="26"/>
                <w:szCs w:val="26"/>
              </w:rPr>
            </w:pPr>
            <w:r>
              <w:rPr>
                <w:rFonts w:eastAsia="Calibri" w:cs=""/>
                <w:b w:val="false"/>
                <w:kern w:val="0"/>
                <w:sz w:val="26"/>
                <w:szCs w:val="26"/>
                <w:lang w:val="ru-RU" w:eastAsia="en-US" w:bidi="ar-SA"/>
              </w:rPr>
              <w:t>Место нахождения: 676730, Амурская область, Бурейский район, пос. Талакан</w:t>
            </w:r>
          </w:p>
          <w:p>
            <w:pPr>
              <w:pStyle w:val="Tableheader"/>
              <w:widowControl w:val="false"/>
              <w:suppressAutoHyphens w:val="true"/>
              <w:spacing w:before="120" w:after="60"/>
              <w:jc w:val="left"/>
              <w:rPr>
                <w:b w:val="false"/>
                <w:sz w:val="26"/>
                <w:szCs w:val="26"/>
              </w:rPr>
            </w:pPr>
            <w:r>
              <w:rPr>
                <w:rFonts w:eastAsia="Calibri" w:cs=""/>
                <w:b w:val="false"/>
                <w:kern w:val="0"/>
                <w:sz w:val="26"/>
                <w:szCs w:val="26"/>
                <w:lang w:val="ru-RU" w:eastAsia="en-US" w:bidi="ar-SA"/>
              </w:rPr>
              <w:t>Почтовый адрес: 676730, Амурская область, Бурейский район, пос. Талакан</w:t>
            </w:r>
          </w:p>
          <w:p>
            <w:pPr>
              <w:pStyle w:val="Style28"/>
              <w:keepNext w:val="true"/>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Адрес электронной почты:</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hyperlink r:id="rId4">
              <w:r>
                <w:rPr>
                  <w:rStyle w:val="Hyperlink"/>
                  <w:rFonts w:eastAsia="Calibri" w:cs=""/>
                  <w:kern w:val="0"/>
                  <w:sz w:val="26"/>
                  <w:szCs w:val="22"/>
                  <w:lang w:val="ru-RU" w:eastAsia="en-US" w:bidi="ar-SA"/>
                </w:rPr>
                <w:t>OsadchayaEM@rushydro.ru</w:t>
              </w:r>
            </w:hyperlink>
            <w:r>
              <w:rPr>
                <w:rStyle w:val="Hyperlink"/>
                <w:rFonts w:eastAsia="Calibri" w:cs=""/>
                <w:kern w:val="0"/>
                <w:sz w:val="26"/>
                <w:szCs w:val="22"/>
                <w:lang w:val="ru-RU" w:eastAsia="en-US" w:bidi="ar-SA"/>
              </w:rPr>
              <w:t xml:space="preserve"> </w:t>
            </w:r>
          </w:p>
          <w:p>
            <w:pPr>
              <w:pStyle w:val="Style28"/>
              <w:keepNext w:val="true"/>
              <w:widowControl w:val="false"/>
              <w:suppressAutoHyphens w:val="true"/>
              <w:spacing w:before="60" w:after="60"/>
              <w:rPr>
                <w:rFonts w:ascii="Times New Roman" w:hAnsi="Times New Roman" w:eastAsia="Calibri" w:cs=""/>
                <w:kern w:val="0"/>
                <w:sz w:val="26"/>
                <w:szCs w:val="22"/>
                <w:lang w:val="ru-RU" w:eastAsia="en-US" w:bidi="ar-SA"/>
              </w:rPr>
            </w:pPr>
            <w:r>
              <w:rPr>
                <w:rStyle w:val="Style10"/>
                <w:rFonts w:eastAsia="Calibri" w:cs=""/>
                <w:b w:val="false"/>
                <w:i w:val="false"/>
                <w:iCs w:val="false"/>
                <w:color w:val="000000"/>
                <w:kern w:val="0"/>
                <w:sz w:val="26"/>
                <w:szCs w:val="22"/>
                <w:shd w:fill="FFFFFF" w:val="clear"/>
                <w:lang w:val="ru-RU" w:eastAsia="en-US" w:bidi="ar-SA"/>
              </w:rPr>
              <w:t xml:space="preserve">Контактный телефон: </w:t>
            </w:r>
            <w:r>
              <w:rPr>
                <w:rStyle w:val="Emphasis"/>
                <w:rFonts w:eastAsia="Calibri" w:cs=""/>
                <w:b w:val="false"/>
                <w:i w:val="false"/>
                <w:iCs w:val="false"/>
                <w:color w:val="000000"/>
                <w:kern w:val="0"/>
                <w:sz w:val="26"/>
                <w:szCs w:val="26"/>
                <w:shd w:fill="FFFFFF" w:val="clear"/>
                <w:lang w:val="ru-RU" w:eastAsia="en-US" w:bidi="ar-SA"/>
              </w:rPr>
              <w:t>8(41634)28333,  доп. 26-31</w:t>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5" w:name="_Ref125361238"/>
            <w:bookmarkStart w:id="26" w:name="_Ref125361238"/>
            <w:bookmarkEnd w:id="26"/>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Представитель Организатора:</w:t>
            </w:r>
          </w:p>
        </w:tc>
        <w:tc>
          <w:tcPr>
            <w:tcW w:w="5676" w:type="dxa"/>
            <w:tcBorders/>
          </w:tcPr>
          <w:p>
            <w:pPr>
              <w:pStyle w:val="Style28"/>
              <w:keepNext w:val="true"/>
              <w:widowControl w:val="false"/>
              <w:suppressAutoHyphens w:val="true"/>
              <w:spacing w:before="60" w:after="60"/>
              <w:rPr/>
            </w:pPr>
            <w:r>
              <w:rPr>
                <w:rFonts w:eastAsia="Calibri" w:cs=""/>
                <w:kern w:val="0"/>
                <w:sz w:val="26"/>
                <w:szCs w:val="22"/>
                <w:lang w:val="ru-RU" w:eastAsia="en-US" w:bidi="ar-SA"/>
              </w:rPr>
              <w:t>Контактное лицо (Ф.И.О.): Осадчая Елена Михайловна</w:t>
            </w:r>
          </w:p>
          <w:p>
            <w:pPr>
              <w:pStyle w:val="Style28"/>
              <w:keepNext w:val="true"/>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Адрес электронной почты:</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hyperlink r:id="rId5">
              <w:r>
                <w:rPr>
                  <w:rStyle w:val="Hyperlink"/>
                  <w:rFonts w:eastAsia="Calibri" w:cs=""/>
                  <w:kern w:val="0"/>
                  <w:sz w:val="26"/>
                  <w:szCs w:val="22"/>
                  <w:lang w:val="ru-RU" w:eastAsia="en-US" w:bidi="ar-SA"/>
                </w:rPr>
                <w:t>OsadchayaEM@rushydro.ru</w:t>
              </w:r>
            </w:hyperlink>
            <w:r>
              <w:rPr>
                <w:rFonts w:eastAsia="Calibri" w:cs=""/>
                <w:kern w:val="0"/>
                <w:sz w:val="26"/>
                <w:szCs w:val="22"/>
                <w:lang w:val="ru-RU" w:eastAsia="en-US" w:bidi="ar-SA"/>
              </w:rPr>
              <w:t xml:space="preserve"> </w:t>
            </w:r>
          </w:p>
          <w:p>
            <w:pPr>
              <w:pStyle w:val="Style28"/>
              <w:keepNext w:val="true"/>
              <w:widowControl w:val="false"/>
              <w:suppressAutoHyphens w:val="true"/>
              <w:spacing w:before="60" w:after="60"/>
              <w:rPr>
                <w:rFonts w:ascii="Times New Roman" w:hAnsi="Times New Roman" w:eastAsia="Calibri" w:cs=""/>
                <w:kern w:val="0"/>
                <w:sz w:val="26"/>
                <w:szCs w:val="22"/>
                <w:lang w:val="ru-RU" w:eastAsia="en-US" w:bidi="ar-SA"/>
              </w:rPr>
            </w:pPr>
            <w:r>
              <w:rPr/>
              <w:t xml:space="preserve">Контактный телефон: </w:t>
            </w:r>
            <w:r>
              <w:rPr>
                <w:rStyle w:val="Emphasis"/>
                <w:i w:val="false"/>
                <w:iCs w:val="false"/>
                <w:szCs w:val="26"/>
              </w:rPr>
              <w:t>8(41634)28333,  доп. 26-31</w:t>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7" w:name="_Ref125362694"/>
            <w:bookmarkStart w:id="28" w:name="_Ref125362694"/>
            <w:bookmarkEnd w:id="28"/>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Официальный источник размещения информации о проведении закупки / срок, место и порядок предоставления Документации о закупке:</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официально размещена на ЭП и доступна для ознакомления любым заинтересованным лицам. Официальным источником информации о ходе проведения закупки является ЭП, указанная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9" w:name="_Ref125360963"/>
            <w:bookmarkStart w:id="30" w:name="_Ref125360963"/>
            <w:bookmarkEnd w:id="30"/>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размещения Извещения о проведении закупки:</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«16» июля 2026г.</w:t>
            </w:r>
          </w:p>
          <w:p>
            <w:pPr>
              <w:pStyle w:val="Style28"/>
              <w:widowControl w:val="false"/>
              <w:suppressAutoHyphens w:val="true"/>
              <w:spacing w:before="60" w:after="60"/>
              <w:rPr>
                <w:rStyle w:val="Style10"/>
              </w:rPr>
            </w:pPr>
            <w:r>
              <w:rPr/>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1" w:name="_Ref125362837"/>
            <w:bookmarkStart w:id="32" w:name="_Ref125362837"/>
            <w:bookmarkEnd w:id="32"/>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Начальная (максимальная) цена договора (цена лота):</w:t>
            </w:r>
          </w:p>
        </w:tc>
        <w:tc>
          <w:tcPr>
            <w:tcW w:w="5676"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НМЦ составляет  3 100 935,28 руб., без учета НДС.</w:t>
            </w:r>
          </w:p>
          <w:p>
            <w:pPr>
              <w:pStyle w:val="Style28"/>
              <w:widowControl w:val="false"/>
              <w:suppressAutoHyphens w:val="true"/>
              <w:spacing w:before="60" w:after="60"/>
              <w:rPr/>
            </w:pPr>
            <w:r>
              <w:rPr>
                <w:rFonts w:eastAsia="Calibri" w:cs=""/>
                <w:kern w:val="0"/>
                <w:sz w:val="26"/>
                <w:szCs w:val="22"/>
                <w:lang w:val="ru-RU" w:eastAsia="en-US" w:bidi="ar-SA"/>
              </w:rPr>
              <w:t xml:space="preserve">Обоснование НМЦ представлено в </w:t>
            </w:r>
            <w:hyperlink w:anchor="Прил09_ОбоснованиеНМЦ">
              <w:r>
                <w:rPr>
                  <w:rStyle w:val="Style13"/>
                  <w:rFonts w:eastAsia="Calibri" w:cs=""/>
                  <w:kern w:val="0"/>
                  <w:sz w:val="26"/>
                  <w:szCs w:val="22"/>
                  <w:lang w:val="ru-RU" w:eastAsia="en-US" w:bidi="ar-SA"/>
                </w:rPr>
                <w:t>Приложении № 9</w:t>
              </w:r>
            </w:hyperlink>
            <w:r>
              <w:rPr>
                <w:rFonts w:eastAsia="Calibri" w:cs=""/>
                <w:kern w:val="0"/>
                <w:sz w:val="26"/>
                <w:szCs w:val="22"/>
                <w:lang w:val="ru-RU" w:eastAsia="en-US" w:bidi="ar-SA"/>
              </w:rPr>
              <w:t>.</w:t>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3" w:name="_Ref125363076"/>
            <w:bookmarkStart w:id="34" w:name="_Ref125363076"/>
            <w:bookmarkEnd w:id="34"/>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Обеспечение заявки на участие в закупке:</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требуется.</w:t>
            </w:r>
          </w:p>
          <w:p>
            <w:pPr>
              <w:pStyle w:val="Style28"/>
              <w:keepNext w:val="true"/>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5" w:name="_Ref125362995"/>
            <w:bookmarkStart w:id="36" w:name="_Ref125362995"/>
            <w:bookmarkEnd w:id="36"/>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Требования</w:t>
              <w:br/>
              <w:t>к описанию продукции:</w:t>
            </w:r>
          </w:p>
        </w:tc>
        <w:tc>
          <w:tcPr>
            <w:tcW w:w="5676" w:type="dxa"/>
            <w:tcBorders/>
          </w:tcPr>
          <w:p>
            <w:pPr>
              <w:pStyle w:val="Style28"/>
              <w:widowControl w:val="false"/>
              <w:suppressAutoHyphens w:val="true"/>
              <w:spacing w:before="60" w:after="60"/>
              <w:rPr/>
            </w:pPr>
            <w:r>
              <w:rPr>
                <w:rFonts w:eastAsia="Calibri" w:cs=""/>
                <w:kern w:val="0"/>
                <w:sz w:val="26"/>
                <w:szCs w:val="22"/>
                <w:lang w:val="ru-RU" w:eastAsia="en-US" w:bidi="ar-SA"/>
              </w:rPr>
              <w:t>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 параметрам эквивалентности, указанным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 по установленной форме Технического предложения (форма 4)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Применение законодательства о национальном режиме:</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Установлен режим ограничения закупки иностранной продукции (когда национальный режим не предоставляется)</w:t>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7" w:name="_Ref125533737"/>
            <w:bookmarkStart w:id="38" w:name="_Ref125533737"/>
            <w:bookmarkEnd w:id="38"/>
          </w:p>
        </w:tc>
        <w:tc>
          <w:tcPr>
            <w:tcW w:w="3242" w:type="dxa"/>
            <w:tcBorders/>
          </w:tcPr>
          <w:p>
            <w:pPr>
              <w:pStyle w:val="Normal"/>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Возможность подачи альтернативных предложений:</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предусмотрена.</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9" w:name="_Ref125475086"/>
            <w:bookmarkStart w:id="40" w:name="_Ref125475086"/>
            <w:bookmarkEnd w:id="40"/>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и порядок подачи заявок:</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Заявки подаются посредством функционала ЭП, по адресу ЭП, указанному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1" w:name="_Ref125360779"/>
            <w:bookmarkStart w:id="42" w:name="_Ref125360779"/>
            <w:bookmarkEnd w:id="42"/>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начала; дата и время окончания срока подачи заявок:</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начала подачи заявок:</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«16» июля 2026 г.</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и время окончания срока подачи заявок:</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«04» августа 2026 г. в 08 ч. 00 мин.</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 московскому времени).</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Срок предоставления Участникам разъяснений Документации о закупке:</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и время окончания срока предоставления разъяснений:</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«04» августа 2026 г. в 08 ч. 00 мин.</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 московскому времени).</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_Ref125360779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1.2.18</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3" w:name="_Ref125476197"/>
            <w:bookmarkStart w:id="44" w:name="_Ref125476197"/>
            <w:bookmarkEnd w:id="44"/>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открытия</w:t>
              <w:br/>
              <w:t>доступа к заявкам:</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Открытие доступа к заявкам осуществляется автоматически на ЭП, расположенной по адресу согласно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5" w:name="_Ref125362733"/>
            <w:bookmarkStart w:id="46" w:name="_Ref125362733"/>
            <w:bookmarkEnd w:id="46"/>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окончания рассмотрения заявок:</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«27» августа 2026 г.</w:t>
            </w:r>
          </w:p>
          <w:p>
            <w:pPr>
              <w:pStyle w:val="Style28"/>
              <w:widowControl w:val="false"/>
              <w:suppressAutoHyphens w:val="true"/>
              <w:spacing w:before="60" w:after="60"/>
              <w:rPr>
                <w:rStyle w:val="Style10"/>
              </w:rPr>
            </w:pPr>
            <w:r>
              <w:rPr/>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7" w:name="_Ref125362757"/>
            <w:bookmarkStart w:id="48" w:name="_Ref125362757"/>
            <w:bookmarkEnd w:id="48"/>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подведения</w:t>
              <w:br/>
              <w:t>итогов закупки:</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«27» августа 2026 г.</w:t>
            </w:r>
          </w:p>
          <w:p>
            <w:pPr>
              <w:pStyle w:val="Style28"/>
              <w:widowControl w:val="false"/>
              <w:suppressAutoHyphens w:val="true"/>
              <w:spacing w:before="60" w:after="60"/>
              <w:rPr>
                <w:rStyle w:val="Style10"/>
              </w:rPr>
            </w:pPr>
            <w:r>
              <w:rPr/>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9" w:name="_Ref125361769"/>
            <w:bookmarkStart w:id="50" w:name="_Ref125361769"/>
            <w:bookmarkEnd w:id="50"/>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Рассмотрение, оценка и сопоставление заявок Участников с учетом привлекаемых субподрядчиков:</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предусмотрено.</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Порядок подведения</w:t>
              <w:br/>
              <w:t>итогов закупки:</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1" w:name="_Ref125366606"/>
            <w:bookmarkStart w:id="52" w:name="_Ref125366606"/>
            <w:bookmarkEnd w:id="52"/>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Количество победителей закупки (в рамках одного лота):</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Один победитель.</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3" w:name="_Ref125533374"/>
            <w:bookmarkStart w:id="54" w:name="_Ref125533374"/>
            <w:bookmarkEnd w:id="54"/>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Форма заключения Договора:</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электронной форме (подробный порядок заключения Договора содержится в 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_Ref126142429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28"/>
              <w:widowControl w:val="false"/>
              <w:suppressAutoHyphens w:val="true"/>
              <w:spacing w:before="60" w:after="60"/>
              <w:rPr/>
            </w:pPr>
            <w:r>
              <w:rPr>
                <w:rFonts w:eastAsia="Calibri" w:cs=""/>
                <w:kern w:val="0"/>
                <w:sz w:val="26"/>
                <w:szCs w:val="22"/>
                <w:lang w:val="ru-RU" w:eastAsia="en-US" w:bidi="ar-SA"/>
              </w:rPr>
              <w:t xml:space="preserve">Если договор будет заключаться в электронной форме посредством информационной системы электронного документооборота </w:t>
            </w:r>
            <w:r>
              <w:rPr>
                <w:rFonts w:eastAsia="Calibri" w:cs=""/>
                <w:i w:val="false"/>
                <w:iCs w:val="false"/>
                <w:kern w:val="0"/>
                <w:sz w:val="26"/>
                <w:szCs w:val="22"/>
                <w:lang w:val="ru-RU" w:eastAsia="en-US" w:bidi="ar-SA"/>
              </w:rPr>
              <w:t>Системой ЭДО ПАО «РусГидро» является «Диадок»</w:t>
            </w:r>
            <w:r>
              <w:rPr>
                <w:rFonts w:eastAsia="Calibri" w:cs=""/>
                <w:kern w:val="0"/>
                <w:sz w:val="26"/>
                <w:szCs w:val="22"/>
                <w:lang w:val="ru-RU" w:eastAsia="en-US" w:bidi="ar-SA"/>
              </w:rPr>
              <w:t>,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5" w:name="_Ref125366813"/>
            <w:bookmarkStart w:id="56" w:name="_Ref125366813"/>
            <w:bookmarkEnd w:id="56"/>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подачи документов в отношении цепочки собственников, включая конечных бенефициаров:</w:t>
            </w:r>
          </w:p>
        </w:tc>
        <w:tc>
          <w:tcPr>
            <w:tcW w:w="5676" w:type="dxa"/>
            <w:tcBorders/>
          </w:tcPr>
          <w:p>
            <w:pPr>
              <w:pStyle w:val="Style28"/>
              <w:keepNext w:val="true"/>
              <w:widowControl w:val="false"/>
              <w:suppressAutoHyphens w:val="true"/>
              <w:spacing w:before="60" w:after="60"/>
              <w:rPr/>
            </w:pPr>
            <w:r>
              <w:rPr>
                <w:rFonts w:eastAsia="Calibri" w:cs=""/>
                <w:kern w:val="0"/>
                <w:sz w:val="26"/>
                <w:szCs w:val="22"/>
                <w:lang w:val="ru-RU" w:eastAsia="en-US" w:bidi="ar-SA"/>
              </w:rPr>
              <w:t>Контактное лицо (Ф.И.О.):</w:t>
            </w:r>
          </w:p>
          <w:p>
            <w:pPr>
              <w:pStyle w:val="Normal"/>
              <w:widowControl w:val="false"/>
              <w:suppressAutoHyphens w:val="true"/>
              <w:spacing w:lineRule="auto" w:line="240" w:before="60" w:after="60"/>
              <w:ind w:right="-108" w:hanging="0"/>
              <w:jc w:val="left"/>
              <w:rPr>
                <w:i w:val="false"/>
                <w:i w:val="false"/>
                <w:iCs w:val="false"/>
                <w:sz w:val="26"/>
                <w:szCs w:val="26"/>
              </w:rPr>
            </w:pPr>
            <w:r>
              <w:rPr>
                <w:i w:val="false"/>
                <w:iCs w:val="false"/>
                <w:sz w:val="26"/>
                <w:szCs w:val="26"/>
              </w:rPr>
              <w:t>Кравченко Татьяна Николаевна</w:t>
            </w:r>
          </w:p>
          <w:p>
            <w:pPr>
              <w:pStyle w:val="Tableheader"/>
              <w:widowControl w:val="false"/>
              <w:suppressAutoHyphens w:val="true"/>
              <w:spacing w:before="120" w:after="120"/>
              <w:jc w:val="left"/>
              <w:rPr>
                <w:sz w:val="26"/>
                <w:szCs w:val="26"/>
              </w:rPr>
            </w:pPr>
            <w:r>
              <w:rPr>
                <w:rFonts w:eastAsia="Calibri" w:cs=""/>
                <w:b w:val="false"/>
                <w:i w:val="false"/>
                <w:iCs w:val="false"/>
                <w:kern w:val="0"/>
                <w:sz w:val="26"/>
                <w:szCs w:val="26"/>
                <w:lang w:val="ru-RU" w:eastAsia="en-US" w:bidi="ar-SA"/>
              </w:rPr>
              <w:t>Почтовый адрес: 676730, Российская Федерация, Амурская область, Бурейский округ, пгт. Талакан</w:t>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7" w:name="_Ref125368490"/>
            <w:bookmarkStart w:id="58" w:name="_Ref125368490"/>
            <w:bookmarkEnd w:id="58"/>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Некритичные пункты Проекта договора:</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Отсутствуют.</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242"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Обеспечение</w:t>
              <w:br/>
              <w:t>исполнения Договора:</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требуется.</w:t>
            </w:r>
          </w:p>
          <w:p>
            <w:pPr>
              <w:pStyle w:val="Style28"/>
              <w:widowControl w:val="false"/>
              <w:suppressAutoHyphens w:val="true"/>
              <w:spacing w:before="60" w:after="60"/>
              <w:ind w:left="567" w:hanging="0"/>
              <w:rPr>
                <w:rStyle w:val="Style10"/>
                <w:rFonts w:eastAsia="Calibri" w:cs=""/>
                <w:kern w:val="0"/>
                <w:sz w:val="26"/>
                <w:szCs w:val="22"/>
                <w:lang w:val="ru-RU" w:eastAsia="en-US" w:bidi="ar-SA"/>
              </w:rPr>
            </w:pPr>
            <w:r>
              <w:rPr>
                <w:rFonts w:eastAsia="Calibri" w:cs=""/>
                <w:kern w:val="0"/>
                <w:sz w:val="26"/>
                <w:szCs w:val="22"/>
                <w:lang w:val="ru-RU" w:eastAsia="en-US" w:bidi="ar-SA"/>
              </w:rPr>
            </w:r>
          </w:p>
          <w:p>
            <w:pPr>
              <w:pStyle w:val="Style28"/>
              <w:widowControl w:val="false"/>
              <w:suppressAutoHyphens w:val="true"/>
              <w:spacing w:before="60" w:after="60"/>
              <w:rPr/>
            </w:pPr>
            <w:r>
              <w:rPr>
                <w:rFonts w:eastAsia="Calibri" w:cs=""/>
                <w:kern w:val="0"/>
                <w:sz w:val="26"/>
                <w:szCs w:val="22"/>
                <w:lang w:val="ru-RU" w:eastAsia="en-US" w:bidi="ar-SA"/>
              </w:rPr>
              <w:t xml:space="preserve">Иные требования к обеспечению исполнения Договора приведены в </w:t>
            </w:r>
            <w:hyperlink w:anchor="Прил02_ПроектДоговора">
              <w:r>
                <w:rPr>
                  <w:rStyle w:val="Style13"/>
                  <w:rFonts w:eastAsia="Calibri" w:cs=""/>
                  <w:kern w:val="0"/>
                  <w:sz w:val="26"/>
                  <w:szCs w:val="22"/>
                  <w:lang w:val="ru-RU" w:eastAsia="en-US" w:bidi="ar-SA"/>
                </w:rPr>
                <w:t>Приложении № 2</w:t>
              </w:r>
            </w:hyperlink>
            <w:r>
              <w:rPr>
                <w:rFonts w:eastAsia="Calibri" w:cs=""/>
                <w:kern w:val="0"/>
                <w:sz w:val="26"/>
                <w:szCs w:val="22"/>
                <w:lang w:val="ru-RU" w:eastAsia="en-US" w:bidi="ar-SA"/>
              </w:rPr>
              <w:t>.</w:t>
            </w:r>
          </w:p>
        </w:tc>
      </w:tr>
      <w:tr>
        <w:trPr/>
        <w:tc>
          <w:tcPr>
            <w:tcW w:w="9754" w:type="dxa"/>
            <w:gridSpan w:val="3"/>
            <w:tcBorders>
              <w:top w:val="nil"/>
            </w:tcBorders>
          </w:tcPr>
          <w:p>
            <w:pPr>
              <w:pStyle w:val="Normal"/>
              <w:widowControl w:val="false"/>
              <w:suppressAutoHyphens w:val="true"/>
              <w:spacing w:before="120" w:after="120"/>
              <w:jc w:val="center"/>
              <w:rPr/>
            </w:pPr>
            <w:r>
              <w:rPr>
                <w:b/>
              </w:rPr>
              <w:t>Для данной закупки процедура переторжки не предусмотрена!</w:t>
            </w:r>
          </w:p>
        </w:tc>
      </w:tr>
    </w:tbl>
    <w:p>
      <w:pPr>
        <w:pStyle w:val="Style22"/>
        <w:rPr/>
      </w:pPr>
      <w:bookmarkStart w:id="59" w:name="_Ref125360073"/>
      <w:bookmarkStart w:id="60" w:name="_Toc186224275"/>
      <w:bookmarkStart w:id="61" w:name="_Ref125360337"/>
      <w:r>
        <w:rPr/>
        <w:t>Общие положения</w:t>
      </w:r>
      <w:bookmarkEnd w:id="59"/>
      <w:bookmarkEnd w:id="60"/>
      <w:bookmarkEnd w:id="61"/>
    </w:p>
    <w:p>
      <w:pPr>
        <w:pStyle w:val="Style23"/>
        <w:rPr/>
      </w:pPr>
      <w:bookmarkStart w:id="62" w:name="_Toc186224276"/>
      <w:r>
        <w:rPr/>
        <w:t>Общие сведения о закупке</w:t>
      </w:r>
      <w:bookmarkEnd w:id="62"/>
    </w:p>
    <w:p>
      <w:pPr>
        <w:pStyle w:val="Style24"/>
        <w:rPr/>
      </w:pPr>
      <w:r>
        <w:rPr/>
        <w:t>Организатор официально размещенным Извещением приглашает лиц, указанных в подразделе </w:t>
      </w:r>
      <w:r>
        <w:rPr/>
        <w:fldChar w:fldCharType="begin"/>
      </w:r>
      <w:r>
        <w:rPr/>
        <w:instrText xml:space="preserve"> REF _Ref125359973 \r \h </w:instrText>
      </w:r>
      <w:r>
        <w:rPr/>
        <w:fldChar w:fldCharType="separate"/>
      </w:r>
      <w:r>
        <w:rPr/>
        <w:t>1.2</w:t>
      </w:r>
      <w:r>
        <w:rPr/>
        <w:fldChar w:fldCharType="end"/>
      </w:r>
      <w:r>
        <w:rPr/>
        <w:t>, к участию в закупке на право заключения договора, предмет которого указан в том же подразделе.</w:t>
      </w:r>
    </w:p>
    <w:p>
      <w:pPr>
        <w:pStyle w:val="Style24"/>
        <w:rPr/>
      </w:pPr>
      <w:r>
        <w:rPr/>
        <w:t>Требования к Участникам, а также к документам, подтверждающим соответствие установленным требованиям, приведены в разделе </w:t>
      </w:r>
      <w:r>
        <w:rPr/>
        <w:fldChar w:fldCharType="begin"/>
      </w:r>
      <w:r>
        <w:rPr/>
        <w:instrText xml:space="preserve"> REF _Ref125361210 \r \h </w:instrText>
      </w:r>
      <w:r>
        <w:rPr/>
        <w:fldChar w:fldCharType="separate"/>
      </w:r>
      <w:r>
        <w:rPr/>
        <w:t>3</w:t>
      </w:r>
      <w:r>
        <w:rPr/>
        <w:fldChar w:fldCharType="end"/>
      </w:r>
      <w:r>
        <w:rPr/>
        <w:t xml:space="preserve"> Документации о закупке.</w:t>
      </w:r>
    </w:p>
    <w:p>
      <w:pPr>
        <w:pStyle w:val="Style24"/>
        <w:rPr/>
      </w:pPr>
      <w:r>
        <w:rPr/>
        <w:t xml:space="preserve">Требования к поставляемой продукции, включая срок, объем и место поставки продукции, изложены в </w:t>
      </w:r>
      <w:hyperlink w:anchor="Прил01_ТехТребования">
        <w:r>
          <w:rPr>
            <w:rStyle w:val="Style13"/>
          </w:rPr>
          <w:t>Технических требованиях (Приложение № 1)</w:t>
        </w:r>
      </w:hyperlink>
      <w:r>
        <w:rPr/>
        <w:t xml:space="preserve">. </w:t>
      </w:r>
      <w:hyperlink w:anchor="Прил02_ПроектДоговора">
        <w:r>
          <w:rPr>
            <w:rStyle w:val="Style13"/>
          </w:rPr>
          <w:t>Проект договора</w:t>
        </w:r>
      </w:hyperlink>
      <w:r>
        <w:rP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Style13"/>
          </w:rPr>
          <w:t>Приложении № 2</w:t>
        </w:r>
      </w:hyperlink>
      <w:r>
        <w:rPr/>
        <w:t>.</w:t>
      </w:r>
    </w:p>
    <w:p>
      <w:pPr>
        <w:pStyle w:val="Style24"/>
        <w:rPr/>
      </w:pPr>
      <w:r>
        <w:rPr/>
        <w:t>Подробная информация о порядке проведения закупки и участия в ней, а также о порядке заключения Договора, приведены в разделах </w:t>
      </w:r>
      <w:r>
        <w:rPr/>
        <w:fldChar w:fldCharType="begin"/>
      </w:r>
      <w:r>
        <w:rPr/>
        <w:instrText xml:space="preserve"> REF _Ref125361211 \r \h </w:instrText>
      </w:r>
      <w:r>
        <w:rPr/>
        <w:fldChar w:fldCharType="separate"/>
      </w:r>
      <w:r>
        <w:rPr/>
        <w:t>4</w:t>
      </w:r>
      <w:r>
        <w:rPr/>
        <w:fldChar w:fldCharType="end"/>
      </w:r>
      <w:r>
        <w:rPr/>
        <w:t xml:space="preserve">, </w:t>
      </w:r>
      <w:r>
        <w:rPr/>
        <w:fldChar w:fldCharType="begin"/>
      </w:r>
      <w:r>
        <w:rPr/>
        <w:instrText xml:space="preserve"> REF _Ref126142429 \r \h </w:instrText>
      </w:r>
      <w:r>
        <w:rPr/>
        <w:fldChar w:fldCharType="separate"/>
      </w:r>
      <w:r>
        <w:rPr/>
        <w:t>5</w:t>
      </w:r>
      <w:r>
        <w:rPr/>
        <w:fldChar w:fldCharType="end"/>
      </w:r>
      <w:r>
        <w:rP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Style13"/>
          </w:rPr>
          <w:t>№ 4</w:t>
        </w:r>
      </w:hyperlink>
      <w:r>
        <w:rPr/>
        <w:t xml:space="preserve">, </w:t>
      </w:r>
      <w:hyperlink w:anchor="Прил05_ФормыПобедителя">
        <w:r>
          <w:rPr>
            <w:rStyle w:val="Style13"/>
          </w:rPr>
          <w:t>№ 5</w:t>
        </w:r>
      </w:hyperlink>
      <w:r>
        <w:rPr/>
        <w:t>.</w:t>
      </w:r>
    </w:p>
    <w:p>
      <w:pPr>
        <w:pStyle w:val="Style23"/>
        <w:rPr/>
      </w:pPr>
      <w:bookmarkStart w:id="63" w:name="_Toc186224277"/>
      <w:r>
        <w:rPr/>
        <w:t>Правовой статус документов</w:t>
      </w:r>
      <w:bookmarkEnd w:id="63"/>
    </w:p>
    <w:p>
      <w:pPr>
        <w:pStyle w:val="Style24"/>
        <w:rPr/>
      </w:pPr>
      <w:r>
        <w:rPr/>
        <w:t>Состязательный отбор не является конкурентной процедурой в соответствии с действующим законодательством.</w:t>
      </w:r>
    </w:p>
    <w:p>
      <w:pPr>
        <w:pStyle w:val="Style24"/>
        <w:rPr/>
      </w:pPr>
      <w:r>
        <w:rPr/>
        <w:t>Документация о закупке вместе с Извещением, являющимся ее неотъемлемой частью, являются приглашением Организатора делать оферты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pPr>
        <w:pStyle w:val="Style24"/>
        <w:rPr/>
      </w:pPr>
      <w:r>
        <w:rPr/>
        <w:t>Заявка Участника имеет правовой статус оферты и будет рассматриваться Организатором в течение указанного в ней срока ее действия.</w:t>
      </w:r>
    </w:p>
    <w:p>
      <w:pPr>
        <w:pStyle w:val="Style24"/>
        <w:keepNext w:val="true"/>
        <w:rPr/>
      </w:pPr>
      <w:bookmarkStart w:id="64" w:name="_Ref125366985"/>
      <w:r>
        <w:rPr/>
        <w:t>При определении условий Договора по результатам закупки используется иерархия документов, установленная в пункте </w:t>
      </w:r>
      <w:r>
        <w:rPr/>
        <w:fldChar w:fldCharType="begin"/>
      </w:r>
      <w:r>
        <w:rPr/>
        <w:instrText xml:space="preserve"> REF _Ref132288402 \r \h </w:instrText>
      </w:r>
      <w:r>
        <w:rPr/>
        <w:fldChar w:fldCharType="separate"/>
      </w:r>
      <w:r>
        <w:rPr/>
        <w:t>5.2.8</w:t>
      </w:r>
      <w:r>
        <w:rPr/>
        <w:fldChar w:fldCharType="end"/>
      </w:r>
      <w:bookmarkEnd w:id="64"/>
      <w:r>
        <w:rPr/>
        <w:t>.</w:t>
      </w:r>
    </w:p>
    <w:p>
      <w:pPr>
        <w:pStyle w:val="Style24"/>
        <w:rPr/>
      </w:pPr>
      <w:r>
        <w:rPr/>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p>
    <w:p>
      <w:pPr>
        <w:pStyle w:val="Style24"/>
        <w:rPr/>
      </w:pPr>
      <w:r>
        <w:rPr/>
        <w:t>Во всем, что не урегулировано Извещением и Документацией о закупке, стороны руководствуются Положением о закупке (в редакции, действующей на дату официального размещения Извещения).</w:t>
      </w:r>
    </w:p>
    <w:p>
      <w:pPr>
        <w:pStyle w:val="Style24"/>
        <w:rPr/>
      </w:pPr>
      <w:r>
        <w:rP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pPr>
        <w:pStyle w:val="Style24"/>
        <w:rPr/>
      </w:pPr>
      <w:r>
        <w:rPr/>
        <w:t>Иные документы Организатора и Участников не определяют права и обязанности сторон в связи с данной закупкой.</w:t>
      </w:r>
    </w:p>
    <w:p>
      <w:pPr>
        <w:pStyle w:val="Style24"/>
        <w:rPr/>
      </w:pPr>
      <w:r>
        <w:rP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pPr>
        <w:pStyle w:val="Style23"/>
        <w:rPr/>
      </w:pPr>
      <w:bookmarkStart w:id="65" w:name="_Ref125363536"/>
      <w:bookmarkStart w:id="66" w:name="_Toc186224278"/>
      <w:r>
        <w:rPr/>
        <w:t>Обжалование</w:t>
      </w:r>
      <w:bookmarkEnd w:id="65"/>
      <w:bookmarkEnd w:id="66"/>
    </w:p>
    <w:p>
      <w:pPr>
        <w:pStyle w:val="Style24"/>
        <w:rPr/>
      </w:pPr>
      <w:r>
        <w:rP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pPr>
        <w:pStyle w:val="Style24"/>
        <w:rPr/>
      </w:pPr>
      <w:r>
        <w:rP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pPr>
        <w:pStyle w:val="Style24"/>
        <w:keepNext w:val="true"/>
        <w:rPr/>
      </w:pPr>
      <w:r>
        <w:rPr/>
        <w:t>Если разногласия не разрешены по взаимному согласию представившего их Участника и Заказчика, может быть принято одно из следующих решений:</w:t>
      </w:r>
    </w:p>
    <w:p>
      <w:pPr>
        <w:pStyle w:val="Style25"/>
        <w:rPr/>
      </w:pPr>
      <w:r>
        <w:rP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pPr>
        <w:pStyle w:val="Style25"/>
        <w:rPr/>
      </w:pPr>
      <w:r>
        <w:rPr/>
        <w:t>признать заявление Участника необоснованным.</w:t>
      </w:r>
    </w:p>
    <w:p>
      <w:pPr>
        <w:pStyle w:val="Style24"/>
        <w:rPr/>
      </w:pPr>
      <w:r>
        <w:rP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с учетом того, что настоящая закупка не является торгами. Если обжалуемые действия (бездействие) совершены после окончания установленного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обжалование таких действий (бездействия) может осуществляться только Участником, подавшим заявку на участие в такой закупке.</w:t>
      </w:r>
    </w:p>
    <w:p>
      <w:pPr>
        <w:pStyle w:val="Style24"/>
        <w:rPr/>
      </w:pPr>
      <w:r>
        <w:rP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pPr>
        <w:pStyle w:val="Style25"/>
        <w:rPr/>
      </w:pPr>
      <w:r>
        <w:rPr/>
        <w:t>по закупкам, проводимым закупочными комиссиями 1-го уровня – в Арбитражном суде по месту нахождения Заказчика (либо соответствующего филиала Заказчика, для нужд которого проводится настоящая закупка);</w:t>
      </w:r>
    </w:p>
    <w:p>
      <w:pPr>
        <w:pStyle w:val="Style25"/>
        <w:rPr/>
      </w:pPr>
      <w:r>
        <w:rPr/>
        <w:t>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г. Москвы.</w:t>
      </w:r>
    </w:p>
    <w:p>
      <w:pPr>
        <w:pStyle w:val="Style28"/>
        <w:ind w:left="1134" w:hanging="0"/>
        <w:rPr/>
      </w:pPr>
      <w:r>
        <w:rPr/>
        <w:t>Закупочная комиссия определяется в соответствии с Положением о закупке.</w:t>
      </w:r>
    </w:p>
    <w:p>
      <w:pPr>
        <w:pStyle w:val="Style23"/>
        <w:rPr/>
      </w:pPr>
      <w:bookmarkStart w:id="67" w:name="_Ref125472658"/>
      <w:bookmarkStart w:id="68" w:name="_Toc186224279"/>
      <w:r>
        <w:rPr/>
        <w:t>Особые положения при проведении закупки с использованием ЭП</w:t>
      </w:r>
      <w:bookmarkEnd w:id="67"/>
      <w:bookmarkEnd w:id="68"/>
    </w:p>
    <w:p>
      <w:pPr>
        <w:pStyle w:val="Style24"/>
        <w:rPr/>
      </w:pPr>
      <w:r>
        <w:rPr/>
        <w:t>Наименование ЭП, посредством которой проводится закупка, указано в подразделе </w:t>
      </w:r>
      <w:r>
        <w:rPr/>
        <w:fldChar w:fldCharType="begin"/>
      </w:r>
      <w:r>
        <w:rPr/>
        <w:instrText xml:space="preserve"> REF _Ref125359973 \r \h </w:instrText>
      </w:r>
      <w:r>
        <w:rPr/>
        <w:fldChar w:fldCharType="separate"/>
      </w:r>
      <w:r>
        <w:rPr/>
        <w:t>1.2</w:t>
      </w:r>
      <w:r>
        <w:rPr/>
        <w:fldChar w:fldCharType="end"/>
      </w:r>
      <w:r>
        <w:rPr/>
        <w:t>. До подачи заявки Участник обязан ознакомиться с Регламентом ЭП, опубликованными на сайте соответствующей ЭП.</w:t>
      </w:r>
    </w:p>
    <w:p>
      <w:pPr>
        <w:pStyle w:val="Style24"/>
        <w:rPr/>
      </w:pPr>
      <w:r>
        <w:rPr/>
        <w:t>Для участия в закупке Участник должен пройти процедуру регистрации на ЭП. Регистрация осуществляется Оператором ЭП, и Организатор (Заказчик) не несет ответственности за результат ее прохождения Участником, в том числе понесенные им затраты.</w:t>
      </w:r>
    </w:p>
    <w:p>
      <w:pPr>
        <w:pStyle w:val="Style24"/>
        <w:rPr/>
      </w:pPr>
      <w:bookmarkStart w:id="69" w:name="_Ref135748672"/>
      <w:r>
        <w:rP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bookmarkEnd w:id="69"/>
    </w:p>
    <w:p>
      <w:pPr>
        <w:pStyle w:val="Style24"/>
        <w:rPr/>
      </w:pPr>
      <w:bookmarkStart w:id="70" w:name="_Ref135748741"/>
      <w:r>
        <w:rP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70"/>
    </w:p>
    <w:p>
      <w:pPr>
        <w:pStyle w:val="Style23"/>
        <w:rPr/>
      </w:pPr>
      <w:bookmarkStart w:id="71" w:name="_Toc186224280"/>
      <w:r>
        <w:rPr/>
        <w:t>Прочие положения</w:t>
      </w:r>
      <w:bookmarkEnd w:id="71"/>
    </w:p>
    <w:p>
      <w:pPr>
        <w:pStyle w:val="Style24"/>
        <w:rPr/>
      </w:pPr>
      <w:r>
        <w:rP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pPr>
        <w:pStyle w:val="Style24"/>
        <w:rPr/>
      </w:pPr>
      <w:bookmarkStart w:id="72" w:name="_Ref136257236"/>
      <w:r>
        <w:rP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bookmarkEnd w:id="72"/>
    </w:p>
    <w:p>
      <w:pPr>
        <w:pStyle w:val="Style24"/>
        <w:rPr/>
      </w:pPr>
      <w:r>
        <w:rP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pPr>
        <w:pStyle w:val="Style22"/>
        <w:rPr/>
      </w:pPr>
      <w:bookmarkStart w:id="73" w:name="_Toc186224281"/>
      <w:bookmarkStart w:id="74" w:name="_Ref125361210"/>
      <w:r>
        <w:rPr/>
        <w:t>Требования к Участникам</w:t>
      </w:r>
      <w:bookmarkEnd w:id="73"/>
      <w:bookmarkEnd w:id="74"/>
    </w:p>
    <w:p>
      <w:pPr>
        <w:pStyle w:val="Style23"/>
        <w:rPr/>
      </w:pPr>
      <w:bookmarkStart w:id="75" w:name="_Ref127524530"/>
      <w:bookmarkStart w:id="76" w:name="_Toc186224282"/>
      <w:r>
        <w:rPr/>
        <w:t>Общие требования к Участникам</w:t>
      </w:r>
      <w:bookmarkEnd w:id="75"/>
      <w:bookmarkEnd w:id="76"/>
    </w:p>
    <w:p>
      <w:pPr>
        <w:pStyle w:val="Style24"/>
        <w:rPr/>
      </w:pPr>
      <w:bookmarkStart w:id="77" w:name="_Ref125361514"/>
      <w:r>
        <w:rPr/>
        <w:t>Из лиц, указанных в подразделе </w:t>
      </w:r>
      <w:r>
        <w:rPr/>
        <w:fldChar w:fldCharType="begin"/>
      </w:r>
      <w:r>
        <w:rPr/>
        <w:instrText xml:space="preserve"> REF _Ref125359973 \r \h </w:instrText>
      </w:r>
      <w:r>
        <w:rPr/>
        <w:fldChar w:fldCharType="separate"/>
      </w:r>
      <w:r>
        <w:rPr/>
        <w:t>1.2</w:t>
      </w:r>
      <w:r>
        <w:rPr/>
        <w:fldChar w:fldCharType="end"/>
      </w:r>
      <w:r>
        <w:rPr/>
        <w:t>, участвовать в закупке может 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77"/>
    </w:p>
    <w:p>
      <w:pPr>
        <w:pStyle w:val="Style24"/>
        <w:rPr/>
      </w:pPr>
      <w:r>
        <w:rPr/>
        <w:t>Однако, чтобы претендовать на победу в закупке Участник самостоятельно или Коллективный участник (подраздел </w:t>
      </w:r>
      <w:r>
        <w:rPr/>
        <w:fldChar w:fldCharType="begin"/>
      </w:r>
      <w:r>
        <w:rPr/>
        <w:instrText xml:space="preserve"> REF _Ref130308062 \r \h </w:instrText>
      </w:r>
      <w:r>
        <w:rPr/>
        <w:fldChar w:fldCharType="separate"/>
      </w:r>
      <w:r>
        <w:rPr/>
        <w:t>3.2</w:t>
      </w:r>
      <w:r>
        <w:rPr/>
        <w:fldChar w:fldCharType="end"/>
      </w:r>
      <w:r>
        <w:rPr/>
        <w:t>) в целом должен отвечать требованиям, установленным в Документации о закупке.</w:t>
      </w:r>
    </w:p>
    <w:p>
      <w:pPr>
        <w:pStyle w:val="Style24"/>
        <w:rPr/>
      </w:pPr>
      <w:r>
        <w:rPr/>
        <w:t xml:space="preserve">Требования к Участникам установлены с учетом предмета договора, </w:t>
      </w:r>
      <w:hyperlink w:anchor="Прил01_ТехТребования">
        <w:r>
          <w:rPr>
            <w:rStyle w:val="Style13"/>
          </w:rPr>
          <w:t>Технических требований (Приложение № 1)</w:t>
        </w:r>
      </w:hyperlink>
      <w:r>
        <w:rPr/>
        <w:t xml:space="preserve"> и </w:t>
      </w:r>
      <w:hyperlink w:anchor="Прил02_ПроектДоговора">
        <w:r>
          <w:rPr>
            <w:rStyle w:val="Style13"/>
          </w:rPr>
          <w:t>Проекта договора (Приложение № 2)</w:t>
        </w:r>
      </w:hyperlink>
      <w:r>
        <w:rPr/>
        <w:t>.</w:t>
      </w:r>
    </w:p>
    <w:p>
      <w:pPr>
        <w:pStyle w:val="Style24"/>
        <w:keepNext w:val="true"/>
        <w:rPr/>
      </w:pPr>
      <w:r>
        <w:rPr/>
        <w:t>Установлены следующие требования к Участникам, которые приведены в </w:t>
      </w:r>
      <w:hyperlink w:anchor="Прил03_ТребованияУчастникам">
        <w:r>
          <w:rPr>
            <w:rStyle w:val="Style13"/>
          </w:rPr>
          <w:t>Приложении № 3</w:t>
        </w:r>
      </w:hyperlink>
      <w:r>
        <w:rPr/>
        <w:t>:</w:t>
      </w:r>
    </w:p>
    <w:p>
      <w:pPr>
        <w:pStyle w:val="Style25"/>
        <w:rPr/>
      </w:pPr>
      <w:r>
        <w:rPr/>
        <w:t>обязательные требования (подраздел </w:t>
      </w:r>
      <w:r>
        <w:rPr/>
        <w:fldChar w:fldCharType="begin"/>
      </w:r>
      <w:r>
        <w:rPr/>
        <w:instrText xml:space="preserve"> REF _Ref125361435 \r \h </w:instrText>
      </w:r>
      <w:r>
        <w:rPr/>
        <w:fldChar w:fldCharType="separate"/>
      </w:r>
      <w:r>
        <w:rPr/>
        <w:t>8.2</w:t>
      </w:r>
      <w:r>
        <w:rPr/>
        <w:fldChar w:fldCharType="end"/>
      </w:r>
      <w:r>
        <w:rPr/>
        <w:t>) – Участники должны им соответствовать;</w:t>
      </w:r>
    </w:p>
    <w:p>
      <w:pPr>
        <w:pStyle w:val="Style25"/>
        <w:rPr/>
      </w:pPr>
      <w:r>
        <w:rPr/>
        <w:t>специальные требования – Участники должны им соответствовать, если они установлены (подраздел </w:t>
      </w:r>
      <w:r>
        <w:rPr/>
        <w:fldChar w:fldCharType="begin"/>
      </w:r>
      <w:r>
        <w:rPr/>
        <w:instrText xml:space="preserve"> REF _Ref125709153 \r \h </w:instrText>
      </w:r>
      <w:r>
        <w:rPr/>
        <w:fldChar w:fldCharType="separate"/>
      </w:r>
      <w:r>
        <w:rPr/>
        <w:t>8.3</w:t>
      </w:r>
      <w:r>
        <w:rPr/>
        <w:fldChar w:fldCharType="end"/>
      </w:r>
      <w:r>
        <w:rPr/>
        <w:t>);</w:t>
      </w:r>
    </w:p>
    <w:p>
      <w:pPr>
        <w:pStyle w:val="Style25"/>
        <w:rPr/>
      </w:pPr>
      <w:r>
        <w:rPr/>
        <w:t>квалификационные требования – Участники должны им соответствовать, если они установлены (подраздел </w:t>
      </w:r>
      <w:r>
        <w:rPr/>
        <w:fldChar w:fldCharType="begin"/>
      </w:r>
      <w:r>
        <w:rPr/>
        <w:instrText xml:space="preserve"> REF _Ref125709154 \r \h </w:instrText>
      </w:r>
      <w:r>
        <w:rPr/>
        <w:fldChar w:fldCharType="separate"/>
      </w:r>
      <w:r>
        <w:rPr/>
        <w:t>8.4</w:t>
      </w:r>
      <w:r>
        <w:rPr/>
        <w:fldChar w:fldCharType="end"/>
      </w:r>
      <w:r>
        <w:rPr/>
        <w:t>).</w:t>
      </w:r>
    </w:p>
    <w:p>
      <w:pPr>
        <w:pStyle w:val="Style24"/>
        <w:keepNext w:val="true"/>
        <w:rPr/>
      </w:pPr>
      <w:r>
        <w:rPr/>
        <w:t>В рамках требований к Участникам могут быть установлены дополнительные требования:</w:t>
      </w:r>
    </w:p>
    <w:p>
      <w:pPr>
        <w:pStyle w:val="Style25"/>
        <w:rPr/>
      </w:pPr>
      <w:r>
        <w:rPr/>
        <w:t>к Коллективным участникам (подраздел </w:t>
      </w:r>
      <w:r>
        <w:rPr/>
        <w:fldChar w:fldCharType="begin"/>
      </w:r>
      <w:r>
        <w:rPr/>
        <w:instrText xml:space="preserve"> REF _Ref130308111 \r \h </w:instrText>
      </w:r>
      <w:r>
        <w:rPr/>
        <w:fldChar w:fldCharType="separate"/>
      </w:r>
      <w:r>
        <w:rPr/>
        <w:t>3.2</w:t>
      </w:r>
      <w:r>
        <w:rPr/>
        <w:fldChar w:fldCharType="end"/>
      </w:r>
      <w:r>
        <w:rPr/>
        <w:t>);</w:t>
      </w:r>
    </w:p>
    <w:p>
      <w:pPr>
        <w:pStyle w:val="Style25"/>
        <w:rPr/>
      </w:pPr>
      <w:r>
        <w:rPr/>
        <w:t>к Генеральным подрядчикам (подраздел </w:t>
      </w:r>
      <w:r>
        <w:rPr/>
        <w:fldChar w:fldCharType="begin"/>
      </w:r>
      <w:r>
        <w:rPr/>
        <w:instrText xml:space="preserve"> REF _Ref125361702 \r \h </w:instrText>
      </w:r>
      <w:r>
        <w:rPr/>
        <w:fldChar w:fldCharType="separate"/>
      </w:r>
      <w:r>
        <w:rPr/>
        <w:t>3.3</w:t>
      </w:r>
      <w:r>
        <w:rPr/>
        <w:fldChar w:fldCharType="end"/>
      </w:r>
      <w:r>
        <w:rPr/>
        <w:t>).</w:t>
      </w:r>
    </w:p>
    <w:p>
      <w:pPr>
        <w:pStyle w:val="Style24"/>
        <w:rPr/>
      </w:pPr>
      <w:r>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Style13"/>
          </w:rPr>
          <w:t>Требованиях к Участникам (Приложение № 3)</w:t>
        </w:r>
      </w:hyperlink>
      <w:r>
        <w:rPr/>
        <w:t>, если иное не установлено в Документации о закупке.</w:t>
      </w:r>
    </w:p>
    <w:p>
      <w:pPr>
        <w:pStyle w:val="Style23"/>
        <w:rPr/>
      </w:pPr>
      <w:bookmarkStart w:id="78" w:name="_Ref125361976"/>
      <w:bookmarkStart w:id="79" w:name="_Ref125361969"/>
      <w:bookmarkStart w:id="80" w:name="_Toc186224283"/>
      <w:bookmarkStart w:id="81" w:name="_Ref130308255"/>
      <w:bookmarkStart w:id="82" w:name="_Ref130308203"/>
      <w:bookmarkStart w:id="83" w:name="_Ref130308111"/>
      <w:bookmarkStart w:id="84" w:name="_Ref130305355"/>
      <w:bookmarkStart w:id="85" w:name="_Ref130308062"/>
      <w:r>
        <w:rPr/>
        <w:t>Коллективные участники</w:t>
      </w:r>
      <w:bookmarkEnd w:id="78"/>
      <w:bookmarkEnd w:id="79"/>
      <w:bookmarkEnd w:id="80"/>
      <w:bookmarkEnd w:id="81"/>
      <w:bookmarkEnd w:id="82"/>
      <w:bookmarkEnd w:id="83"/>
      <w:bookmarkEnd w:id="84"/>
      <w:bookmarkEnd w:id="85"/>
    </w:p>
    <w:p>
      <w:pPr>
        <w:pStyle w:val="Style24"/>
        <w:rPr/>
      </w:pPr>
      <w:r>
        <w:rPr/>
        <w:t>В закупке могут участвовать объединения юридических и (или) физических лиц (в том числе индивидуальные предприниматели), способные на законных основаниях выполнить требуемую поставку продукции – Коллективный участник.</w:t>
      </w:r>
    </w:p>
    <w:p>
      <w:pPr>
        <w:pStyle w:val="Style24"/>
        <w:rPr/>
      </w:pPr>
      <w:r>
        <w:rPr/>
        <w:t>Если заявка подается Коллективным участником, дополнительно должны быть выполнены требования настоящего подраздела, а также требования к дополнительным документам, предоставляемым Коллективными участниками в составе заявки, установленные в подразделе </w:t>
      </w:r>
      <w:r>
        <w:rPr/>
        <w:fldChar w:fldCharType="begin"/>
      </w:r>
      <w:r>
        <w:rPr/>
        <w:instrText xml:space="preserve"> REF _Ref125552455 \r \h </w:instrText>
      </w:r>
      <w:r>
        <w:rPr/>
        <w:fldChar w:fldCharType="separate"/>
      </w:r>
      <w:r>
        <w:rPr/>
        <w:t>8.5</w:t>
      </w:r>
      <w:r>
        <w:rPr/>
        <w:fldChar w:fldCharType="end"/>
      </w:r>
      <w:r>
        <w:rPr/>
        <w:t xml:space="preserve"> </w:t>
      </w:r>
      <w:hyperlink w:anchor="Прил03_ТребованияУчастникам">
        <w:r>
          <w:rPr>
            <w:rStyle w:val="Style13"/>
          </w:rPr>
          <w:t>Требований к Участникам (Приложение № 3)</w:t>
        </w:r>
      </w:hyperlink>
      <w:r>
        <w:rPr/>
        <w:t>.</w:t>
      </w:r>
    </w:p>
    <w:p>
      <w:pPr>
        <w:pStyle w:val="Style24"/>
        <w:keepNext w:val="true"/>
        <w:rPr/>
      </w:pPr>
      <w:bookmarkStart w:id="86" w:name="_Ref125366972"/>
      <w:r>
        <w:rPr/>
        <w:t>Члены Коллективного участника заключают между собой соглашение, соответствующее нормам ГК РФ, и отвечающее следующим требованиям:</w:t>
      </w:r>
      <w:bookmarkEnd w:id="86"/>
    </w:p>
    <w:p>
      <w:pPr>
        <w:pStyle w:val="Style25"/>
        <w:rPr/>
      </w:pPr>
      <w:r>
        <w:rPr/>
        <w:t>в соглашении должны быть определены права и обязанности сторон как в рамках участия в закупке, так и в рамках исполнения Договора;</w:t>
      </w:r>
    </w:p>
    <w:p>
      <w:pPr>
        <w:pStyle w:val="Style25"/>
        <w:rPr/>
      </w:pPr>
      <w:r>
        <w:rPr/>
        <w:t>в соглашении должно быть приведено распределение номенклатуры, объемов и стоимости, а также сроков поставки продукции между членами Коллективного участника;</w:t>
      </w:r>
    </w:p>
    <w:p>
      <w:pPr>
        <w:pStyle w:val="Style25"/>
        <w:rPr/>
      </w:pPr>
      <w:r>
        <w:rPr/>
        <w:t>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Заказчиком;</w:t>
      </w:r>
    </w:p>
    <w:p>
      <w:pPr>
        <w:pStyle w:val="Style25"/>
        <w:rPr/>
      </w:pPr>
      <w:r>
        <w:rPr/>
        <w:t>в соглашении должна быть установлена солидарная ответственность каждого члена Коллективного участника по обязательствам, связанным с участием в закупке, заключением и последующим исполнением Договора;</w:t>
      </w:r>
    </w:p>
    <w:p>
      <w:pPr>
        <w:pStyle w:val="Style25"/>
        <w:rPr/>
      </w:pPr>
      <w:r>
        <w:rPr/>
        <w:t>срок действия соглашения должен быть не менее срока исполнения обязательств Участника по Договору, предлагаемого в составе заявки;</w:t>
      </w:r>
    </w:p>
    <w:p>
      <w:pPr>
        <w:pStyle w:val="Style25"/>
        <w:rPr/>
      </w:pPr>
      <w:r>
        <w:rP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pPr>
        <w:pStyle w:val="Style24"/>
        <w:rPr/>
      </w:pPr>
      <w:r>
        <w:rPr/>
        <w:t>Заявка подготавливается и подается лидером от своего имени со ссылкой в Письме о подаче оферты (форма 2) (</w:t>
      </w:r>
      <w:hyperlink w:anchor="Прил04_ФормыЗаявки">
        <w:r>
          <w:rPr>
            <w:rStyle w:val="Style13"/>
          </w:rPr>
          <w:t>Приложение № 4</w:t>
        </w:r>
      </w:hyperlink>
      <w:r>
        <w:rPr/>
        <w:t>) на то, что он представляет интересы Коллективного участника.</w:t>
      </w:r>
    </w:p>
    <w:p>
      <w:pPr>
        <w:pStyle w:val="Style24"/>
        <w:rPr/>
      </w:pPr>
      <w:bookmarkStart w:id="87" w:name="_Ref125368791"/>
      <w:r>
        <w:rPr/>
        <w:t>Каждый член Коллективного участника (включая лидера Коллективного участника) должен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bookmarkEnd w:id="87"/>
    </w:p>
    <w:p>
      <w:pPr>
        <w:pStyle w:val="Style24"/>
        <w:rPr/>
      </w:pPr>
      <w:r>
        <w:rPr/>
        <w:t>При рассмотрении и оценке Коллективного участника на соответствие специальным требованиям к Участникам (подраздел </w:t>
      </w:r>
      <w:r>
        <w:rPr/>
        <w:fldChar w:fldCharType="begin"/>
      </w:r>
      <w:r>
        <w:rPr/>
        <w:instrText xml:space="preserve"> REF _Ref125709153 \r \h </w:instrText>
      </w:r>
      <w:r>
        <w:rPr/>
        <w:fldChar w:fldCharType="separate"/>
      </w:r>
      <w:r>
        <w:rPr/>
        <w:t>8.3</w:t>
      </w:r>
      <w:r>
        <w:rPr/>
        <w:fldChar w:fldCharType="end"/>
      </w:r>
      <w:r>
        <w:rPr/>
        <w:t>) 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Style13"/>
          </w:rPr>
          <w:t>Приложение № 4</w:t>
        </w:r>
      </w:hyperlink>
      <w:r>
        <w:rPr/>
        <w:t>) будет поручена непосредственная поставка продукции, требующая наличия указанных специальных допусков, лицензий, разрешительных документов, членства в саморегулируемых организациях в соответствии с законодательством (с уровнем ответственности пропорционально порученному объему поставки продукции).</w:t>
      </w:r>
    </w:p>
    <w:p>
      <w:pPr>
        <w:pStyle w:val="Style24"/>
        <w:rPr/>
      </w:pPr>
      <w:bookmarkStart w:id="88" w:name="_Ref134705077"/>
      <w:r>
        <w:rPr/>
        <w:t>При рассмотрении и оценке Коллективного участника на соответствие квалификационным требованиям к Участникам (подраздел </w:t>
      </w:r>
      <w:r>
        <w:rPr/>
        <w:fldChar w:fldCharType="begin"/>
      </w:r>
      <w:r>
        <w:rPr/>
        <w:instrText xml:space="preserve"> REF _Ref125709154 \r \h </w:instrText>
      </w:r>
      <w:r>
        <w:rPr/>
        <w:fldChar w:fldCharType="separate"/>
      </w:r>
      <w:r>
        <w:rPr/>
        <w:t>8.4</w:t>
      </w:r>
      <w:r>
        <w:rPr/>
        <w:fldChar w:fldCharType="end"/>
      </w:r>
      <w:r>
        <w:rPr/>
        <w:t>), количественные параметры деятельности членов Коллективного участника (</w:t>
      </w:r>
      <w:bookmarkStart w:id="89" w:name="_Hlk132708323"/>
      <w:r>
        <w:rPr/>
        <w:t>наличие требуемого опыта, обеспеченность материально-техническими ресурсами и кадровыми ресурсами</w:t>
      </w:r>
      <w:bookmarkEnd w:id="89"/>
      <w:r>
        <w:rPr/>
        <w:t>) суммируются. Не подлежащие суммированию показатели, относящиеся к качественным характеристикам требуемого опыта,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Style13"/>
          </w:rPr>
          <w:t>Приложение № 4</w:t>
        </w:r>
      </w:hyperlink>
      <w:r>
        <w:rPr/>
        <w:t>) будет поручена непосредственная поставка продукции, требующая наличия указанного опыта и других показателей, не подлежащих суммированию.</w:t>
      </w:r>
      <w:bookmarkEnd w:id="88"/>
    </w:p>
    <w:p>
      <w:pPr>
        <w:pStyle w:val="Style24"/>
        <w:keepNext w:val="true"/>
        <w:rPr/>
      </w:pPr>
      <w:bookmarkStart w:id="90" w:name="_Ref125361726"/>
      <w:r>
        <w:rP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90"/>
    </w:p>
    <w:p>
      <w:pPr>
        <w:pStyle w:val="Style25"/>
        <w:rPr/>
      </w:pPr>
      <w:r>
        <w:rPr/>
        <w:t>принимать участие в этой же закупке самостоятельно;</w:t>
      </w:r>
    </w:p>
    <w:p>
      <w:pPr>
        <w:pStyle w:val="Style25"/>
        <w:rPr/>
      </w:pPr>
      <w:r>
        <w:rPr/>
        <w:t>принимать участие в этой же закупке в качестве Генерального подрядчика или субподрядчика (подраздел </w:t>
      </w:r>
      <w:r>
        <w:rPr/>
        <w:fldChar w:fldCharType="begin"/>
      </w:r>
      <w:r>
        <w:rPr/>
        <w:instrText xml:space="preserve"> REF _Ref125361702 \r \h </w:instrText>
      </w:r>
      <w:r>
        <w:rPr/>
        <w:fldChar w:fldCharType="separate"/>
      </w:r>
      <w:r>
        <w:rPr/>
        <w:t>3.3</w:t>
      </w:r>
      <w:r>
        <w:rPr/>
        <w:fldChar w:fldCharType="end"/>
      </w:r>
      <w:r>
        <w:rPr/>
        <w:t>).</w:t>
      </w:r>
    </w:p>
    <w:p>
      <w:pPr>
        <w:pStyle w:val="Style28"/>
        <w:ind w:left="1134" w:hanging="0"/>
        <w:rPr/>
      </w:pPr>
      <w:r>
        <w:rPr/>
        <w:t>В случае невыполнения данного требования все заявки с участием таких лиц будут отклонены без рассмотрения по существу.</w:t>
      </w:r>
    </w:p>
    <w:p>
      <w:pPr>
        <w:pStyle w:val="Style24"/>
        <w:rPr/>
      </w:pPr>
      <w:r>
        <w:rP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r>
          <w:rPr>
            <w:rStyle w:val="Style13"/>
          </w:rPr>
          <w:t>Приложение № 3</w:t>
        </w:r>
      </w:hyperlink>
      <w:r>
        <w:rPr>
          <w:rStyle w:val="Style13"/>
        </w:rPr>
        <w:t>)</w:t>
      </w:r>
      <w:r>
        <w:rPr/>
        <w:t>, а также при несоблюдении вышеуказанных норм настоящего подраздела, заявка такого Коллективного участника отклоняется.</w:t>
      </w:r>
    </w:p>
    <w:p>
      <w:pPr>
        <w:pStyle w:val="Style24"/>
        <w:rPr/>
      </w:pPr>
      <w:r>
        <w:rP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pPr>
        <w:pStyle w:val="Style24"/>
        <w:rPr/>
      </w:pPr>
      <w:r>
        <w:rP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pPr>
        <w:pStyle w:val="Style23"/>
        <w:rPr/>
      </w:pPr>
      <w:bookmarkStart w:id="91" w:name="_Ref125361702"/>
      <w:bookmarkStart w:id="92" w:name="_Toc186224284"/>
      <w:r>
        <w:rPr/>
        <w:t>Генеральные подрядчики</w:t>
      </w:r>
      <w:bookmarkEnd w:id="91"/>
      <w:bookmarkEnd w:id="92"/>
    </w:p>
    <w:p>
      <w:pPr>
        <w:pStyle w:val="Style24"/>
        <w:rPr/>
      </w:pPr>
      <w:r>
        <w:rPr/>
        <w:t>Нормы настоящего подраздела применяются только,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рассмотрение и оценка заявок Участников с учетом привлекаемых субподрядчиков.</w:t>
      </w:r>
    </w:p>
    <w:p>
      <w:pPr>
        <w:pStyle w:val="Style24"/>
        <w:rPr/>
      </w:pPr>
      <w:r>
        <w:rP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rPr/>
        <w:fldChar w:fldCharType="begin"/>
      </w:r>
      <w:r>
        <w:rPr/>
        <w:instrText xml:space="preserve"> REF _Ref125709777 \r \h </w:instrText>
      </w:r>
      <w:r>
        <w:rPr/>
        <w:fldChar w:fldCharType="separate"/>
      </w:r>
      <w:r>
        <w:rPr/>
        <w:t>8.6</w:t>
      </w:r>
      <w:r>
        <w:rPr/>
        <w:fldChar w:fldCharType="end"/>
      </w:r>
      <w:r>
        <w:rPr/>
        <w:t xml:space="preserve"> </w:t>
      </w:r>
      <w:hyperlink w:anchor="Прил03_ТребованияУчастникам">
        <w:r>
          <w:rPr>
            <w:rStyle w:val="Style13"/>
          </w:rPr>
          <w:t>Требований к Участникам (Приложение № 3)</w:t>
        </w:r>
      </w:hyperlink>
      <w:r>
        <w:rPr/>
        <w:t>.</w:t>
      </w:r>
    </w:p>
    <w:p>
      <w:pPr>
        <w:pStyle w:val="Style24"/>
        <w:keepNext w:val="true"/>
        <w:rPr/>
      </w:pPr>
      <w:r>
        <w:rPr/>
        <w:t>Генеральный подрядчик:</w:t>
      </w:r>
    </w:p>
    <w:p>
      <w:pPr>
        <w:pStyle w:val="Style25"/>
        <w:rPr/>
      </w:pPr>
      <w:r>
        <w:rPr/>
        <w:t>должен самостоятельно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p>
    <w:p>
      <w:pPr>
        <w:pStyle w:val="Style25"/>
        <w:rPr/>
      </w:pPr>
      <w:r>
        <w:rPr/>
        <w:t>в рамках специальных требований (подраздел </w:t>
      </w:r>
      <w:r>
        <w:rPr/>
        <w:fldChar w:fldCharType="begin"/>
      </w:r>
      <w:r>
        <w:rPr/>
        <w:instrText xml:space="preserve"> REF _Ref125709153 \r \h </w:instrText>
      </w:r>
      <w:r>
        <w:rPr/>
        <w:fldChar w:fldCharType="separate"/>
      </w:r>
      <w:r>
        <w:rPr/>
        <w:t>8.3</w:t>
      </w:r>
      <w:r>
        <w:rPr/>
        <w:fldChar w:fldCharType="end"/>
      </w:r>
      <w:r>
        <w:rP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pPr>
        <w:pStyle w:val="Style25"/>
        <w:rPr/>
      </w:pPr>
      <w:r>
        <w:rPr/>
        <w:t>в рамках остальных специальных требований и квалификационных требований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 должен отвечать им только в части объема поставки продукции, который ему предполагается поручить в соответствии с Планом распределения объемов поставки продукции (форма 11) (</w:t>
      </w:r>
      <w:hyperlink w:anchor="Прил04_ФормыЗаявки">
        <w:r>
          <w:rPr>
            <w:rStyle w:val="Style13"/>
          </w:rPr>
          <w:t>Приложение № 4</w:t>
        </w:r>
      </w:hyperlink>
      <w:r>
        <w:rPr/>
        <w:t>).</w:t>
      </w:r>
    </w:p>
    <w:p>
      <w:pPr>
        <w:pStyle w:val="Style24"/>
        <w:keepNext w:val="true"/>
        <w:rPr/>
      </w:pPr>
      <w:r>
        <w:rPr/>
        <w:t>Каждый субподрядчик из привлекаемых Генеральным подрядчиком должен отвечать:</w:t>
      </w:r>
    </w:p>
    <w:p>
      <w:pPr>
        <w:pStyle w:val="Style25"/>
        <w:rPr/>
      </w:pPr>
      <w:r>
        <w:rPr/>
        <w:t>обязательным требованиям (подраздел </w:t>
      </w:r>
      <w:r>
        <w:rPr/>
        <w:fldChar w:fldCharType="begin"/>
      </w:r>
      <w:r>
        <w:rPr/>
        <w:instrText xml:space="preserve"> REF _Ref125361435 \r \h </w:instrText>
      </w:r>
      <w:r>
        <w:rPr/>
        <w:fldChar w:fldCharType="separate"/>
      </w:r>
      <w:r>
        <w:rPr/>
        <w:t>8.2</w:t>
      </w:r>
      <w:r>
        <w:rPr/>
        <w:fldChar w:fldCharType="end"/>
      </w:r>
      <w:r>
        <w:rPr/>
        <w:t>);</w:t>
      </w:r>
    </w:p>
    <w:p>
      <w:pPr>
        <w:pStyle w:val="Style25"/>
        <w:rPr/>
      </w:pPr>
      <w:r>
        <w:rPr/>
        <w:t>специальным требованиям (подраздел </w:t>
      </w:r>
      <w:r>
        <w:rPr/>
        <w:fldChar w:fldCharType="begin"/>
      </w:r>
      <w:r>
        <w:rPr/>
        <w:instrText xml:space="preserve"> REF _Ref125709153 \r \h </w:instrText>
      </w:r>
      <w:r>
        <w:rPr/>
        <w:fldChar w:fldCharType="separate"/>
      </w:r>
      <w:r>
        <w:rPr/>
        <w:t>8.3</w:t>
      </w:r>
      <w:r>
        <w:rPr/>
        <w:fldChar w:fldCharType="end"/>
      </w:r>
      <w:r>
        <w:rPr/>
        <w:t>) (в случае их установления), за исключением требования о наличии членства в саморегулируемых организациях;</w:t>
      </w:r>
    </w:p>
    <w:p>
      <w:pPr>
        <w:pStyle w:val="Style25"/>
        <w:rPr/>
      </w:pPr>
      <w:r>
        <w:rPr/>
        <w:t>квалификационным требованиям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w:t>
      </w:r>
    </w:p>
    <w:p>
      <w:pPr>
        <w:pStyle w:val="Style28"/>
        <w:ind w:left="1134" w:hanging="0"/>
        <w:rPr/>
      </w:pPr>
      <w:bookmarkStart w:id="93" w:name="_Ref125368863"/>
      <w:r>
        <w:rPr/>
        <w:t xml:space="preserve">При этом соответствовать специальным и квалификационным требованиям субподрядчик должен только в части объема поставки продукции, который ему поручен </w:t>
      </w:r>
      <w:bookmarkEnd w:id="93"/>
      <w:r>
        <w:rPr/>
        <w:t>в соответствии с Планом распределения объемов поставки продукции (форма 11) (</w:t>
      </w:r>
      <w:hyperlink w:anchor="Прил04_ФормыЗаявки">
        <w:r>
          <w:rPr>
            <w:rStyle w:val="Style13"/>
          </w:rPr>
          <w:t>Приложение № 4</w:t>
        </w:r>
      </w:hyperlink>
      <w:r>
        <w:rPr/>
        <w:t>).</w:t>
      </w:r>
    </w:p>
    <w:p>
      <w:pPr>
        <w:pStyle w:val="Style24"/>
        <w:rPr/>
      </w:pPr>
      <w:r>
        <w:rP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Style13"/>
          </w:rPr>
          <w:t>Порядке и критериях оценки и сопоставления заявок (Приложение № 8)</w:t>
        </w:r>
      </w:hyperlink>
      <w:r>
        <w:rP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pPr>
        <w:pStyle w:val="Style24"/>
        <w:rPr/>
      </w:pPr>
      <w:bookmarkStart w:id="94" w:name="_Ref125361799"/>
      <w:r>
        <w:rP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 </w:t>
      </w:r>
      <w:r>
        <w:rPr/>
        <w:fldChar w:fldCharType="begin"/>
      </w:r>
      <w:r>
        <w:rPr/>
        <w:instrText xml:space="preserve"> REF _Ref130308203 \r \h </w:instrText>
      </w:r>
      <w:r>
        <w:rPr/>
        <w:fldChar w:fldCharType="separate"/>
      </w:r>
      <w:r>
        <w:rPr/>
        <w:t>3.2</w:t>
      </w:r>
      <w:r>
        <w:rPr/>
        <w:fldChar w:fldCharType="end"/>
      </w:r>
      <w:r>
        <w:rP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 без рассмотрения по существу.</w:t>
      </w:r>
      <w:bookmarkEnd w:id="94"/>
    </w:p>
    <w:p>
      <w:pPr>
        <w:sectPr>
          <w:headerReference w:type="default" r:id="rId6"/>
          <w:footerReference w:type="default" r:id="rId7"/>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4"/>
        <w:rPr/>
      </w:pPr>
      <w:r>
        <w:rPr/>
        <w:t>Если подразделом </w:t>
      </w:r>
      <w:r>
        <w:rPr/>
        <w:fldChar w:fldCharType="begin"/>
      </w:r>
      <w:r>
        <w:rPr/>
        <w:instrText xml:space="preserve"> REF _Ref125359973 \r \h </w:instrText>
      </w:r>
      <w:r>
        <w:rPr/>
        <w:fldChar w:fldCharType="separate"/>
      </w:r>
      <w:r>
        <w:rPr/>
        <w:t>1.2</w:t>
      </w:r>
      <w:r>
        <w:rPr/>
        <w:fldChar w:fldCharType="end"/>
      </w:r>
      <w:r>
        <w:rP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rPr/>
        <w:fldChar w:fldCharType="begin"/>
      </w:r>
      <w:r>
        <w:rPr/>
        <w:instrText xml:space="preserve"> REF _Ref125709973 \r \h </w:instrText>
      </w:r>
      <w:r>
        <w:rPr/>
        <w:fldChar w:fldCharType="separate"/>
      </w:r>
      <w:r>
        <w:rPr/>
        <w:t>8.6</w:t>
      </w:r>
      <w:r>
        <w:rPr/>
        <w:fldChar w:fldCharType="end"/>
      </w:r>
      <w:r>
        <w:rPr/>
        <w:t xml:space="preserve"> </w:t>
      </w:r>
      <w:hyperlink w:anchor="Прил03_ТребованияУчастникам">
        <w:r>
          <w:rPr>
            <w:rStyle w:val="Style13"/>
          </w:rPr>
          <w:t>Требований к Участникам (Приложение № 3)</w:t>
        </w:r>
      </w:hyperlink>
      <w:r>
        <w:rPr/>
        <w:t>.Ответственность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pPr>
        <w:pStyle w:val="Style22"/>
        <w:rPr/>
      </w:pPr>
      <w:bookmarkStart w:id="95" w:name="_Ref125367098"/>
      <w:bookmarkStart w:id="96" w:name="_Toc186224285"/>
      <w:bookmarkStart w:id="97" w:name="_Ref125367974"/>
      <w:bookmarkStart w:id="98" w:name="_Ref125361211"/>
      <w:bookmarkStart w:id="99" w:name="_Ref125367107"/>
      <w:r>
        <w:rPr/>
        <w:t>Порядок проведения закупки</w:t>
      </w:r>
      <w:bookmarkEnd w:id="95"/>
      <w:bookmarkEnd w:id="96"/>
      <w:bookmarkEnd w:id="97"/>
      <w:bookmarkEnd w:id="98"/>
      <w:bookmarkEnd w:id="99"/>
    </w:p>
    <w:p>
      <w:pPr>
        <w:pStyle w:val="Style23"/>
        <w:rPr/>
      </w:pPr>
      <w:bookmarkStart w:id="100" w:name="_Ref126141932"/>
      <w:bookmarkStart w:id="101" w:name="_Toc186224286"/>
      <w:r>
        <w:rPr/>
        <w:t>Общий порядок проведения закупки</w:t>
      </w:r>
      <w:bookmarkEnd w:id="100"/>
      <w:bookmarkEnd w:id="101"/>
    </w:p>
    <w:p>
      <w:pPr>
        <w:pStyle w:val="Style24"/>
        <w:keepNext w:val="true"/>
        <w:spacing w:before="120" w:after="120"/>
        <w:rPr/>
      </w:pPr>
      <w:r>
        <w:rPr/>
        <w:t>Закупка проводится в следующем порядке:</w:t>
      </w:r>
    </w:p>
    <w:tbl>
      <w:tblPr>
        <w:tblStyle w:val="af5"/>
        <w:tblW w:w="14003" w:type="dxa"/>
        <w:jc w:val="left"/>
        <w:tblInd w:w="1129" w:type="dxa"/>
        <w:tblLayout w:type="fixed"/>
        <w:tblCellMar>
          <w:top w:w="0" w:type="dxa"/>
          <w:left w:w="0" w:type="dxa"/>
          <w:bottom w:w="0" w:type="dxa"/>
          <w:right w:w="5" w:type="dxa"/>
        </w:tblCellMar>
        <w:tblLook w:val="04a0" w:noHBand="0" w:noVBand="1" w:firstColumn="1" w:lastRow="0" w:lastColumn="0" w:firstRow="1"/>
      </w:tblPr>
      <w:tblGrid>
        <w:gridCol w:w="428"/>
        <w:gridCol w:w="2221"/>
        <w:gridCol w:w="1112"/>
        <w:gridCol w:w="1109"/>
        <w:gridCol w:w="2226"/>
        <w:gridCol w:w="2409"/>
        <w:gridCol w:w="2267"/>
        <w:gridCol w:w="2230"/>
      </w:tblGrid>
      <w:tr>
        <w:trPr>
          <w:cnfStyle w:val="100000000000" w:firstRow="1" w:lastRow="0" w:firstColumn="0" w:lastColumn="0" w:oddVBand="0" w:evenVBand="0" w:oddHBand="0" w:evenHBand="0" w:firstRowFirstColumn="0" w:firstRowLastColumn="0" w:lastRowFirstColumn="0" w:lastRowLastColumn="0"/>
        </w:trPr>
        <w:tc>
          <w:tcPr>
            <w:tcW w:w="428" w:type="dxa"/>
            <w:tcBorders>
              <w:left w:val="nil"/>
            </w:tcBorders>
            <w:vAlign w:val="bottom"/>
          </w:tcPr>
          <w:p>
            <w:pPr>
              <w:pStyle w:val="Style28"/>
              <w:keepNext w:val="true"/>
              <w:keepLines w:val="false"/>
              <w:widowControl w:val="false"/>
              <w:suppressAutoHyphens w:val="true"/>
              <w:spacing w:before="40" w:after="40"/>
              <w:jc w:val="center"/>
              <w:rPr>
                <w:b w:val="false"/>
                <w:bCs/>
                <w:sz w:val="24"/>
                <w:szCs w:val="24"/>
              </w:rPr>
            </w:pPr>
            <w:r>
              <w:rPr>
                <w:rFonts w:eastAsia="Wingdings 3" w:cs="Wingdings 3" w:ascii="Wingdings 3" w:hAnsi="Wingdings 3"/>
                <w:b w:val="false"/>
                <w:bCs/>
                <w:kern w:val="0"/>
                <w:sz w:val="24"/>
                <w:szCs w:val="24"/>
                <w:lang w:val="ru-RU" w:eastAsia="en-US" w:bidi="ar-SA"/>
              </w:rPr>
              <w:sym w:font="Wingdings 3" w:char="f0d4"/>
            </w:r>
          </w:p>
        </w:tc>
        <w:tc>
          <w:tcPr>
            <w:tcW w:w="13574" w:type="dxa"/>
            <w:gridSpan w:val="7"/>
            <w:tcBorders>
              <w:right w:val="nil"/>
            </w:tcBorders>
          </w:tcPr>
          <w:p>
            <w:pPr>
              <w:pStyle w:val="Style28"/>
              <w:keepNext w:val="true"/>
              <w:keepLines w:val="false"/>
              <w:widowControl w:val="false"/>
              <w:suppressAutoHyphens w:val="true"/>
              <w:spacing w:before="40" w:after="40"/>
              <w:jc w:val="center"/>
              <w:rPr>
                <w:b w:val="false"/>
                <w:bCs/>
                <w:sz w:val="24"/>
                <w:szCs w:val="24"/>
              </w:rPr>
            </w:pPr>
            <w:r>
              <w:rPr>
                <w:rFonts w:eastAsia="Calibri" w:cs=""/>
                <w:b/>
                <w:bCs/>
                <w:kern w:val="0"/>
                <w:sz w:val="24"/>
                <w:szCs w:val="24"/>
                <w:lang w:val="ru-RU" w:eastAsia="en-US" w:bidi="ar-SA"/>
              </w:rPr>
              <w:t>Официальное размещение Извещения и Документации о закупке (подраздел </w:t>
            </w:r>
            <w:r>
              <w:rPr>
                <w:rFonts w:eastAsia="Calibri" w:cs=""/>
                <w:b/>
                <w:bCs/>
                <w:kern w:val="0"/>
                <w:sz w:val="24"/>
                <w:szCs w:val="24"/>
                <w:lang w:val="ru-RU" w:eastAsia="en-US" w:bidi="ar-SA"/>
              </w:rPr>
              <w:fldChar w:fldCharType="begin"/>
            </w:r>
            <w:r>
              <w:rPr>
                <w:sz w:val="24"/>
                <w:b/>
                <w:kern w:val="0"/>
                <w:szCs w:val="24"/>
                <w:bCs/>
                <w:rFonts w:eastAsia="Calibri" w:cs=""/>
                <w:lang w:val="ru-RU" w:eastAsia="en-US" w:bidi="ar-SA"/>
              </w:rPr>
              <w:instrText xml:space="preserve"> REF _Ref130286532 \r \h </w:instrText>
            </w:r>
            <w:r>
              <w:rPr>
                <w:sz w:val="24"/>
                <w:b/>
                <w:kern w:val="0"/>
                <w:szCs w:val="24"/>
                <w:bCs/>
                <w:rFonts w:eastAsia="Calibri" w:cs=""/>
                <w:lang w:val="ru-RU" w:eastAsia="en-US" w:bidi="ar-SA"/>
              </w:rPr>
              <w:fldChar w:fldCharType="separate"/>
            </w:r>
            <w:r>
              <w:rPr>
                <w:sz w:val="24"/>
                <w:b/>
                <w:kern w:val="0"/>
                <w:szCs w:val="24"/>
                <w:bCs/>
                <w:rFonts w:eastAsia="Calibri" w:cs=""/>
                <w:lang w:val="ru-RU" w:eastAsia="en-US" w:bidi="ar-SA"/>
              </w:rPr>
              <w:t>4.2</w:t>
            </w:r>
            <w:r>
              <w:rPr>
                <w:sz w:val="24"/>
                <w:b/>
                <w:kern w:val="0"/>
                <w:szCs w:val="24"/>
                <w:bCs/>
                <w:rFonts w:eastAsia="Calibri" w:cs=""/>
                <w:lang w:val="ru-RU" w:eastAsia="en-US" w:bidi="ar-SA"/>
              </w:rPr>
              <w:fldChar w:fldCharType="end"/>
            </w:r>
            <w:r>
              <w:rPr>
                <w:rFonts w:eastAsia="Calibri" w:cs=""/>
                <w:b/>
                <w:bCs/>
                <w:kern w:val="0"/>
                <w:sz w:val="24"/>
                <w:szCs w:val="24"/>
                <w:lang w:val="ru-RU" w:eastAsia="en-US" w:bidi="ar-SA"/>
              </w:rPr>
              <w:t>)</w:t>
            </w:r>
          </w:p>
        </w:tc>
      </w:tr>
      <w:tr>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4"/>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Подготовка заявки (раздел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_Ref130281199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09" w:type="dxa"/>
            <w:vMerge w:val="restart"/>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Предоставление разъяснений положений Документации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_Ref130394802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7" w:type="dxa"/>
            <w:vMerge w:val="restart"/>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Внесение изменений в Извещение и (или) Документацию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_Ref125362076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restart"/>
            <w:tcBorders>
              <w:right w:val="nil"/>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3"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Подача заявок и их прием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5"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Изменение и отзыв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_Ref125362130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09"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67"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vAlign w:val="bottom"/>
          </w:tcPr>
          <w:p>
            <w:pPr>
              <w:pStyle w:val="Style28"/>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11344" w:type="dxa"/>
            <w:gridSpan w:val="6"/>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Открытие доступа к заявкам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_Ref130221619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4.8</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30" w:type="dxa"/>
            <w:vMerge w:val="restart"/>
            <w:tcBorders>
              <w:right w:val="nil"/>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 по обстоятельствам непреодолимой силы в соответствии с гражданским законодательством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3"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заявок (отборочная стадия), в том числе (при необходимости) проведение аккредитации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_Ref125362364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4.9</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5"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 национального режима или запрета)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09" w:type="dxa"/>
            <w:vMerge w:val="restart"/>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Направление дополнительных запросов разъяснений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7" w:type="dxa"/>
            <w:vMerge w:val="restart"/>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Признание закупки</w:t>
              <w:br/>
              <w:t>несостоявшейся</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_Ref125364149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4"/>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Переторжка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_Ref127536359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4.11</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09"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67"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rHeight w:val="881" w:hRule="atLeast"/>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3" w:type="dxa"/>
            <w:gridSpan w:val="2"/>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Оценка и сопоставление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_Ref125362626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5"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учета установленного преимущества в цене предложения, если применимо)</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09"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67"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9077" w:type="dxa"/>
            <w:gridSpan w:val="5"/>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Подведение итогов закупки (определение Победителя)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_Ref125362658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7"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28"/>
              <w:widowControl w:val="false"/>
              <w:suppressAutoHyphens w:val="true"/>
              <w:spacing w:before="40" w:after="40"/>
              <w:jc w:val="center"/>
              <w:rPr>
                <w:bCs/>
                <w:sz w:val="24"/>
                <w:szCs w:val="24"/>
                <w:u w:val="single"/>
              </w:rPr>
            </w:pPr>
            <w:r>
              <w:rPr>
                <w:rFonts w:eastAsia="Wingdings 3" w:cs="Wingdings 3" w:ascii="Wingdings 3" w:hAnsi="Wingdings 3"/>
                <w:bCs/>
                <w:kern w:val="0"/>
                <w:sz w:val="24"/>
                <w:szCs w:val="24"/>
                <w:u w:val="single"/>
                <w:lang w:val="ru-RU" w:eastAsia="en-US" w:bidi="ar-SA"/>
              </w:rPr>
              <w:sym w:font="Wingdings 3" w:char="f0d4"/>
            </w:r>
          </w:p>
        </w:tc>
        <w:tc>
          <w:tcPr>
            <w:tcW w:w="2221" w:type="dxa"/>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Заключение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_Ref138232981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21"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ограничения на стадии заключения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635"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Проведение преддоговорных переговоров</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_Ref125552570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4497" w:type="dxa"/>
            <w:gridSpan w:val="2"/>
            <w:tcBorders>
              <w:right w:val="nil"/>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Уклонение Победителя</w:t>
              <w:br/>
              <w:t>от заключения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_Ref125367068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bl>
    <w:p>
      <w:pPr>
        <w:sectPr>
          <w:headerReference w:type="default" r:id="rId8"/>
          <w:headerReference w:type="first" r:id="rId9"/>
          <w:footerReference w:type="default" r:id="rId10"/>
          <w:footerReference w:type="first" r:id="rId11"/>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3"/>
        <w:rPr/>
      </w:pPr>
      <w:bookmarkStart w:id="102" w:name="_Ref130286532"/>
      <w:bookmarkStart w:id="103" w:name="_Toc186224287"/>
      <w:r>
        <w:rPr/>
        <w:t>Официальное размещение Извещения и Документации о закупке</w:t>
      </w:r>
      <w:bookmarkEnd w:id="102"/>
      <w:bookmarkEnd w:id="103"/>
    </w:p>
    <w:p>
      <w:pPr>
        <w:pStyle w:val="Style24"/>
        <w:rPr/>
      </w:pPr>
      <w:r>
        <w:rPr/>
        <w:t>Извещение и Документация о закупке официально размещены на ЭП и доступны для ознакомления без взимания платы. Иные публикации не влекут для Организатора никаких последствий.</w:t>
      </w:r>
    </w:p>
    <w:p>
      <w:pPr>
        <w:pStyle w:val="Style24"/>
        <w:rPr/>
      </w:pPr>
      <w:r>
        <w:rPr/>
        <w:t>При возникновении технических или иных неполадок, блокирующих доступ к ЭП в течение более чем 1 (одного) рабочего дня, информация размещается на официальном сайте Заказчика с последующим размещением ее на ЭП в течение 1 (одного) рабочего дня со дня устранения указанных неполадок.</w:t>
      </w:r>
    </w:p>
    <w:p>
      <w:pPr>
        <w:pStyle w:val="Style24"/>
        <w:rPr/>
      </w:pPr>
      <w:bookmarkStart w:id="104" w:name="_Ref125362785"/>
      <w:r>
        <w:rPr/>
        <w:t>Порядок получения информации через ЭП определяется Регламентом ЭП, с использованием которой проводится закупка.</w:t>
      </w:r>
      <w:bookmarkEnd w:id="104"/>
    </w:p>
    <w:p>
      <w:pPr>
        <w:pStyle w:val="Style24"/>
        <w:rPr/>
      </w:pPr>
      <w:r>
        <w:rP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pPr>
        <w:pStyle w:val="Style23"/>
        <w:rPr/>
      </w:pPr>
      <w:bookmarkStart w:id="105" w:name="_Ref130281199"/>
      <w:bookmarkStart w:id="106" w:name="_Ref130394681"/>
      <w:bookmarkStart w:id="107" w:name="_Toc186224288"/>
      <w:r>
        <w:rPr/>
        <w:t>Подготовка заявки</w:t>
      </w:r>
      <w:bookmarkEnd w:id="105"/>
      <w:bookmarkEnd w:id="106"/>
      <w:bookmarkEnd w:id="107"/>
    </w:p>
    <w:p>
      <w:pPr>
        <w:pStyle w:val="Style24"/>
        <w:rPr/>
      </w:pPr>
      <w:r>
        <w:rPr/>
        <w:t>Участник должен подготовить заявку с учетом требований Документации о закупке.</w:t>
      </w:r>
    </w:p>
    <w:p>
      <w:pPr>
        <w:pStyle w:val="Style24"/>
        <w:rPr/>
      </w:pPr>
      <w:r>
        <w:rPr/>
        <w:t>Участник самостоятельно несет все расходы, связанные с подготовкой и подачей заявки (подраздел </w:t>
      </w:r>
      <w:r>
        <w:rPr/>
        <w:fldChar w:fldCharType="begin"/>
      </w:r>
      <w:r>
        <w:rPr/>
        <w:instrText xml:space="preserve"> REF _Ref125362119 \r \h </w:instrText>
      </w:r>
      <w:r>
        <w:rPr/>
        <w:fldChar w:fldCharType="separate"/>
      </w:r>
      <w:r>
        <w:rPr/>
        <w:t>4.6</w:t>
      </w:r>
      <w:r>
        <w:rPr/>
        <w:fldChar w:fldCharType="end"/>
      </w:r>
      <w:r>
        <w:rP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pPr>
        <w:pStyle w:val="Style24"/>
        <w:rPr/>
      </w:pPr>
      <w:r>
        <w:rP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Style13"/>
          </w:rPr>
          <w:t>Приложением № 6 – Состав заявки</w:t>
        </w:r>
      </w:hyperlink>
      <w:r>
        <w:rP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Style13"/>
          </w:rPr>
          <w:t>Приложение № 4</w:t>
        </w:r>
      </w:hyperlink>
      <w:r>
        <w:rPr/>
        <w:t>.</w:t>
      </w:r>
    </w:p>
    <w:p>
      <w:pPr>
        <w:pStyle w:val="Style24"/>
        <w:rPr/>
      </w:pPr>
      <w:bookmarkStart w:id="108" w:name="_Ref125365866"/>
      <w:bookmarkStart w:id="109" w:name="_Ref130394854"/>
      <w:r>
        <w:rP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108"/>
      <w:bookmarkEnd w:id="109"/>
    </w:p>
    <w:p>
      <w:pPr>
        <w:pStyle w:val="Style24"/>
        <w:rPr/>
      </w:pPr>
      <w:r>
        <w:rPr/>
        <w:t>Заявка должна быть действительна в течение срока проведения закупки и до истечения срока, отведенного на заключение Договора (пункт </w:t>
      </w:r>
      <w:r>
        <w:rPr/>
        <w:fldChar w:fldCharType="begin"/>
      </w:r>
      <w:r>
        <w:rPr/>
        <w:instrText xml:space="preserve"> REF _Ref130293821 \r \h </w:instrText>
      </w:r>
      <w:r>
        <w:rPr/>
        <w:fldChar w:fldCharType="separate"/>
      </w:r>
      <w:r>
        <w:rPr/>
        <w:t>5.2.1</w:t>
      </w:r>
      <w:r>
        <w:rPr/>
        <w:fldChar w:fldCharType="end"/>
      </w:r>
      <w:r>
        <w:rPr/>
        <w:t>). В любом случае этот срок должен быть не менее чем 90 (девяносто)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Указание меньшего срока действия заявки в Письме о подаче оферты (форма 2) (</w:t>
      </w:r>
      <w:hyperlink w:anchor="Прил04_ФормыЗаявки">
        <w:r>
          <w:rPr>
            <w:rStyle w:val="Style13"/>
          </w:rPr>
          <w:t>Приложение № 4</w:t>
        </w:r>
      </w:hyperlink>
      <w:r>
        <w:rPr/>
        <w:t>) может служить основанием для отклонения заявки.</w:t>
      </w:r>
    </w:p>
    <w:p>
      <w:pPr>
        <w:pStyle w:val="Style24"/>
        <w:rPr/>
      </w:pPr>
      <w:r>
        <w:rP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pPr>
        <w:pStyle w:val="Style24"/>
        <w:rPr/>
      </w:pPr>
      <w:r>
        <w:rP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pPr>
        <w:pStyle w:val="Style24"/>
        <w:rPr/>
      </w:pPr>
      <w:bookmarkStart w:id="110" w:name="_Ref125370700"/>
      <w:bookmarkStart w:id="111" w:name="_Ref125370708"/>
      <w:r>
        <w:rPr/>
        <w:t>Итоговая стоимость заявки (цена Договора) без учета НДС не должна превышать установленную Заказчиком НМЦ (подраздел </w:t>
      </w:r>
      <w:r>
        <w:rPr/>
        <w:fldChar w:fldCharType="begin"/>
      </w:r>
      <w:r>
        <w:rPr/>
        <w:instrText xml:space="preserve"> REF _Ref125359973 \r \h </w:instrText>
      </w:r>
      <w:r>
        <w:rPr/>
        <w:fldChar w:fldCharType="separate"/>
      </w:r>
      <w:r>
        <w:rPr/>
        <w:t>1.2</w:t>
      </w:r>
      <w:r>
        <w:rPr/>
        <w:fldChar w:fldCharType="end"/>
      </w:r>
      <w:r>
        <w:rPr/>
        <w:t>), в противном случае заявка будет отклонена.</w:t>
      </w:r>
    </w:p>
    <w:p>
      <w:pPr>
        <w:pStyle w:val="Style24"/>
        <w:rPr/>
      </w:pPr>
      <w:r>
        <w:rP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Style13"/>
          </w:rPr>
          <w:t>Техническими требованиями (Приложение № 1)</w:t>
        </w:r>
      </w:hyperlink>
      <w:r>
        <w:rPr/>
        <w:t xml:space="preserve"> и </w:t>
      </w:r>
      <w:hyperlink w:anchor="Прил02_ПроектДоговора">
        <w:r>
          <w:rPr>
            <w:rStyle w:val="Style13"/>
          </w:rPr>
          <w:t>Проектом договора (Приложение № 2)</w:t>
        </w:r>
      </w:hyperlink>
      <w:r>
        <w:rP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bookmarkEnd w:id="110"/>
      <w:bookmarkEnd w:id="111"/>
    </w:p>
    <w:p>
      <w:pPr>
        <w:pStyle w:val="Style24"/>
        <w:rPr/>
      </w:pPr>
      <w:bookmarkStart w:id="112" w:name="_Ref130379863"/>
      <w:r>
        <w:rPr/>
        <w:t xml:space="preserve">Участник в составе заявки предоставляет по установленной форме Технического предложения (форма 4; </w:t>
      </w:r>
      <w:hyperlink w:anchor="Прил04_ФормыЗаявки">
        <w:r>
          <w:rPr>
            <w:rStyle w:val="Style13"/>
          </w:rPr>
          <w:t>Приложение № 4</w:t>
        </w:r>
      </w:hyperlink>
      <w:r>
        <w:rPr/>
        <w:t xml:space="preserve">) подробное предложение в отношении поставляемой продукции на условиях, указанных в Документации о закупке, в том числе в </w:t>
      </w:r>
      <w:hyperlink w:anchor="Прил01_ТехТребования">
        <w:r>
          <w:rPr>
            <w:rStyle w:val="Style13"/>
          </w:rPr>
          <w:t>Технических требованиях (Приложение № 1)</w:t>
        </w:r>
      </w:hyperlink>
      <w:r>
        <w:rPr/>
        <w:t>.</w:t>
      </w:r>
      <w:bookmarkEnd w:id="112"/>
    </w:p>
    <w:p>
      <w:pPr>
        <w:pStyle w:val="Style24"/>
        <w:rPr/>
      </w:pPr>
      <w:r>
        <w:rP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r>
          <w:rPr>
            <w:rStyle w:val="Style13"/>
          </w:rPr>
          <w:t>Технических требованиях (Приложение № 1)</w:t>
        </w:r>
      </w:hyperlink>
      <w:r>
        <w:rP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p>
    <w:p>
      <w:pPr>
        <w:pStyle w:val="Style24"/>
        <w:rPr/>
      </w:pPr>
      <w:r>
        <w:rPr/>
        <w:t xml:space="preserve">Если в </w:t>
      </w:r>
      <w:hyperlink w:anchor="Прил01_ТехТребования">
        <w:r>
          <w:rPr>
            <w:rStyle w:val="Style13"/>
          </w:rPr>
          <w:t>Технических требованиях (Приложение № 1)</w:t>
        </w:r>
      </w:hyperlink>
      <w:r>
        <w:rPr/>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продукцию, являющуюся эквивалентом требуемой, то он при описании продукции обязан подтвердить соответствие предлагаемой продукции показателям эквивалентности, установленным в </w:t>
      </w:r>
      <w:hyperlink w:anchor="Прил01_ТехТребования">
        <w:r>
          <w:rPr>
            <w:rStyle w:val="Style13"/>
          </w:rPr>
          <w:t>Технических требованиях (Приложение № 1)</w:t>
        </w:r>
      </w:hyperlink>
      <w:r>
        <w:rPr/>
        <w:t>.</w:t>
      </w:r>
    </w:p>
    <w:p>
      <w:pPr>
        <w:pStyle w:val="Style24"/>
        <w:rPr/>
      </w:pPr>
      <w:bookmarkStart w:id="113" w:name="_Ref130379876"/>
      <w:r>
        <w:rP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r>
          <w:rPr>
            <w:rStyle w:val="Style13"/>
          </w:rPr>
          <w:t>Техническими требованиями (Приложение № 1)</w:t>
        </w:r>
      </w:hyperlink>
      <w:r>
        <w:rPr/>
        <w:t>.</w:t>
      </w:r>
      <w:bookmarkEnd w:id="113"/>
    </w:p>
    <w:p>
      <w:pPr>
        <w:pStyle w:val="Style24"/>
        <w:rPr/>
      </w:pPr>
      <w:bookmarkStart w:id="114" w:name="_Ref130455500"/>
      <w:r>
        <w:rPr/>
        <w:t>В случае нарушения Участником требований к описанию продукции (пункты </w:t>
      </w:r>
      <w:r>
        <w:rPr/>
        <w:fldChar w:fldCharType="begin"/>
      </w:r>
      <w:r>
        <w:rPr/>
        <w:instrText xml:space="preserve"> REF _Ref130379863 \r \h </w:instrText>
      </w:r>
      <w:r>
        <w:rPr/>
        <w:fldChar w:fldCharType="separate"/>
      </w:r>
      <w:r>
        <w:rPr/>
        <w:t>4.3.10</w:t>
      </w:r>
      <w:r>
        <w:rPr/>
        <w:fldChar w:fldCharType="end"/>
      </w:r>
      <w:r>
        <w:rPr/>
        <w:t xml:space="preserve"> – </w:t>
      </w:r>
      <w:r>
        <w:rPr/>
        <w:fldChar w:fldCharType="begin"/>
      </w:r>
      <w:r>
        <w:rPr/>
        <w:instrText xml:space="preserve"> REF _Ref130379876 \r \h </w:instrText>
      </w:r>
      <w:r>
        <w:rPr/>
        <w:fldChar w:fldCharType="separate"/>
      </w:r>
      <w:r>
        <w:rPr/>
        <w:t>4.3.13</w:t>
      </w:r>
      <w:r>
        <w:rPr/>
        <w:fldChar w:fldCharType="end"/>
      </w:r>
      <w:r>
        <w:rPr/>
        <w:t>) Организатор вправе отклонить заявку такого Участника от дальнейшего участия в закупке.</w:t>
      </w:r>
      <w:bookmarkEnd w:id="114"/>
    </w:p>
    <w:p>
      <w:pPr>
        <w:pStyle w:val="Style31"/>
        <w:rPr>
          <w:lang w:val="en-US"/>
        </w:rPr>
      </w:pPr>
      <w:r>
        <w:rPr>
          <w:lang w:val="en-US"/>
        </w:rPr>
      </w:r>
    </w:p>
    <w:p>
      <w:pPr>
        <w:pStyle w:val="Style24"/>
        <w:keepNext w:val="true"/>
        <w:rPr/>
      </w:pPr>
      <w:r>
        <w:rPr/>
        <w:t>Документы, входящие в заявку, не должны содержать недостоверные сведения или намеренно искаженную информацию. Также должны отсутствовать:</w:t>
      </w:r>
    </w:p>
    <w:p>
      <w:pPr>
        <w:pStyle w:val="Style25"/>
        <w:rPr/>
      </w:pPr>
      <w:r>
        <w:rPr/>
        <w:t>внутренние противоречия между различными частями и (или) документами заявки, в том числе по тексту внутри одного документа;</w:t>
      </w:r>
    </w:p>
    <w:p>
      <w:pPr>
        <w:pStyle w:val="Style25"/>
        <w:rPr/>
      </w:pPr>
      <w:bookmarkStart w:id="115" w:name="_Ref125370398"/>
      <w:bookmarkStart w:id="116" w:name="_Ref125714384"/>
      <w:r>
        <w:rPr/>
        <w:t>противоречия между документами заявки и сведениями, указанными Участником в структурированных формах на ЭП.</w:t>
      </w:r>
      <w:bookmarkEnd w:id="115"/>
      <w:bookmarkEnd w:id="116"/>
    </w:p>
    <w:p>
      <w:pPr>
        <w:pStyle w:val="Style24"/>
        <w:rPr/>
      </w:pPr>
      <w:r>
        <w:rPr/>
        <w:t>Представленные в составе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p>
    <w:p>
      <w:pPr>
        <w:pStyle w:val="Style25"/>
        <w:rPr/>
      </w:pPr>
      <w:r>
        <w:rPr/>
        <w:t>полномочий таких органов / лиц на оформление этих документов;</w:t>
      </w:r>
    </w:p>
    <w:p>
      <w:pPr>
        <w:pStyle w:val="Style25"/>
        <w:rPr/>
      </w:pPr>
      <w:r>
        <w:rPr/>
        <w:t>формы, объема и содержания этих документов.</w:t>
      </w:r>
    </w:p>
    <w:p>
      <w:pPr>
        <w:pStyle w:val="Style24"/>
        <w:keepNext w:val="true"/>
        <w:rPr/>
      </w:pPr>
      <w:r>
        <w:rPr/>
        <w:t>Участник должен подготовить заявку с соблюдением следующих условий:</w:t>
      </w:r>
    </w:p>
    <w:p>
      <w:pPr>
        <w:pStyle w:val="Style25"/>
        <w:rPr/>
      </w:pPr>
      <w:r>
        <w:rPr/>
        <w:t>документы заявки могут предоставляться как в графическом виде (в том числе в виде скан-копии; рекомендуемый формат: *.</w:t>
      </w:r>
      <w:r>
        <w:rPr>
          <w:lang w:val="en-US"/>
        </w:rPr>
        <w:t>pdf</w:t>
      </w:r>
      <w:r>
        <w:rPr/>
        <w:t>), так и в электронном виде (в формате Microsoft Word (*.doc</w:t>
      </w:r>
      <w:r>
        <w:rPr>
          <w:lang w:val="en-US"/>
        </w:rPr>
        <w:t>x</w:t>
      </w:r>
      <w:r>
        <w:rPr/>
        <w:t>), Microsoft Excel (*.xls</w:t>
      </w:r>
      <w:r>
        <w:rPr>
          <w:lang w:val="en-US"/>
        </w:rPr>
        <w:t>x</w:t>
      </w:r>
      <w:r>
        <w:rPr/>
        <w:t>), и других). Исключение составляют документы, выданные Участнику третьими лицами (в том числе, бухгалтерская (финансовая) отчетность, соглашение о создании коллективного участника и т.п.), которые должны быть предоставлены только в графическом виде (в том числе в виде скан-копии; рекомендуемый формат: *.</w:t>
      </w:r>
      <w:r>
        <w:rPr>
          <w:lang w:val="en-US"/>
        </w:rPr>
        <w:t>pdf</w:t>
      </w:r>
      <w:r>
        <w:rPr/>
        <w:t>);</w:t>
      </w:r>
    </w:p>
    <w:p>
      <w:pPr>
        <w:pStyle w:val="Style25"/>
        <w:rPr/>
      </w:pPr>
      <w:r>
        <w:rP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pPr>
        <w:pStyle w:val="Style25"/>
        <w:rPr/>
      </w:pPr>
      <w:r>
        <w:rPr/>
        <w:t>все файлы не должны иметь защиты от их открытия, изменения, копирования их содержимого или их печати;</w:t>
      </w:r>
    </w:p>
    <w:p>
      <w:pPr>
        <w:pStyle w:val="Style25"/>
        <w:rPr/>
      </w:pPr>
      <w:r>
        <w:rPr/>
        <w:t>файлы электронной заявки рекомендуется именовать так, чтобы было можно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pPr>
        <w:pStyle w:val="Style25"/>
        <w:rPr/>
      </w:pPr>
      <w:r>
        <w:rPr/>
        <w:t>если какой-либо документ представлен в нечитаемом виде, данный документ считается непредставленным.</w:t>
      </w:r>
    </w:p>
    <w:p>
      <w:pPr>
        <w:pStyle w:val="Style24"/>
        <w:rPr/>
      </w:pPr>
      <w:r>
        <w:rP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pPr>
        <w:pStyle w:val="Style23"/>
        <w:rPr/>
      </w:pPr>
      <w:bookmarkStart w:id="117" w:name="_Ref130394205"/>
      <w:bookmarkStart w:id="118" w:name="_Ref125366672"/>
      <w:bookmarkStart w:id="119" w:name="_Ref125362071"/>
      <w:bookmarkStart w:id="120" w:name="_Ref125361260"/>
      <w:bookmarkStart w:id="121" w:name="_Ref130394802"/>
      <w:bookmarkStart w:id="122" w:name="_Ref130394785"/>
      <w:bookmarkStart w:id="123" w:name="_Toc186224289"/>
      <w:r>
        <w:rPr/>
        <w:t>Разъяснение Документации о закупке</w:t>
      </w:r>
      <w:bookmarkEnd w:id="117"/>
      <w:bookmarkEnd w:id="118"/>
      <w:bookmarkEnd w:id="119"/>
      <w:bookmarkEnd w:id="120"/>
      <w:bookmarkEnd w:id="121"/>
      <w:bookmarkEnd w:id="122"/>
      <w:bookmarkEnd w:id="123"/>
    </w:p>
    <w:p>
      <w:pPr>
        <w:pStyle w:val="Style24"/>
        <w:rPr/>
      </w:pPr>
      <w:r>
        <w:rPr/>
        <w:t>Участники вправе обратиться к Организатору за разъяснениями Документации о закупке.</w:t>
      </w:r>
    </w:p>
    <w:p>
      <w:pPr>
        <w:pStyle w:val="Style24"/>
        <w:rPr/>
      </w:pPr>
      <w:r>
        <w:rPr/>
        <w:t>Запросы подаются в соответствии с Регламентами и инструкциями Оператора ЭП, опубликованными на сайте соответствующей ЭП.</w:t>
      </w:r>
    </w:p>
    <w:p>
      <w:pPr>
        <w:pStyle w:val="Style24"/>
        <w:rPr/>
      </w:pPr>
      <w:r>
        <w:rP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pPr>
        <w:pStyle w:val="Style24"/>
        <w:rPr/>
      </w:pPr>
      <w:r>
        <w:rP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fldChar w:fldCharType="begin"/>
      </w:r>
      <w:r>
        <w:rPr/>
        <w:instrText xml:space="preserve"> REF _Ref125359973 \r \h </w:instrText>
      </w:r>
      <w:r>
        <w:rPr/>
        <w:fldChar w:fldCharType="separate"/>
      </w:r>
      <w:r>
        <w:rPr/>
        <w:t>1.2</w:t>
      </w:r>
      <w:r>
        <w:rPr/>
        <w:fldChar w:fldCharType="end"/>
      </w:r>
      <w:r>
        <w:rPr/>
        <w:t>, но в любом случае не позднее чем в течение 3 (трех) рабочих дней с даты поступления такого запроса. Копия ответа размещается Организатором на ЭП.</w:t>
      </w:r>
    </w:p>
    <w:p>
      <w:pPr>
        <w:pStyle w:val="Style24"/>
        <w:rPr/>
      </w:pPr>
      <w:r>
        <w:rP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pPr>
        <w:pStyle w:val="Style24"/>
        <w:rPr/>
      </w:pPr>
      <w:r>
        <w:rP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Style13"/>
          </w:rPr>
          <w:t>Проекта договора (Приложения № 2)</w:t>
        </w:r>
      </w:hyperlink>
      <w:r>
        <w:rPr>
          <w:rStyle w:val="Style13"/>
        </w:rPr>
        <w:t>,</w:t>
      </w:r>
      <w:r>
        <w:rP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pPr>
        <w:pStyle w:val="Style24"/>
        <w:rPr/>
      </w:pPr>
      <w:r>
        <w:rP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pPr>
        <w:pStyle w:val="Style23"/>
        <w:rPr/>
      </w:pPr>
      <w:bookmarkStart w:id="124" w:name="_Ref125363891"/>
      <w:bookmarkStart w:id="125" w:name="_Toc186224290"/>
      <w:bookmarkStart w:id="126" w:name="_Ref125364404"/>
      <w:bookmarkStart w:id="127" w:name="_Ref125362076"/>
      <w:r>
        <w:rPr/>
        <w:t>Изменения Извещения и (или) Документации о закупке</w:t>
      </w:r>
      <w:bookmarkEnd w:id="124"/>
      <w:bookmarkEnd w:id="125"/>
      <w:bookmarkEnd w:id="126"/>
      <w:bookmarkEnd w:id="127"/>
    </w:p>
    <w:p>
      <w:pPr>
        <w:pStyle w:val="Style24"/>
        <w:rPr/>
      </w:pPr>
      <w:r>
        <w:rPr/>
        <w:t>Организатор в любой момент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pPr>
        <w:pStyle w:val="Style24"/>
        <w:rPr/>
      </w:pPr>
      <w:bookmarkStart w:id="128" w:name="_Ref125550844"/>
      <w:r>
        <w:rPr/>
        <w:t>После окончания срока подачи заявок допускается изменение только в части установленных Документацией о закупке дат рассмотрения заявок и подведения итогов закупки (подраздел </w:t>
      </w:r>
      <w:r>
        <w:rPr/>
        <w:fldChar w:fldCharType="begin"/>
      </w:r>
      <w:r>
        <w:rPr/>
        <w:instrText xml:space="preserve"> REF _Ref125359973 \r \h </w:instrText>
      </w:r>
      <w:r>
        <w:rPr/>
        <w:fldChar w:fldCharType="separate"/>
      </w:r>
      <w:r>
        <w:rPr/>
        <w:t>1.2</w:t>
      </w:r>
      <w:r>
        <w:rPr/>
        <w:fldChar w:fldCharType="end"/>
      </w:r>
      <w:r>
        <w:rPr/>
        <w:t>) в пределах срока действия заявок и с уведомлением Участников, подавших заявки.</w:t>
      </w:r>
      <w:bookmarkEnd w:id="128"/>
    </w:p>
    <w:p>
      <w:pPr>
        <w:pStyle w:val="Style24"/>
        <w:rPr/>
      </w:pPr>
      <w:r>
        <w:rP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pPr>
        <w:pStyle w:val="Style24"/>
        <w:rPr/>
      </w:pPr>
      <w:bookmarkStart w:id="129" w:name="_Hlk135643673"/>
      <w:r>
        <w:rPr/>
        <w:t>При внесении изменений в Документацию о закупке (за исключением указанного в пункте </w:t>
      </w:r>
      <w:r>
        <w:rPr/>
        <w:fldChar w:fldCharType="begin"/>
      </w:r>
      <w:r>
        <w:rPr/>
        <w:instrText xml:space="preserve"> REF _Ref125550844 \r \h </w:instrText>
      </w:r>
      <w:r>
        <w:rPr/>
        <w:fldChar w:fldCharType="separate"/>
      </w:r>
      <w:r>
        <w:rPr/>
        <w:t>4.5.2</w:t>
      </w:r>
      <w:r>
        <w:rPr/>
        <w:fldChar w:fldCharType="end"/>
      </w:r>
      <w:r>
        <w:rPr/>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 не менее</w:t>
      </w:r>
      <w:bookmarkEnd w:id="129"/>
      <w:r>
        <w:rPr/>
        <w:t xml:space="preserve"> 4 (четырех) рабочих дней.</w:t>
      </w:r>
    </w:p>
    <w:p>
      <w:pPr>
        <w:pStyle w:val="Style24"/>
        <w:rPr/>
      </w:pPr>
      <w:r>
        <w:rP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pPr>
        <w:pStyle w:val="Style23"/>
        <w:rPr/>
      </w:pPr>
      <w:bookmarkStart w:id="130" w:name="_Ref125362119"/>
      <w:bookmarkStart w:id="131" w:name="_Toc186224291"/>
      <w:r>
        <w:rPr/>
        <w:t>Подача заявок и их прием</w:t>
      </w:r>
      <w:bookmarkEnd w:id="130"/>
      <w:bookmarkEnd w:id="131"/>
    </w:p>
    <w:p>
      <w:pPr>
        <w:pStyle w:val="Style24"/>
        <w:rPr/>
      </w:pPr>
      <w:r>
        <w:rP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Заявки, поданные позднее установленного срока, не могут быть приняты Организатором, независимо от причин опоздания.</w:t>
      </w:r>
    </w:p>
    <w:p>
      <w:pPr>
        <w:pStyle w:val="Style24"/>
        <w:rPr/>
      </w:pPr>
      <w:r>
        <w:rP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pPr>
        <w:pStyle w:val="Style24"/>
        <w:rPr/>
      </w:pPr>
      <w:r>
        <w:rP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pPr>
        <w:pStyle w:val="Style24"/>
        <w:rPr/>
      </w:pPr>
      <w:r>
        <w:rPr/>
        <w:t>Заявка должна быть подписана электронной подписью лица, которое является уполномоченным представителем Участника.</w:t>
      </w:r>
    </w:p>
    <w:p>
      <w:pPr>
        <w:pStyle w:val="Style24"/>
        <w:rPr/>
      </w:pPr>
      <w:r>
        <w:rP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pPr>
        <w:pStyle w:val="Style24"/>
        <w:rPr/>
      </w:pPr>
      <w:r>
        <w:rP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pPr>
        <w:pStyle w:val="Style24"/>
        <w:rPr/>
      </w:pPr>
      <w:r>
        <w:rPr/>
        <w:t>Оператор ЭП до окончания срока подачи заявок обеспечивает конфиденциальность информации, содержащейся в поданных заявках.</w:t>
      </w:r>
    </w:p>
    <w:p>
      <w:pPr>
        <w:pStyle w:val="Style23"/>
        <w:rPr/>
      </w:pPr>
      <w:bookmarkStart w:id="132" w:name="_Ref125362130"/>
      <w:bookmarkStart w:id="133" w:name="_Toc186224292"/>
      <w:bookmarkStart w:id="134" w:name="_Ref125365136"/>
      <w:bookmarkStart w:id="135" w:name="_Ref125363819"/>
      <w:bookmarkStart w:id="136" w:name="_Ref125362192"/>
      <w:r>
        <w:rPr/>
        <w:t>Изменение и отзыв заявок</w:t>
      </w:r>
      <w:bookmarkEnd w:id="132"/>
      <w:bookmarkEnd w:id="133"/>
      <w:bookmarkEnd w:id="134"/>
      <w:bookmarkEnd w:id="135"/>
      <w:bookmarkEnd w:id="136"/>
    </w:p>
    <w:p>
      <w:pPr>
        <w:pStyle w:val="Style24"/>
        <w:rPr/>
      </w:pPr>
      <w:r>
        <w:rP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pPr>
        <w:pStyle w:val="Style24"/>
        <w:rPr/>
      </w:pPr>
      <w:r>
        <w:rPr/>
        <w:t>Отзыв Участником ранее поданной заявки является отказом от участия в закупке, отозванные заявки не рассматриваются Организатором по существу.</w:t>
      </w:r>
    </w:p>
    <w:p>
      <w:pPr>
        <w:pStyle w:val="Style24"/>
        <w:rPr/>
      </w:pPr>
      <w:r>
        <w:rP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rPr/>
        <w:fldChar w:fldCharType="begin"/>
      </w:r>
      <w:r>
        <w:rPr/>
        <w:instrText xml:space="preserve"> REF _Ref125362119 \w \h </w:instrText>
      </w:r>
      <w:r>
        <w:rPr/>
        <w:fldChar w:fldCharType="separate"/>
      </w:r>
      <w:r>
        <w:rPr/>
        <w:t>4.6</w:t>
      </w:r>
      <w:r>
        <w:rPr/>
        <w:fldChar w:fldCharType="end"/>
      </w:r>
      <w:r>
        <w:rPr/>
        <w:t>.</w:t>
      </w:r>
    </w:p>
    <w:p>
      <w:pPr>
        <w:pStyle w:val="Style24"/>
        <w:rPr/>
      </w:pPr>
      <w:r>
        <w:rPr/>
        <w:t>Изменения и отзыв заявки осуществляется посредством функционала ЭП (подробный порядок определяется Регламентом ЭП).</w:t>
      </w:r>
    </w:p>
    <w:p>
      <w:pPr>
        <w:pStyle w:val="Style23"/>
        <w:rPr/>
      </w:pPr>
      <w:bookmarkStart w:id="137" w:name="_Toc186224293"/>
      <w:bookmarkStart w:id="138" w:name="_Ref125364340"/>
      <w:bookmarkStart w:id="139" w:name="_Ref130221619"/>
      <w:bookmarkEnd w:id="138"/>
      <w:r>
        <w:rPr/>
        <w:t>Открытие доступа к заявкам</w:t>
      </w:r>
      <w:bookmarkEnd w:id="137"/>
      <w:bookmarkEnd w:id="139"/>
    </w:p>
    <w:p>
      <w:pPr>
        <w:pStyle w:val="Style24"/>
        <w:rPr/>
      </w:pPr>
      <w:r>
        <w:rPr/>
        <w:t>Открытие доступа к заявкам («вскрытие»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4"/>
        <w:rPr/>
      </w:pPr>
      <w:r>
        <w:rPr/>
        <w:t>Оператор ЭП предоставляет Организатору доступ одновременно ко всем поданным заявкам в полном объеме.</w:t>
      </w:r>
    </w:p>
    <w:p>
      <w:pPr>
        <w:pStyle w:val="Style24"/>
        <w:keepNext w:val="true"/>
        <w:rPr/>
      </w:pPr>
      <w:r>
        <w:rPr/>
        <w:t>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FootnoteReference"/>
        </w:rPr>
        <w:footnoteReference w:id="4"/>
      </w:r>
      <w:r>
        <w:rPr/>
        <w:t>:</w:t>
      </w:r>
    </w:p>
    <w:p>
      <w:pPr>
        <w:pStyle w:val="Style25"/>
        <w:rPr/>
      </w:pPr>
      <w:r>
        <w:rPr/>
        <w:t>дата подписания протокола;</w:t>
      </w:r>
    </w:p>
    <w:p>
      <w:pPr>
        <w:pStyle w:val="Style25"/>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5"/>
        <w:rPr/>
      </w:pPr>
      <w:r>
        <w:rPr/>
        <w:t>идентификационные номера заявок Участников, присваиваемые Оператором ЭП;</w:t>
      </w:r>
    </w:p>
    <w:p>
      <w:pPr>
        <w:pStyle w:val="Style25"/>
        <w:rPr/>
      </w:pPr>
      <w:r>
        <w:rPr/>
        <w:t>стоимости заявок (или иное указание на общую стоимость заявки);</w:t>
      </w:r>
    </w:p>
    <w:p>
      <w:pPr>
        <w:pStyle w:val="Style25"/>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28"/>
        <w:ind w:left="1134" w:hanging="0"/>
        <w:rPr/>
      </w:pPr>
      <w:r>
        <w:rPr/>
        <w:t>после чего официально размещает его в течение 3 (трех) календарных дней с даты подписания такого протокола. Заседание Закупочной комиссии при этом не проводится.</w:t>
      </w:r>
    </w:p>
    <w:p>
      <w:pPr>
        <w:pStyle w:val="Style24"/>
        <w:rPr/>
      </w:pPr>
      <w:r>
        <w:rPr/>
        <w:t>Протокол открытия доступа к заявкам может формироваться автоматически Оператором ЭП, после чего официально размещаться в установленном порядке. В этом случае протокол считается подписанным уполномоченным лицом Организатора.</w:t>
      </w:r>
    </w:p>
    <w:p>
      <w:pPr>
        <w:pStyle w:val="Style24"/>
        <w:rPr/>
      </w:pPr>
      <w:r>
        <w:rPr/>
        <w:t>Порядок получения Участниками информации о поступивших заявках через ЭП определяется Регламентом ЭП.</w:t>
      </w:r>
    </w:p>
    <w:p>
      <w:pPr>
        <w:pStyle w:val="Style23"/>
        <w:rPr/>
      </w:pPr>
      <w:bookmarkStart w:id="140" w:name="_Toc186224294"/>
      <w:bookmarkStart w:id="141" w:name="_Ref135749133"/>
      <w:bookmarkStart w:id="142" w:name="_Ref125362364"/>
      <w:bookmarkStart w:id="143" w:name="_Ref125366689"/>
      <w:bookmarkStart w:id="144" w:name="_Ref125364340_Копия_1"/>
      <w:bookmarkEnd w:id="144"/>
      <w:r>
        <w:rPr/>
        <w:t>Рассмотрение заявок (отборочная стадия)</w:t>
      </w:r>
      <w:bookmarkEnd w:id="142"/>
      <w:bookmarkEnd w:id="143"/>
      <w:r>
        <w:rPr/>
        <w:t>, в том числе (при необходимости) проведение аккредитации</w:t>
      </w:r>
      <w:bookmarkEnd w:id="140"/>
      <w:bookmarkEnd w:id="141"/>
    </w:p>
    <w:p>
      <w:pPr>
        <w:pStyle w:val="Style24"/>
        <w:rPr/>
      </w:pPr>
      <w:r>
        <w:rPr/>
        <w:t>Дата окончания срока рассмотрения заявок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4"/>
        <w:rPr/>
      </w:pPr>
      <w:r>
        <w:rPr/>
        <w:t xml:space="preserve">В рамках рассмотрения заявок (отборочной стадии) осуществляется проверка каждой заявки на предмет соответствия </w:t>
      </w:r>
      <w:hyperlink w:anchor="Прил07_ОтборочныеКритерии">
        <w:r>
          <w:rPr>
            <w:rStyle w:val="Style13"/>
          </w:rPr>
          <w:t>Отборочным критериям рассмотрения заявок (Приложение № 7)</w:t>
        </w:r>
      </w:hyperlink>
      <w:r>
        <w:rPr/>
        <w:t>, в том числе проводится процедура аккредитации Участников (при необходимости).</w:t>
      </w:r>
    </w:p>
    <w:p>
      <w:pPr>
        <w:pStyle w:val="Style24"/>
        <w:rPr/>
      </w:pPr>
      <w:r>
        <w:rPr/>
        <w:t>Рассмотрение заявок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pPr>
        <w:pStyle w:val="Style24"/>
        <w:keepNext w:val="true"/>
        <w:rPr/>
      </w:pPr>
      <w:r>
        <w:rPr/>
        <w:t>При выявлении в рамках рассмотрения заявок наличия арифметических ошибок, в том числе:</w:t>
      </w:r>
    </w:p>
    <w:p>
      <w:pPr>
        <w:pStyle w:val="Style25"/>
        <w:rPr/>
      </w:pPr>
      <w:r>
        <w:rPr/>
        <w:t>в результате суммирования единичных расценок;</w:t>
      </w:r>
    </w:p>
    <w:p>
      <w:pPr>
        <w:pStyle w:val="Style25"/>
        <w:rPr/>
      </w:pPr>
      <w:r>
        <w:rPr/>
        <w:t>в итогах умножения единичных расценок на объем продукции;</w:t>
      </w:r>
    </w:p>
    <w:p>
      <w:pPr>
        <w:pStyle w:val="Style25"/>
        <w:rPr/>
      </w:pPr>
      <w:r>
        <w:rPr/>
        <w:t>в вычислении суммы НДС и итоговой стоимости заявки с учетом НДС;</w:t>
      </w:r>
    </w:p>
    <w:p>
      <w:pPr>
        <w:pStyle w:val="Style25"/>
        <w:rPr/>
      </w:pPr>
      <w:r>
        <w:rPr/>
        <w:t>иных внутренних противоречий в составе заявки,</w:t>
      </w:r>
    </w:p>
    <w:p>
      <w:pPr>
        <w:pStyle w:val="Style28"/>
        <w:ind w:left="1134" w:hanging="0"/>
        <w:rPr/>
      </w:pPr>
      <w:r>
        <w:rP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pPr>
        <w:pStyle w:val="Style24"/>
        <w:keepNext w:val="true"/>
        <w:rPr/>
      </w:pPr>
      <w:bookmarkStart w:id="145" w:name="_Ref125551456"/>
      <w:r>
        <w:rPr/>
        <w:t>По результатам рассмотрения заявок (проведения отборочной стадии) Закупочная комиссия отклоняет заявки по следующим основаниям:</w:t>
      </w:r>
      <w:bookmarkEnd w:id="145"/>
    </w:p>
    <w:p>
      <w:pPr>
        <w:pStyle w:val="Style25"/>
        <w:rPr/>
      </w:pPr>
      <w:r>
        <w:rPr/>
        <w:t>несоответствие по составу</w:t>
      </w:r>
      <w:r>
        <w:rPr>
          <w:rStyle w:val="FootnoteReference"/>
        </w:rPr>
        <w:footnoteReference w:id="5"/>
      </w:r>
      <w:r>
        <w:rPr/>
        <w:t>, содержанию и соблюдению требований Документации о закупке к подготовке (оформлению) заявки, в том числе наличие:</w:t>
      </w:r>
    </w:p>
    <w:p>
      <w:pPr>
        <w:pStyle w:val="Style26"/>
        <w:rPr/>
      </w:pPr>
      <w:r>
        <w:rPr/>
        <w:t>недостоверных сведений</w:t>
      </w:r>
      <w:r>
        <w:rPr>
          <w:rStyle w:val="FootnoteReference"/>
        </w:rPr>
        <w:footnoteReference w:id="6"/>
      </w:r>
      <w:r>
        <w:rPr/>
        <w:t xml:space="preserve"> или намеренно искаженной информации или документов;</w:t>
      </w:r>
    </w:p>
    <w:p>
      <w:pPr>
        <w:pStyle w:val="Style26"/>
        <w:rPr/>
      </w:pPr>
      <w:r>
        <w:rPr/>
        <w:t>внутренних противоречий между различными частями и (или) документами заявки, в том числе по тексту внутри одного документа;</w:t>
      </w:r>
    </w:p>
    <w:p>
      <w:pPr>
        <w:pStyle w:val="Style26"/>
        <w:rPr/>
      </w:pPr>
      <w:r>
        <w:rPr/>
        <w:t>противоречий между документами заявки и сведениями, указанными Участником в структурированных формах на ЭП;</w:t>
      </w:r>
    </w:p>
    <w:p>
      <w:pPr>
        <w:pStyle w:val="Style25"/>
        <w:rPr/>
      </w:pPr>
      <w:r>
        <w:rPr/>
        <w:t>несоответствие Участников требованиям Документации о закупке;</w:t>
      </w:r>
    </w:p>
    <w:p>
      <w:pPr>
        <w:pStyle w:val="Style25"/>
        <w:rPr/>
      </w:pPr>
      <w:r>
        <w:rPr/>
        <w:t>несоответствие привлекаемых субподрядчиков (соисполнителей) требованиям Документации о закупке;</w:t>
      </w:r>
    </w:p>
    <w:p>
      <w:pPr>
        <w:pStyle w:val="Style25"/>
        <w:rPr/>
      </w:pPr>
      <w:r>
        <w:rPr/>
        <w:t>несоответствие предлагаемой продукции требованиям Документации о закупке, в том числе порядка описания такой продукции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p>
    <w:p>
      <w:pPr>
        <w:pStyle w:val="Style25"/>
        <w:rPr/>
      </w:pPr>
      <w:r>
        <w:rPr/>
        <w:t>несоответствие предлагаемых договорных условий требованиям Документации о закупке, в том числе превышение стоимости заявки (цены Договора) над установленным размером НМЦ;</w:t>
      </w:r>
    </w:p>
    <w:p>
      <w:pPr>
        <w:pStyle w:val="Style25"/>
        <w:rPr/>
      </w:pPr>
      <w:r>
        <w:rPr/>
        <w:t>несоответствие размера, формы, условий и порядка предоставления обеспечения заявки.</w:t>
      </w:r>
    </w:p>
    <w:p>
      <w:pPr>
        <w:pStyle w:val="Style24"/>
        <w:rPr/>
      </w:pPr>
      <w:r>
        <w:rP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 (подраздел </w:t>
      </w:r>
      <w:r>
        <w:rPr/>
        <w:fldChar w:fldCharType="begin"/>
      </w:r>
      <w:r>
        <w:rPr/>
        <w:instrText xml:space="preserve"> REF _Ref125362430 \r \h </w:instrText>
      </w:r>
      <w:r>
        <w:rPr/>
        <w:fldChar w:fldCharType="separate"/>
      </w:r>
      <w:r>
        <w:rPr/>
        <w:t>4.11</w:t>
      </w:r>
      <w:r>
        <w:rPr/>
        <w:fldChar w:fldCharType="end"/>
      </w:r>
      <w:r>
        <w:rPr/>
        <w:t>). В данном случае оценка и сопоставление заявок, а также их предварительная ранжировка осуществляются в соответствии с подразделами </w:t>
      </w:r>
      <w:r>
        <w:rPr/>
        <w:fldChar w:fldCharType="begin"/>
      </w:r>
      <w:r>
        <w:rPr/>
        <w:instrText xml:space="preserve"> REF _Ref125362626 \w \h </w:instrText>
      </w:r>
      <w:r>
        <w:rPr/>
        <w:fldChar w:fldCharType="separate"/>
      </w:r>
      <w:r>
        <w:rPr/>
        <w:t>4.12</w:t>
      </w:r>
      <w:r>
        <w:rPr/>
        <w:fldChar w:fldCharType="end"/>
      </w:r>
      <w:r>
        <w:rPr/>
        <w:t xml:space="preserve">, </w:t>
      </w:r>
      <w:r>
        <w:rPr/>
        <w:fldChar w:fldCharType="begin"/>
      </w:r>
      <w:r>
        <w:rPr/>
        <w:instrText xml:space="preserve"> REF _Ref130985951 \r \h </w:instrText>
      </w:r>
      <w:r>
        <w:rPr/>
        <w:fldChar w:fldCharType="separate"/>
      </w:r>
      <w:r>
        <w:rPr/>
        <w:t>4.13</w:t>
      </w:r>
      <w:r>
        <w:rPr/>
        <w:fldChar w:fldCharType="end"/>
      </w:r>
      <w:r>
        <w:rPr/>
        <w:t>, на основании представленных в составе заявки документов и сведений (включая стоимость заявки (цену Договора)).</w:t>
      </w:r>
    </w:p>
    <w:p>
      <w:pPr>
        <w:pStyle w:val="Style24"/>
        <w:keepNext w:val="true"/>
        <w:rPr/>
      </w:pPr>
      <w:r>
        <w:rPr/>
        <w:t>Решение Закупочной комиссии по рассмотрению заявок оформляется протоколом, в котором, как минимум, указываются</w:t>
      </w:r>
      <w:r>
        <w:rPr>
          <w:rStyle w:val="FootnoteReference"/>
        </w:rPr>
        <w:footnoteReference w:id="7"/>
      </w:r>
      <w:r>
        <w:rPr/>
        <w:t>:</w:t>
      </w:r>
    </w:p>
    <w:p>
      <w:pPr>
        <w:pStyle w:val="Style25"/>
        <w:rPr/>
      </w:pPr>
      <w:r>
        <w:rPr/>
        <w:t>дата подписания протокола;</w:t>
      </w:r>
    </w:p>
    <w:p>
      <w:pPr>
        <w:pStyle w:val="Style25"/>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5"/>
        <w:rPr/>
      </w:pPr>
      <w:r>
        <w:rPr/>
        <w:t>идентификационные номера заявок Участников, присваиваемые Оператором ЭП;</w:t>
      </w:r>
    </w:p>
    <w:p>
      <w:pPr>
        <w:pStyle w:val="Style25"/>
        <w:keepNext w:val="true"/>
        <w:rPr/>
      </w:pPr>
      <w:r>
        <w:rPr/>
        <w:t>результаты рассмотрения заявок с указанием, в том числе:</w:t>
      </w:r>
    </w:p>
    <w:p>
      <w:pPr>
        <w:pStyle w:val="Style26"/>
        <w:rPr/>
      </w:pPr>
      <w:r>
        <w:rPr/>
        <w:t>количества заявок, которые были отклонены;</w:t>
      </w:r>
    </w:p>
    <w:p>
      <w:pPr>
        <w:pStyle w:val="Style26"/>
        <w:rPr/>
      </w:pPr>
      <w:r>
        <w:rPr/>
        <w:t>оснований отклонения каждой заявки с указанием положений Документации о закупке, которым не соответствует такая заявка;</w:t>
      </w:r>
    </w:p>
    <w:p>
      <w:pPr>
        <w:pStyle w:val="Style25"/>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25"/>
        <w:keepNext w:val="true"/>
        <w:rPr/>
      </w:pPr>
      <w:r>
        <w:rPr/>
        <w:t>результаты предварительной оценки и сопоставления допущенных заявок – в случае принятия решения о проведении переторжки, с указанием, в том числе:</w:t>
      </w:r>
    </w:p>
    <w:p>
      <w:pPr>
        <w:pStyle w:val="Style26"/>
        <w:rPr/>
      </w:pPr>
      <w:r>
        <w:rPr/>
        <w:t>значения (в баллах), присвоенного каждой заявке по каждому из предусмотренных критериев оценки, установленных в Документации о закупке;</w:t>
      </w:r>
    </w:p>
    <w:p>
      <w:pPr>
        <w:pStyle w:val="Style26"/>
        <w:rPr/>
      </w:pPr>
      <w:r>
        <w:rPr/>
        <w:t>порядкового номера каждой допущенной заявки в предварительной ранжировке заявок, включая стоимость заявки (цену Договора);</w:t>
      </w:r>
    </w:p>
    <w:p>
      <w:pPr>
        <w:pStyle w:val="Style25"/>
        <w:rPr/>
      </w:pPr>
      <w:bookmarkStart w:id="146" w:name="_Ref125551524"/>
      <w:r>
        <w:rPr/>
        <w:t>решение о проведении или непроведении переторжки,</w:t>
      </w:r>
      <w:bookmarkEnd w:id="146"/>
    </w:p>
    <w:p>
      <w:pPr>
        <w:pStyle w:val="Style28"/>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4"/>
        <w:rPr/>
      </w:pPr>
      <w:r>
        <w:rPr/>
        <w:t>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rPr/>
        <w:fldChar w:fldCharType="begin"/>
      </w:r>
      <w:r>
        <w:rPr/>
        <w:instrText xml:space="preserve"> REF _Ref130394785 \r \h </w:instrText>
      </w:r>
      <w:r>
        <w:rPr/>
        <w:fldChar w:fldCharType="separate"/>
      </w:r>
      <w:r>
        <w:rPr/>
        <w:t>4.4</w:t>
      </w:r>
      <w:r>
        <w:rPr/>
        <w:fldChar w:fldCharType="end"/>
      </w:r>
      <w:r>
        <w:rP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pPr>
        <w:pStyle w:val="Style24"/>
        <w:rPr/>
      </w:pPr>
      <w:r>
        <w:rPr/>
        <w:t>Если рассмотрение заявок, оценка и сопоставление заявок, а также подведение итогов закупки осуществляются одновременно, отдельный протокол по результатам рассмотрения заявок может не оформляться, а соответствующая информация подлежит обязательному включению в итоговый протокол по результатам закупки.</w:t>
      </w:r>
    </w:p>
    <w:p>
      <w:pPr>
        <w:pStyle w:val="Style24"/>
        <w:rPr/>
      </w:pPr>
      <w:r>
        <w:rPr/>
        <w:t>Если основания для отклонения заявки, указанные в пункте </w:t>
      </w:r>
      <w:r>
        <w:rPr/>
        <w:fldChar w:fldCharType="begin"/>
      </w:r>
      <w:r>
        <w:rPr/>
        <w:instrText xml:space="preserve"> REF _Ref125551456 \w \h </w:instrText>
      </w:r>
      <w:r>
        <w:rPr/>
        <w:fldChar w:fldCharType="separate"/>
      </w:r>
      <w:r>
        <w:rPr/>
        <w:t>4.9.5</w:t>
      </w:r>
      <w:r>
        <w:rPr/>
        <w:fldChar w:fldCharType="end"/>
      </w:r>
      <w:r>
        <w:rPr/>
        <w:t>, обнаружены позже даты проведения рассмотрения заявок, Организатор осуществляет отклонение такой заявки с внесением соответствующей информации в отдельный или ближайший ко времени события протокол закупки.</w:t>
      </w:r>
    </w:p>
    <w:p>
      <w:pPr>
        <w:pStyle w:val="Style23"/>
        <w:rPr/>
      </w:pPr>
      <w:bookmarkStart w:id="147" w:name="_Ref125362381"/>
      <w:bookmarkStart w:id="148" w:name="_Ref125362425"/>
      <w:bookmarkStart w:id="149" w:name="_Toc186224295"/>
      <w:bookmarkStart w:id="150" w:name="_Ref125362610"/>
      <w:bookmarkStart w:id="151" w:name="_Ref125362464"/>
      <w:r>
        <w:rPr/>
        <w:t>Дополнительные запросы разъяснений заявок</w:t>
      </w:r>
      <w:bookmarkEnd w:id="147"/>
      <w:bookmarkEnd w:id="148"/>
      <w:bookmarkEnd w:id="149"/>
      <w:bookmarkEnd w:id="150"/>
      <w:bookmarkEnd w:id="151"/>
    </w:p>
    <w:p>
      <w:pPr>
        <w:pStyle w:val="Style24"/>
        <w:rPr/>
      </w:pPr>
      <w:bookmarkStart w:id="152" w:name="_Ref125365611"/>
      <w:r>
        <w:rPr/>
        <w:t>В рамках процедуры рассмотрения заявок,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52"/>
    </w:p>
    <w:p>
      <w:pPr>
        <w:pStyle w:val="Style25"/>
        <w:keepNext w:val="true"/>
        <w:rPr/>
      </w:pPr>
      <w:r>
        <w:rPr/>
        <w:t>в составе заявки отсутствуют, представлены не в полном объеме или в нечитаемом виде документы или сведения, необходимые для определения:</w:t>
      </w:r>
    </w:p>
    <w:p>
      <w:pPr>
        <w:pStyle w:val="Style26"/>
        <w:rPr/>
      </w:pPr>
      <w:r>
        <w:rPr/>
        <w:t>соответствия Участника требованиям Документации о закупке;</w:t>
      </w:r>
    </w:p>
    <w:p>
      <w:pPr>
        <w:pStyle w:val="Style26"/>
        <w:rPr/>
      </w:pPr>
      <w:r>
        <w:rPr/>
        <w:t>наличия соответствующих полномочий на подписание заявки от имени Участника у лица, подписавшего заявку;</w:t>
      </w:r>
    </w:p>
    <w:p>
      <w:pPr>
        <w:pStyle w:val="Style26"/>
        <w:rPr/>
      </w:pPr>
      <w:r>
        <w:rP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pPr>
        <w:pStyle w:val="Style25"/>
        <w:rPr/>
      </w:pPr>
      <w:bookmarkStart w:id="153" w:name="_Ref134702259"/>
      <w:r>
        <w:rP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pPr>
        <w:pStyle w:val="Style25"/>
        <w:rPr/>
      </w:pPr>
      <w:r>
        <w:rPr/>
        <w:t>в заявке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FootnoteReference"/>
        </w:rPr>
        <w:footnoteReference w:id="8"/>
      </w:r>
      <w:r>
        <w:rPr/>
        <w:t>) требованиям Документации о закупке или осуществить оценку и сопоставление заявок.</w:t>
      </w:r>
      <w:bookmarkEnd w:id="153"/>
    </w:p>
    <w:p>
      <w:pPr>
        <w:pStyle w:val="Style24"/>
        <w:rPr/>
      </w:pPr>
      <w:r>
        <w:rP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rPr/>
        <w:fldChar w:fldCharType="begin"/>
      </w:r>
      <w:r>
        <w:rPr/>
        <w:instrText xml:space="preserve"> REF _Ref134702259 \r \h </w:instrText>
      </w:r>
      <w:r>
        <w:rPr/>
        <w:fldChar w:fldCharType="separate"/>
      </w:r>
      <w:r>
        <w:rPr/>
        <w:t>4.10.1б)</w:t>
      </w:r>
      <w:r>
        <w:rPr/>
        <w:fldChar w:fldCharType="end"/>
      </w:r>
      <w:r>
        <w:rPr/>
        <w:t>).</w:t>
      </w:r>
    </w:p>
    <w:p>
      <w:pPr>
        <w:pStyle w:val="Style24"/>
        <w:rPr/>
      </w:pPr>
      <w:r>
        <w:rP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pPr>
        <w:pStyle w:val="Style24"/>
        <w:rPr/>
      </w:pPr>
      <w:r>
        <w:rP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pPr>
        <w:pStyle w:val="Style24"/>
        <w:rPr/>
      </w:pPr>
      <w:r>
        <w:rP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пунктом </w:t>
      </w:r>
      <w:r>
        <w:rPr/>
        <w:fldChar w:fldCharType="begin"/>
      </w:r>
      <w:r>
        <w:rPr/>
        <w:instrText xml:space="preserve"> REF _Ref125551456 \w \h </w:instrText>
      </w:r>
      <w:r>
        <w:rPr/>
        <w:fldChar w:fldCharType="separate"/>
      </w:r>
      <w:r>
        <w:rPr/>
        <w:t>4.9.5</w:t>
      </w:r>
      <w:r>
        <w:rPr/>
        <w:fldChar w:fldCharType="end"/>
      </w:r>
      <w:r>
        <w:rPr/>
        <w:t xml:space="preserve"> имеются прямые основания для отклонения заявки такого Участника, не относящиеся к случаям, перечисленным в пункте </w:t>
      </w:r>
      <w:r>
        <w:rPr/>
        <w:fldChar w:fldCharType="begin"/>
      </w:r>
      <w:r>
        <w:rPr/>
        <w:instrText xml:space="preserve"> REF _Ref125365611 \w \h </w:instrText>
      </w:r>
      <w:r>
        <w:rPr/>
        <w:fldChar w:fldCharType="separate"/>
      </w:r>
      <w:r>
        <w:rPr/>
        <w:t>4.10.1</w:t>
      </w:r>
      <w:r>
        <w:rPr/>
        <w:fldChar w:fldCharType="end"/>
      </w:r>
      <w:r>
        <w:rPr/>
        <w:t>.</w:t>
      </w:r>
    </w:p>
    <w:p>
      <w:pPr>
        <w:pStyle w:val="Style24"/>
        <w:rPr/>
      </w:pPr>
      <w:r>
        <w:rP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pPr>
        <w:pStyle w:val="Style24"/>
        <w:rPr/>
      </w:pPr>
      <w:r>
        <w:rP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pPr>
        <w:pStyle w:val="Style24"/>
        <w:rPr/>
      </w:pPr>
      <w:r>
        <w:rP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пункта </w:t>
      </w:r>
      <w:r>
        <w:rPr/>
        <w:fldChar w:fldCharType="begin"/>
      </w:r>
      <w:r>
        <w:rPr/>
        <w:instrText xml:space="preserve"> REF _Ref125551456 \w \h </w:instrText>
      </w:r>
      <w:r>
        <w:rPr/>
        <w:fldChar w:fldCharType="separate"/>
      </w:r>
      <w:r>
        <w:rPr/>
        <w:t>4.9.5</w:t>
      </w:r>
      <w:r>
        <w:rPr/>
        <w:fldChar w:fldCharType="end"/>
      </w:r>
      <w:r>
        <w:rPr/>
        <w:t>.</w:t>
      </w:r>
    </w:p>
    <w:p>
      <w:pPr>
        <w:pStyle w:val="Style23"/>
        <w:rPr/>
      </w:pPr>
      <w:bookmarkStart w:id="154" w:name="_Ref125362430"/>
      <w:bookmarkStart w:id="155" w:name="_Ref125362537"/>
      <w:bookmarkStart w:id="156" w:name="_Ref127536359"/>
      <w:bookmarkStart w:id="157" w:name="_Toc186224296"/>
      <w:r>
        <w:rPr/>
        <w:t>Переторжка</w:t>
      </w:r>
      <w:bookmarkEnd w:id="154"/>
      <w:bookmarkEnd w:id="155"/>
      <w:bookmarkEnd w:id="156"/>
      <w:bookmarkEnd w:id="157"/>
    </w:p>
    <w:p>
      <w:pPr>
        <w:pStyle w:val="Style24"/>
        <w:rPr/>
      </w:pPr>
      <w:r>
        <w:rPr/>
        <w:t>Нормы настоящего подраздела применяются в случае проведения процедуры переторжки.</w:t>
      </w:r>
    </w:p>
    <w:p>
      <w:pPr>
        <w:pStyle w:val="Style24"/>
        <w:rPr/>
      </w:pPr>
      <w:r>
        <w:rPr/>
        <w:t>Решение о проведении процедуры переторжки, а также ее предмете, сроках и форме ее проведения принимает Закупочная комиссия (и фиксирует в протоколе рассмотрения заявок).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p>
    <w:p>
      <w:pPr>
        <w:pStyle w:val="Style24"/>
        <w:keepNext w:val="true"/>
        <w:rPr/>
      </w:pPr>
      <w:r>
        <w:rPr/>
        <w:t>Предметом переторжки могут являться следующие условия (или их сочетания), позволяющие повысить предпочтительность поданных заявок:</w:t>
      </w:r>
    </w:p>
    <w:p>
      <w:pPr>
        <w:pStyle w:val="Style25"/>
        <w:rPr/>
      </w:pPr>
      <w:r>
        <w:rPr/>
        <w:t>стоимость заявки (цена Договора) / цена за единицу продукции;</w:t>
      </w:r>
    </w:p>
    <w:p>
      <w:pPr>
        <w:pStyle w:val="Style25"/>
        <w:rPr/>
      </w:pPr>
      <w:r>
        <w:rPr/>
        <w:t>сроки поставки продукции;</w:t>
      </w:r>
    </w:p>
    <w:p>
      <w:pPr>
        <w:pStyle w:val="Style25"/>
        <w:rPr/>
      </w:pPr>
      <w:r>
        <w:rPr/>
        <w:t>условия оплаты;</w:t>
      </w:r>
    </w:p>
    <w:p>
      <w:pPr>
        <w:pStyle w:val="Style25"/>
        <w:rPr/>
      </w:pPr>
      <w:r>
        <w:rPr/>
        <w:t>иные условия, которые являются критериями оценки заявок.</w:t>
      </w:r>
    </w:p>
    <w:p>
      <w:pPr>
        <w:pStyle w:val="Style28"/>
        <w:ind w:left="1134" w:hanging="0"/>
        <w:rPr/>
      </w:pPr>
      <w:r>
        <w:rPr/>
        <w:t>При этом предметом переторжки не могут быть условия, которые не входят в состав критериев оценки в соответствии с Документацией о закупке.</w:t>
      </w:r>
    </w:p>
    <w:p>
      <w:pPr>
        <w:pStyle w:val="Style24"/>
        <w:rPr/>
      </w:pPr>
      <w:r>
        <w:rPr/>
        <w:t>При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p>
    <w:p>
      <w:pPr>
        <w:pStyle w:val="Style24"/>
        <w:rPr/>
      </w:pPr>
      <w:r>
        <w:rPr/>
        <w:t>В переторжке может принять участие любой Участник, заявка которого не была отклонена по результатам рассмотрения заявок.</w:t>
      </w:r>
    </w:p>
    <w:p>
      <w:pPr>
        <w:pStyle w:val="Style24"/>
        <w:rPr/>
      </w:pPr>
      <w:r>
        <w:rPr/>
        <w:t>Участник,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Письме о подаче оферты (форма 2) (</w:t>
      </w:r>
      <w:hyperlink w:anchor="Прил04_ФормыЗаявки">
        <w:r>
          <w:rPr>
            <w:rStyle w:val="Style13"/>
          </w:rPr>
          <w:t>Приложение № 4</w:t>
        </w:r>
      </w:hyperlink>
      <w:r>
        <w:rPr/>
        <w:t>).</w:t>
      </w:r>
    </w:p>
    <w:p>
      <w:pPr>
        <w:pStyle w:val="Style24"/>
        <w:rPr/>
      </w:pPr>
      <w:r>
        <w:rPr/>
        <w:t>Предложения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p>
    <w:p>
      <w:pPr>
        <w:pStyle w:val="Style24"/>
        <w:rPr/>
      </w:pPr>
      <w:r>
        <w:rPr/>
        <w:t>Изменение цены в сторону снижения, а также изменение иных условий заявки по соответствующему предмету переторжки, не должно повлечь за собой отклонения (в сторону ухудшения) от требований, условий Заказчика, описанных в Документации о закупке, коммерческих интересов Заказчика. При наличии таких отклонений заявка Участника рассматривается с ранее заявленными условиями.</w:t>
      </w:r>
    </w:p>
    <w:p>
      <w:pPr>
        <w:pStyle w:val="Style24"/>
        <w:rPr/>
      </w:pPr>
      <w:r>
        <w:rPr/>
        <w:t>Участник не вправе изменять и (или) отзывать поданные предложения на переторжку после окончания ее проведения.</w:t>
      </w:r>
    </w:p>
    <w:p>
      <w:pPr>
        <w:pStyle w:val="Style24"/>
        <w:rPr/>
      </w:pPr>
      <w:r>
        <w:rPr/>
        <w:t>Участие в переторжке не расценивается Организатором как нарушение требований о праве подачи Участником не более одной заявки. Предложения, заявленные Участниками в ходе переторжки, имеют статус разрешенных изменений в ранее поданную заявку.</w:t>
      </w:r>
    </w:p>
    <w:p>
      <w:pPr>
        <w:pStyle w:val="Style24"/>
        <w:rPr/>
      </w:pPr>
      <w:r>
        <w:rPr/>
        <w:t>Процедура переторжки проводится на ЭП в порядке, предусмотренном настоящим подразделом и Регламентом ЭП.</w:t>
      </w:r>
    </w:p>
    <w:p>
      <w:pPr>
        <w:pStyle w:val="Style24"/>
        <w:keepNext w:val="true"/>
        <w:rPr/>
      </w:pPr>
      <w:r>
        <w:rPr/>
        <w:t>В зависимости от правил, предусмотренных Регламентом ЭП, переторжка может проводиться:</w:t>
      </w:r>
    </w:p>
    <w:p>
      <w:pPr>
        <w:pStyle w:val="Style25"/>
        <w:rPr/>
      </w:pPr>
      <w:r>
        <w:rPr/>
        <w:t>в заочной форме путем однократной подачи предложения на переторжку к установленному сроку;</w:t>
      </w:r>
    </w:p>
    <w:p>
      <w:pPr>
        <w:pStyle w:val="Style25"/>
        <w:rPr/>
      </w:pPr>
      <w:r>
        <w:rPr/>
        <w:t>в очной форме путем неоднократного снижения стоимости заявки (цены Договора) или улучшения других показателей, в том числе с установлением «шага» переторжки.</w:t>
      </w:r>
    </w:p>
    <w:p>
      <w:pPr>
        <w:pStyle w:val="Style24"/>
        <w:rPr/>
      </w:pPr>
      <w:r>
        <w:rPr/>
        <w:t>Приглашение Участников к процедуре переторжки осуществляется посредством одновременного (в один день) направления им соответствующих уведомлений посредством ЭП. В уведомлении указывается срок окончания подачи Участниками предложений на переторжку.</w:t>
      </w:r>
    </w:p>
    <w:p>
      <w:pPr>
        <w:pStyle w:val="Style24"/>
        <w:rPr/>
      </w:pPr>
      <w:r>
        <w:rPr/>
        <w:t>Участник, желающий принять участие в переторжке, должен в срок, установленный Закупочной комиссией, предоставить свои предложения на переторжку.</w:t>
      </w:r>
    </w:p>
    <w:p>
      <w:pPr>
        <w:pStyle w:val="Style24"/>
        <w:rPr/>
      </w:pPr>
      <w:bookmarkStart w:id="158" w:name="_Ref136245191"/>
      <w:r>
        <w:rPr/>
        <w:t>При заочной форме переторжки Участник вместе с предложением на переторжку размещает на ЭП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w:t>
      </w:r>
      <w:bookmarkEnd w:id="158"/>
    </w:p>
    <w:p>
      <w:pPr>
        <w:pStyle w:val="Style24"/>
        <w:rPr/>
      </w:pPr>
      <w:r>
        <w:rPr/>
        <w:t>При очной форме переторжки Участник, признанный Победителем, при условии, что он принимал участие в переторжке, обязан предоставить Заказчику в сроки, определенные подразделом </w:t>
      </w:r>
      <w:r>
        <w:rPr/>
        <w:fldChar w:fldCharType="begin"/>
      </w:r>
      <w:r>
        <w:rPr/>
        <w:instrText xml:space="preserve"> REF _Ref138232981 \r \h </w:instrText>
      </w:r>
      <w:r>
        <w:rPr/>
        <w:fldChar w:fldCharType="separate"/>
      </w:r>
      <w:r>
        <w:rPr/>
        <w:t>5.2</w:t>
      </w:r>
      <w:r>
        <w:rPr/>
        <w:fldChar w:fldCharType="end"/>
      </w:r>
      <w:r>
        <w:rPr/>
        <w:t>,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 (в том числе, последним по времени стоимостным предложением, заявленным в ходе проведения переторжки).</w:t>
      </w:r>
    </w:p>
    <w:p>
      <w:pPr>
        <w:pStyle w:val="Style24"/>
        <w:keepNext w:val="true"/>
        <w:rPr/>
      </w:pPr>
      <w:bookmarkStart w:id="159" w:name="_Ref136244167"/>
      <w:r>
        <w:rPr/>
        <w:t>Документы заявки, подлежащие корректировке по результатам переторжки:</w:t>
      </w:r>
      <w:bookmarkEnd w:id="159"/>
    </w:p>
    <w:p>
      <w:pPr>
        <w:pStyle w:val="Style25"/>
        <w:rPr/>
      </w:pPr>
      <w:r>
        <w:rPr/>
        <w:t>Письмо о подаче оферты (форма 2) (</w:t>
      </w:r>
      <w:hyperlink w:anchor="Прил04_ФормыЗаявки">
        <w:r>
          <w:rPr>
            <w:rStyle w:val="Style13"/>
          </w:rPr>
          <w:t>Приложение № 4</w:t>
        </w:r>
      </w:hyperlink>
      <w:r>
        <w:rPr/>
        <w:t>);</w:t>
      </w:r>
    </w:p>
    <w:p>
      <w:pPr>
        <w:pStyle w:val="Style25"/>
        <w:rPr/>
      </w:pPr>
      <w:r>
        <w:rPr/>
        <w:t>Коммерческое предложение (форма 3) (</w:t>
      </w:r>
      <w:hyperlink w:anchor="Прил04_ФормыЗаявки">
        <w:r>
          <w:rPr>
            <w:rStyle w:val="Style13"/>
          </w:rPr>
          <w:t>Приложение № 4</w:t>
        </w:r>
      </w:hyperlink>
      <w:r>
        <w:rPr/>
        <w:t xml:space="preserve">); также дополнительно предоставляется подтверждающая документация, составленная в соответствии с </w:t>
      </w:r>
      <w:hyperlink w:anchor="Прил01_ТехТребования">
        <w:r>
          <w:rPr>
            <w:rStyle w:val="Style13"/>
          </w:rPr>
          <w:t>Техническими требованиями (Приложение № 1)</w:t>
        </w:r>
      </w:hyperlink>
      <w:r>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p>
      <w:pPr>
        <w:pStyle w:val="Style25"/>
        <w:rPr/>
      </w:pPr>
      <w:r>
        <w:rPr/>
        <w:t>План распределения объемов поставки продукции (форма 11) (</w:t>
      </w:r>
      <w:hyperlink w:anchor="Прил04_ФормыЗаявки">
        <w:r>
          <w:rPr>
            <w:rStyle w:val="Style13"/>
          </w:rPr>
          <w:t>Приложение № 4</w:t>
        </w:r>
      </w:hyperlink>
      <w:r>
        <w:rPr/>
        <w:t>) – только если заявка подана Коллективным участником или Генеральным подрядчиком;</w:t>
      </w:r>
    </w:p>
    <w:p>
      <w:pPr>
        <w:pStyle w:val="Style25"/>
        <w:rPr/>
      </w:pPr>
      <w:bookmarkStart w:id="160" w:name="_Ref130376111"/>
      <w:r>
        <w:rPr/>
        <w:t>иной документ, указанный в протоколе закупки (которым назначена переторжка), связанный с предметом проводимой переторжки.</w:t>
      </w:r>
      <w:bookmarkEnd w:id="160"/>
    </w:p>
    <w:p>
      <w:pPr>
        <w:pStyle w:val="Style24"/>
        <w:rPr/>
      </w:pPr>
      <w:r>
        <w:rPr/>
        <w:t>Если Участник, принявший участие в переторжке в заочной форме, не предоставил документы, в соответствии с пунктом </w:t>
      </w:r>
      <w:r>
        <w:rPr/>
        <w:fldChar w:fldCharType="begin"/>
      </w:r>
      <w:r>
        <w:rPr/>
        <w:instrText xml:space="preserve"> REF _Ref136245191 \r \h </w:instrText>
      </w:r>
      <w:r>
        <w:rPr/>
        <w:fldChar w:fldCharType="separate"/>
      </w:r>
      <w:r>
        <w:rPr/>
        <w:t>4.11.15</w:t>
      </w:r>
      <w:r>
        <w:rPr/>
        <w:fldChar w:fldCharType="end"/>
      </w:r>
      <w:r>
        <w:rPr/>
        <w:t>, либо не предоставил их в ответ на дополнительный запрос Организатора, он считается не участвовавшим в переторжке, и его заявка остается действующей с ранее (первоначально) заявленными условиями.</w:t>
      </w:r>
    </w:p>
    <w:p>
      <w:pPr>
        <w:pStyle w:val="Style24"/>
        <w:rPr/>
      </w:pPr>
      <w:r>
        <w:rPr/>
        <w:t>При наличии соответствующего решения Закупочной комиссии о допуске Участника к переторжке в заочной форме 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pPr>
        <w:pStyle w:val="Style24"/>
        <w:rPr/>
      </w:pPr>
      <w:r>
        <w:rP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pPr>
        <w:pStyle w:val="Style23"/>
        <w:rPr/>
      </w:pPr>
      <w:bookmarkStart w:id="161" w:name="_Toc186224297"/>
      <w:bookmarkStart w:id="162" w:name="_Ref125362626"/>
      <w:bookmarkStart w:id="163" w:name="_Ref125365335"/>
      <w:bookmarkStart w:id="164" w:name="_Ref125366534"/>
      <w:bookmarkStart w:id="165" w:name="_Ref125369041"/>
      <w:bookmarkStart w:id="166" w:name="_Ref125369308"/>
      <w:bookmarkStart w:id="167" w:name="_Ref125365519"/>
      <w:r>
        <w:rPr/>
        <w:t>Оценка и сопоставление заявок</w:t>
      </w:r>
      <w:bookmarkEnd w:id="161"/>
      <w:bookmarkEnd w:id="162"/>
      <w:bookmarkEnd w:id="163"/>
      <w:bookmarkEnd w:id="164"/>
      <w:bookmarkEnd w:id="165"/>
      <w:bookmarkEnd w:id="166"/>
      <w:bookmarkEnd w:id="167"/>
    </w:p>
    <w:p>
      <w:pPr>
        <w:pStyle w:val="Style24"/>
        <w:rPr/>
      </w:pPr>
      <w:r>
        <w:rPr/>
        <w:t>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_Ref125362364 \w \h </w:instrText>
      </w:r>
      <w:r>
        <w:rPr/>
        <w:fldChar w:fldCharType="separate"/>
      </w:r>
      <w:r>
        <w:rPr/>
        <w:t>4.9</w:t>
      </w:r>
      <w:r>
        <w:rPr/>
        <w:fldChar w:fldCharType="end"/>
      </w:r>
      <w:r>
        <w:rPr/>
        <w:t xml:space="preserve">), осуществляется в соответствии с </w:t>
      </w:r>
      <w:hyperlink w:anchor="Прил08_ПорядокОценки">
        <w:r>
          <w:rPr>
            <w:rStyle w:val="Style13"/>
          </w:rPr>
          <w:t>Порядком и критериями оценки и сопоставления заявок (Приложение № 8)</w:t>
        </w:r>
      </w:hyperlink>
      <w:r>
        <w:rPr/>
        <w:t>. Их результатом является формирование ранжировки заявок по степени предпочтительности на основании полученного итогового балла (по мере уменьшения). При этом первое место в ранжировке присваивается заявке, получившей наибольший итоговый балл. Если по результатам оценки нескольким заявкам присвоен одинаковый итоговый балл, то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4"/>
        <w:rPr/>
      </w:pPr>
      <w:r>
        <w:rPr/>
        <w:t xml:space="preserve">Если в соответствии с </w:t>
      </w:r>
      <w:hyperlink w:anchor="Прил08_ПорядокОценки">
        <w:r>
          <w:rPr>
            <w:rStyle w:val="Style13"/>
          </w:rPr>
          <w:t>Порядком и критериями оценки и сопоставления заявок (Приложение № 8)</w:t>
        </w:r>
      </w:hyperlink>
      <w:r>
        <w:rPr/>
        <w:t xml:space="preserve"> предусмотрен единственный ценовой критерий оценки (иные критерии оценки не предусмотрены), 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_Ref135749133 \r \h </w:instrText>
      </w:r>
      <w:r>
        <w:rPr/>
        <w:fldChar w:fldCharType="separate"/>
      </w:r>
      <w:r>
        <w:rPr/>
        <w:t>4.9</w:t>
      </w:r>
      <w:r>
        <w:rPr/>
        <w:fldChar w:fldCharType="end"/>
      </w:r>
      <w:r>
        <w:rPr/>
        <w:t>), осуществляется:</w:t>
      </w:r>
    </w:p>
    <w:p>
      <w:pPr>
        <w:pStyle w:val="Style25"/>
        <w:rPr/>
      </w:pPr>
      <w:r>
        <w:rPr/>
        <w:t>в соответствии с единственным ценовым критерием оценки (критерием выбора Победителя) – стоимость заявки (цена Договора);</w:t>
      </w:r>
    </w:p>
    <w:p>
      <w:pPr>
        <w:pStyle w:val="Style25"/>
        <w:rPr/>
      </w:pPr>
      <w:r>
        <w:rPr/>
        <w:t>в едином базисе без учета НДС;</w:t>
      </w:r>
    </w:p>
    <w:p>
      <w:pPr>
        <w:pStyle w:val="Style25"/>
        <w:rPr/>
      </w:pPr>
      <w:r>
        <w:rP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4"/>
        <w:rPr/>
      </w:pPr>
      <w:r>
        <w:rP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pPr>
        <w:pStyle w:val="Style24"/>
        <w:rPr/>
      </w:pPr>
      <w:r>
        <w:rPr/>
        <w:t>Если проводилась переторжка, оценка и сопоставление заявок, а также их ранжировка осуществляются с учетом предложений, полученных по результатам переторжки (последней переторжки – если она проводилась многократно). Заявки Участников, не принявших участие в переторжке, учитываются при построении ранжировки заявок с первоначальными, указанными в их заявках предложениями (или с предложениями, принятыми Организатором в рамках последней прошедшей переторжки – если она проводилась многократно).</w:t>
      </w:r>
    </w:p>
    <w:p>
      <w:pPr>
        <w:pStyle w:val="Style24"/>
        <w:rPr/>
      </w:pPr>
      <w:r>
        <w:rPr/>
        <w:t>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rPr/>
        <w:fldChar w:fldCharType="begin"/>
      </w:r>
      <w:r>
        <w:rPr/>
        <w:instrText xml:space="preserve"> REF _Ref130985951 \r \h </w:instrText>
      </w:r>
      <w:r>
        <w:rPr/>
        <w:fldChar w:fldCharType="separate"/>
      </w:r>
      <w:r>
        <w:rPr/>
        <w:t>4.13</w:t>
      </w:r>
      <w:r>
        <w:rPr/>
        <w:fldChar w:fldCharType="end"/>
      </w:r>
      <w:r>
        <w:rPr/>
        <w:t>).</w:t>
      </w:r>
    </w:p>
    <w:p>
      <w:pPr>
        <w:pStyle w:val="Style24"/>
        <w:rPr/>
      </w:pPr>
      <w:r>
        <w:rPr/>
        <w:t>Результаты оценки и сопоставления заявок вносятся в итоговый протокол по результатам закупки.</w:t>
      </w:r>
    </w:p>
    <w:p>
      <w:pPr>
        <w:pStyle w:val="Style23"/>
        <w:rPr/>
      </w:pPr>
      <w:bookmarkStart w:id="168" w:name="_Ref125366064"/>
      <w:bookmarkStart w:id="169" w:name="_Ref125370507"/>
      <w:bookmarkStart w:id="170" w:name="_Ref125369991"/>
      <w:bookmarkStart w:id="171" w:name="_Toc186224298"/>
      <w:bookmarkStart w:id="172" w:name="_Ref186128193"/>
      <w:bookmarkStart w:id="173" w:name="_Ref130458671"/>
      <w:bookmarkStart w:id="174" w:name="_Ref132894111"/>
      <w:bookmarkStart w:id="175" w:name="_Ref132894106"/>
      <w:bookmarkStart w:id="176" w:name="_Ref130985951"/>
      <w:r>
        <w:rPr/>
        <w:t>Применение законодательства о национальном режиме</w:t>
      </w:r>
      <w:bookmarkEnd w:id="168"/>
      <w:bookmarkEnd w:id="169"/>
      <w:bookmarkEnd w:id="170"/>
      <w:bookmarkEnd w:id="171"/>
      <w:bookmarkEnd w:id="172"/>
      <w:bookmarkEnd w:id="173"/>
      <w:bookmarkEnd w:id="174"/>
      <w:bookmarkEnd w:id="175"/>
      <w:bookmarkEnd w:id="176"/>
    </w:p>
    <w:p>
      <w:pPr>
        <w:pStyle w:val="Style24"/>
        <w:rPr/>
      </w:pPr>
      <w:r>
        <w:rPr/>
        <w:t>Настоящий подраздел применяется исходя из информации,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4"/>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rPr/>
        <w:fldChar w:fldCharType="begin"/>
      </w:r>
      <w:r>
        <w:rPr/>
        <w:instrText xml:space="preserve"> REF _Ref135749133 \r \h </w:instrText>
      </w:r>
      <w:r>
        <w:rPr/>
        <w:fldChar w:fldCharType="separate"/>
      </w:r>
      <w:r>
        <w:rPr/>
        <w:t>4.9</w:t>
      </w:r>
      <w:r>
        <w:rPr/>
        <w:fldChar w:fldCharType="end"/>
      </w:r>
      <w:r>
        <w:rPr/>
        <w:t>).</w:t>
      </w:r>
    </w:p>
    <w:p>
      <w:pPr>
        <w:pStyle w:val="Style24"/>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pPr>
        <w:pStyle w:val="Style24"/>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преимущества российской продукции, то при оценке и сопоставлении заявок, а также их ранжировке (подраздел </w:t>
      </w:r>
      <w:r>
        <w:rPr/>
        <w:fldChar w:fldCharType="begin"/>
      </w:r>
      <w:r>
        <w:rPr/>
        <w:instrText xml:space="preserve"> REF _Ref125362626 \r \h </w:instrText>
      </w:r>
      <w:r>
        <w:rPr/>
        <w:fldChar w:fldCharType="separate"/>
      </w:r>
      <w:r>
        <w:rPr/>
        <w:t>4.12</w:t>
      </w:r>
      <w:r>
        <w:rPr/>
        <w:fldChar w:fldCharType="end"/>
      </w:r>
      <w:r>
        <w:rPr/>
        <w:t>), осуществляется снижение</w:t>
      </w:r>
      <w:r>
        <w:rPr>
          <w:rStyle w:val="FootnoteReference"/>
        </w:rPr>
        <w:footnoteReference w:id="9"/>
      </w:r>
      <w:r>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pPr>
        <w:pStyle w:val="Style24"/>
        <w:rPr/>
      </w:pPr>
      <w:r>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r>
          <w:rPr>
            <w:rStyle w:val="Style13"/>
          </w:rPr>
          <w:t>Технических требованиях (Приложение № 1)</w:t>
        </w:r>
      </w:hyperlink>
      <w:r>
        <w:rPr/>
        <w:t>.</w:t>
      </w:r>
    </w:p>
    <w:p>
      <w:pPr>
        <w:pStyle w:val="Style23"/>
        <w:rPr/>
      </w:pPr>
      <w:bookmarkStart w:id="177" w:name="_Ref125362658"/>
      <w:bookmarkStart w:id="178" w:name="_Ref125366091"/>
      <w:bookmarkStart w:id="179" w:name="_Ref125367242"/>
      <w:bookmarkStart w:id="180" w:name="_Toc186224299"/>
      <w:r>
        <w:rPr/>
        <w:t>Подведение итогов закупки (определение Победителя)</w:t>
      </w:r>
      <w:bookmarkEnd w:id="177"/>
      <w:bookmarkEnd w:id="178"/>
      <w:bookmarkEnd w:id="179"/>
      <w:bookmarkEnd w:id="180"/>
    </w:p>
    <w:p>
      <w:pPr>
        <w:pStyle w:val="Style24"/>
        <w:rPr/>
      </w:pPr>
      <w:r>
        <w:rPr/>
        <w:t>Дата окончания срока подведения итогов закупки указана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данный срок, официально разместив информацию об этом.</w:t>
      </w:r>
    </w:p>
    <w:p>
      <w:pPr>
        <w:pStyle w:val="Style24"/>
        <w:rPr/>
      </w:pPr>
      <w:r>
        <w:rPr/>
        <w:t>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pPr>
        <w:pStyle w:val="Style24"/>
        <w:rPr/>
      </w:pPr>
      <w:r>
        <w:rPr/>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 рамках постквалификации Организатор вправе запросить у Участника предоставление документов и (или) информации, подтверждающих представленные в заявке сведения, а также провести дополнительную проверку достоверности представленных документов и информации. Постквалификация проводится по отборочным критериям (</w:t>
      </w:r>
      <w:hyperlink w:anchor="Прил07_ОтборочныеКритерии">
        <w:r>
          <w:rPr>
            <w:rStyle w:val="Style13"/>
          </w:rPr>
          <w:t>Приложение № 7</w:t>
        </w:r>
      </w:hyperlink>
      <w:r>
        <w:rPr/>
        <w:t>), относящимся к соответствию Участника установленным требованиям Документации о закупке. Заявка Участника, не отвечающего необходимым требованиям, отклоняется, при этом Организатор вправе продолжить процедуру проверки в отношении Участника, занявшего следующее место в ранжировке.</w:t>
      </w:r>
    </w:p>
    <w:p>
      <w:pPr>
        <w:pStyle w:val="Style24"/>
        <w:rPr/>
      </w:pPr>
      <w:r>
        <w:rP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pPr>
        <w:pStyle w:val="Style24"/>
        <w:keepNext w:val="true"/>
        <w:rPr/>
      </w:pPr>
      <w:bookmarkStart w:id="181" w:name="_Ref125365974"/>
      <w:r>
        <w:rP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FootnoteReference"/>
        </w:rPr>
        <w:footnoteReference w:id="10"/>
      </w:r>
      <w:r>
        <w:rPr/>
        <w:t>:</w:t>
      </w:r>
      <w:bookmarkEnd w:id="181"/>
    </w:p>
    <w:p>
      <w:pPr>
        <w:pStyle w:val="Style25"/>
        <w:rPr/>
      </w:pPr>
      <w:r>
        <w:rPr/>
        <w:t>дата подписания протокола;</w:t>
      </w:r>
    </w:p>
    <w:p>
      <w:pPr>
        <w:pStyle w:val="Style25"/>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5"/>
        <w:rPr/>
      </w:pPr>
      <w:r>
        <w:rPr/>
        <w:t>идентификационные номера заявок Участников, допущенных по результатам рассмотрения заявок, присваиваемые Оператором ЭП;</w:t>
      </w:r>
    </w:p>
    <w:p>
      <w:pPr>
        <w:pStyle w:val="Style25"/>
        <w:keepNext w:val="true"/>
        <w:rPr/>
      </w:pPr>
      <w:r>
        <w:rPr/>
        <w:t>результаты дополнительного рассмотрения заявок (при возникновении оснований для отклонения заявок по результатам проведения постквалификации или актуализации статуса аккредитации, если такие процедуры проводились) с указанием, в том числе:</w:t>
      </w:r>
    </w:p>
    <w:p>
      <w:pPr>
        <w:pStyle w:val="Style26"/>
        <w:rPr/>
      </w:pPr>
      <w:r>
        <w:rPr/>
        <w:t>количества заявок, которые были отклонены;</w:t>
      </w:r>
    </w:p>
    <w:p>
      <w:pPr>
        <w:pStyle w:val="Style26"/>
        <w:rPr/>
      </w:pPr>
      <w:r>
        <w:rPr/>
        <w:t>оснований отклонения каждой заявки с указанием положений Документации о закупке, которым не соответствует такая заявка;</w:t>
      </w:r>
    </w:p>
    <w:p>
      <w:pPr>
        <w:pStyle w:val="Style25"/>
        <w:rPr/>
      </w:pPr>
      <w:r>
        <w:rPr/>
        <w:t xml:space="preserve">результаты оценки и сопоставления заявок с указанием, в том числе, если в соответствии с </w:t>
      </w:r>
      <w:hyperlink w:anchor="Прил08_ПорядокОценки">
        <w:r>
          <w:rPr>
            <w:rStyle w:val="Style13"/>
          </w:rPr>
          <w:t>Порядком и критериями оценки и сопоставления заявок (Приложение № 8)</w:t>
        </w:r>
      </w:hyperlink>
      <w:r>
        <w:rPr/>
        <w:t xml:space="preserve"> был предусмотрен многокритериальный порядок оценки, значения (в баллах), присвоенного каждой заявке по каждому из предусмотренных критериев оценки, установленных в Документации о закупке;</w:t>
      </w:r>
    </w:p>
    <w:p>
      <w:pPr>
        <w:pStyle w:val="Style25"/>
        <w:rPr/>
      </w:pPr>
      <w:r>
        <w:rPr/>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p>
    <w:p>
      <w:pPr>
        <w:pStyle w:val="Style25"/>
        <w:rPr/>
      </w:pPr>
      <w:r>
        <w:rPr/>
        <w:t>идентификационный номер заявки Победителя закупки или Единственного участника несостоявшейся закупки, с которым планируется заключить Договор;</w:t>
      </w:r>
    </w:p>
    <w:p>
      <w:pPr>
        <w:pStyle w:val="Style25"/>
        <w:rPr/>
      </w:pPr>
      <w:r>
        <w:rPr/>
        <w:t>причины, по которым закупка признана несостоявшейся (в случае ее признания таковой),</w:t>
      </w:r>
    </w:p>
    <w:p>
      <w:pPr>
        <w:pStyle w:val="Style28"/>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4"/>
        <w:rPr/>
      </w:pPr>
      <w:r>
        <w:rP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pPr>
        <w:pStyle w:val="Style24"/>
        <w:rPr/>
      </w:pPr>
      <w:r>
        <w:rP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pPr>
        <w:pStyle w:val="Style23"/>
        <w:rPr/>
      </w:pPr>
      <w:bookmarkStart w:id="182" w:name="_Toc186224300"/>
      <w:bookmarkStart w:id="183" w:name="_Ref125366796"/>
      <w:bookmarkStart w:id="184" w:name="_Ref125366631"/>
      <w:bookmarkStart w:id="185" w:name="_Ref125365305"/>
      <w:bookmarkStart w:id="186" w:name="_Ref125364149"/>
      <w:bookmarkStart w:id="187" w:name="_Ref125364187"/>
      <w:bookmarkStart w:id="188" w:name="_Ref125365570"/>
      <w:r>
        <w:rPr/>
        <w:t>Признание закупки несостоявшейся</w:t>
      </w:r>
      <w:bookmarkEnd w:id="182"/>
      <w:bookmarkEnd w:id="183"/>
      <w:bookmarkEnd w:id="184"/>
      <w:bookmarkEnd w:id="185"/>
      <w:bookmarkEnd w:id="186"/>
      <w:bookmarkEnd w:id="187"/>
      <w:bookmarkEnd w:id="188"/>
    </w:p>
    <w:p>
      <w:pPr>
        <w:pStyle w:val="Style24"/>
        <w:keepNext w:val="true"/>
        <w:rPr/>
      </w:pPr>
      <w:r>
        <w:rPr/>
        <w:t>Закупка признается несостоявшейся в следующих случаях:</w:t>
      </w:r>
    </w:p>
    <w:p>
      <w:pPr>
        <w:pStyle w:val="Style25"/>
        <w:rPr/>
      </w:pPr>
      <w:r>
        <w:rPr/>
        <w:t>если по окончанию срока подачи заявок поступило менее 2 (двух) заявок (с учетом возможных отзывов заявок);</w:t>
      </w:r>
    </w:p>
    <w:p>
      <w:pPr>
        <w:pStyle w:val="Style25"/>
        <w:rPr/>
      </w:pPr>
      <w:r>
        <w:rPr/>
        <w:t>по результатам рассмотрения заявок Закупочной комиссией принято решение о признании менее 2 (двух) заявок соответствующими требованиям Документации о закупки.</w:t>
      </w:r>
    </w:p>
    <w:p>
      <w:pPr>
        <w:pStyle w:val="Style24"/>
        <w:rPr/>
      </w:pPr>
      <w:r>
        <w:rP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pPr>
        <w:pStyle w:val="Style24"/>
        <w:keepNext w:val="true"/>
        <w:rPr/>
      </w:pPr>
      <w:r>
        <w:rPr/>
        <w:t>В случае признания закупки несостоявшейся Заказчик вправе (с учетом условий, предусмотренных Положением о закупке):</w:t>
      </w:r>
    </w:p>
    <w:p>
      <w:pPr>
        <w:pStyle w:val="Style25"/>
        <w:rPr/>
      </w:pPr>
      <w:r>
        <w:rPr/>
        <w:t>принять решение о проведении повторной закупки;</w:t>
      </w:r>
    </w:p>
    <w:p>
      <w:pPr>
        <w:pStyle w:val="Style25"/>
        <w:rPr/>
      </w:pPr>
      <w:r>
        <w:rPr/>
        <w:t>заключить договор с Единственным участником несостоявшейся закупки (раздел </w:t>
      </w:r>
      <w:r>
        <w:rPr/>
        <w:fldChar w:fldCharType="begin"/>
      </w:r>
      <w:r>
        <w:rPr/>
        <w:instrText xml:space="preserve"> REF _Ref126142429 \r \h </w:instrText>
      </w:r>
      <w:r>
        <w:rPr/>
        <w:fldChar w:fldCharType="separate"/>
      </w:r>
      <w:r>
        <w:rPr/>
        <w:t>5</w:t>
      </w:r>
      <w:r>
        <w:rPr/>
        <w:fldChar w:fldCharType="end"/>
      </w:r>
      <w:r>
        <w:rPr/>
        <w:t>);</w:t>
      </w:r>
    </w:p>
    <w:p>
      <w:pPr>
        <w:pStyle w:val="Style25"/>
        <w:rPr/>
      </w:pPr>
      <w:r>
        <w:rPr/>
        <w:t>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p>
    <w:p>
      <w:pPr>
        <w:pStyle w:val="Style23"/>
        <w:rPr/>
      </w:pPr>
      <w:bookmarkStart w:id="189" w:name="_Toc186224301"/>
      <w:bookmarkStart w:id="190" w:name="_Ref126141962"/>
      <w:r>
        <w:rPr/>
        <w:t>Отказ от проведения закупки</w:t>
      </w:r>
      <w:bookmarkEnd w:id="190"/>
      <w:r>
        <w:rPr/>
        <w:t xml:space="preserve"> (отмена закупки)</w:t>
      </w:r>
      <w:bookmarkEnd w:id="189"/>
    </w:p>
    <w:p>
      <w:pPr>
        <w:pStyle w:val="Style24"/>
        <w:rPr/>
      </w:pPr>
      <w:r>
        <w:rPr/>
        <w:t>Организатор имеет право в любое время отказаться от проведения закупки, не неся никакой ответственности перед Участниками или третьими лицами, которым такое действие может принести убытки.</w:t>
      </w:r>
    </w:p>
    <w:p>
      <w:pPr>
        <w:pStyle w:val="Style24"/>
        <w:rPr/>
      </w:pPr>
      <w:r>
        <w:rP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pPr>
        <w:pStyle w:val="Style23"/>
        <w:rPr/>
      </w:pPr>
      <w:bookmarkStart w:id="191" w:name="_Ref130455226"/>
      <w:bookmarkStart w:id="192" w:name="_Toc186224302"/>
      <w:r>
        <w:rPr/>
        <w:t>Особенности проведения закупки с необходимостью обеспечения заявки</w:t>
      </w:r>
      <w:bookmarkEnd w:id="191"/>
      <w:bookmarkEnd w:id="192"/>
    </w:p>
    <w:p>
      <w:pPr>
        <w:pStyle w:val="Style24"/>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обязанность Участников предоставить обеспечение заявки на участие в закупке.</w:t>
      </w:r>
    </w:p>
    <w:p>
      <w:pPr>
        <w:pStyle w:val="Style24"/>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4"/>
        <w:rPr/>
      </w:pPr>
      <w:r>
        <w:rP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rPr/>
        <w:fldChar w:fldCharType="begin"/>
      </w:r>
      <w:r>
        <w:rPr/>
        <w:instrText xml:space="preserve"> REF _Ref125359973 \r \h </w:instrText>
      </w:r>
      <w:r>
        <w:rPr/>
        <w:fldChar w:fldCharType="separate"/>
      </w:r>
      <w:r>
        <w:rPr/>
        <w:t>1.2</w:t>
      </w:r>
      <w:r>
        <w:rPr/>
        <w:fldChar w:fldCharType="end"/>
      </w:r>
      <w:r>
        <w:rPr/>
        <w:t>. Выбор формы (способа) обеспечения из числа предусмотренных осуществляется Участниками самостоятельно.</w:t>
      </w:r>
    </w:p>
    <w:p>
      <w:pPr>
        <w:pStyle w:val="Style24"/>
        <w:rPr/>
      </w:pPr>
      <w:r>
        <w:rP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на индивидуальные счет, открытый Участнику Оператором ЭП в соответствии с Регламентом ЭП. В противном случае обеспечение заявки считается невнесенным, и Организатор обязан отклонить заявку такого Участника.</w:t>
      </w:r>
    </w:p>
    <w:p>
      <w:pPr>
        <w:pStyle w:val="Style24"/>
        <w:rPr/>
      </w:pPr>
      <w:r>
        <w:rPr/>
        <w:t>В случае выбора Участником обеспечения заявки путем предоставление банковской гарантии (в том числе электронной банковской гарантии, выданной посредством функционала ЭП), такая банковская гарантия составляется с учетом требований статей 368 – 378 ГК РФ, а также следующих условий:</w:t>
      </w:r>
    </w:p>
    <w:p>
      <w:pPr>
        <w:pStyle w:val="Style25"/>
        <w:rPr/>
      </w:pPr>
      <w:r>
        <w:rPr/>
        <w:t>банковская гарантия должна быть безотзывной и безусловной (гарантия по первому требованию);</w:t>
      </w:r>
    </w:p>
    <w:p>
      <w:pPr>
        <w:pStyle w:val="Style25"/>
        <w:rPr/>
      </w:pPr>
      <w:r>
        <w:rPr/>
        <w:t>сумма банковской гарантии должна быть выражена в российских рублях и составлять не менее суммы в размере, указанном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5"/>
        <w:rPr/>
      </w:pPr>
      <w:r>
        <w:rPr/>
        <w:t>банковская гарантия должна действовать не менее 120 (ста двадцати)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5"/>
        <w:rPr/>
      </w:pPr>
      <w:r>
        <w:rPr/>
        <w:t>бенефициаром в банковской гарантии должен быть указан Заказчик, принципалом – Участник, гарантом – банк, выдавший банковскую гарантию;</w:t>
      </w:r>
    </w:p>
    <w:p>
      <w:pPr>
        <w:pStyle w:val="Style25"/>
        <w:rPr/>
      </w:pPr>
      <w:r>
        <w:rP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 </w:t>
      </w:r>
      <w:r>
        <w:rPr/>
        <w:fldChar w:fldCharType="begin"/>
      </w:r>
      <w:r>
        <w:rPr/>
        <w:instrText xml:space="preserve"> REF _Ref149576299 \r \h </w:instrText>
      </w:r>
      <w:r>
        <w:rPr/>
        <w:fldChar w:fldCharType="separate"/>
      </w:r>
      <w:r>
        <w:rPr/>
        <w:t>4.17.11</w:t>
      </w:r>
      <w:r>
        <w:rPr/>
        <w:fldChar w:fldCharType="end"/>
      </w:r>
      <w:r>
        <w:rPr/>
        <w:t>;</w:t>
      </w:r>
    </w:p>
    <w:p>
      <w:pPr>
        <w:pStyle w:val="Style25"/>
        <w:rPr/>
      </w:pPr>
      <w:r>
        <w:rP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pPr>
        <w:pStyle w:val="Style25"/>
        <w:rPr/>
      </w:pPr>
      <w:r>
        <w:rPr/>
        <w:t>платеж по банковской гарантии должен быть осуществлен в течение 10 (десяти) рабочих дней после обращения бенефициара;</w:t>
      </w:r>
    </w:p>
    <w:p>
      <w:pPr>
        <w:pStyle w:val="Style25"/>
        <w:rPr/>
      </w:pPr>
      <w:r>
        <w:rPr/>
        <w:t>в банковской гарантии не должно быть условий или требований, противоречащих вышеизложенному или делающих вышеизложенное неисполнимым;</w:t>
      </w:r>
    </w:p>
    <w:p>
      <w:pPr>
        <w:pStyle w:val="Style25"/>
        <w:rPr/>
      </w:pPr>
      <w:r>
        <w:rP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FootnoteReference"/>
        </w:rPr>
        <w:footnoteReference w:id="11"/>
      </w:r>
      <w:r>
        <w:rP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w:t>
      </w:r>
    </w:p>
    <w:p>
      <w:pPr>
        <w:pStyle w:val="Style25"/>
        <w:rPr/>
      </w:pPr>
      <w:r>
        <w:rP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банковской гарантии.</w:t>
      </w:r>
    </w:p>
    <w:p>
      <w:pPr>
        <w:pStyle w:val="Style24"/>
        <w:rPr/>
      </w:pPr>
      <w:r>
        <w:rPr/>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pPr>
        <w:pStyle w:val="Style24"/>
        <w:rPr/>
      </w:pPr>
      <w:r>
        <w:rPr/>
        <w:t>При многолотовой закупке (подраздел </w:t>
      </w:r>
      <w:r>
        <w:rPr/>
        <w:fldChar w:fldCharType="begin"/>
      </w:r>
      <w:r>
        <w:rPr/>
        <w:instrText xml:space="preserve"> REF _Ref149317414 \n \h </w:instrText>
      </w:r>
      <w:r>
        <w:rPr/>
        <w:fldChar w:fldCharType="separate"/>
      </w:r>
      <w:r>
        <w:rPr/>
        <w:t>4.18</w:t>
      </w:r>
      <w:r>
        <w:rPr/>
        <w:fldChar w:fldCharType="end"/>
      </w:r>
      <w:r>
        <w:rP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pPr>
        <w:pStyle w:val="Style24"/>
        <w:rPr/>
      </w:pPr>
      <w:r>
        <w:rPr/>
        <w:t>При подаче заявки с альтернативными предложениями (подраздел </w:t>
      </w:r>
      <w:r>
        <w:rPr/>
        <w:fldChar w:fldCharType="begin"/>
      </w:r>
      <w:r>
        <w:rPr/>
        <w:instrText xml:space="preserve"> REF _Ref125550863 \r \h </w:instrText>
      </w:r>
      <w:r>
        <w:rPr/>
        <w:fldChar w:fldCharType="separate"/>
      </w:r>
      <w:r>
        <w:rPr/>
        <w:t>4.19</w:t>
      </w:r>
      <w:r>
        <w:rPr/>
        <w:fldChar w:fldCharType="end"/>
      </w:r>
      <w:r>
        <w:rPr/>
        <w:t>) размер обеспечения заявки не увеличивается, а сумма обеспечения покрывает обязательства Участника как в отношении основного предложения, так и всех альтернативных предложений.</w:t>
      </w:r>
    </w:p>
    <w:p>
      <w:pPr>
        <w:pStyle w:val="Style24"/>
        <w:rPr/>
      </w:pPr>
      <w:r>
        <w:rPr/>
        <w:t>Подать заявку (принять участие в закупке) могут только Участники, предоставившие надлежащее обеспечение их заявок.</w:t>
      </w:r>
    </w:p>
    <w:p>
      <w:pPr>
        <w:pStyle w:val="Style24"/>
        <w:rPr/>
      </w:pPr>
      <w:r>
        <w:rPr/>
        <w:t>Требование об обеспечении заявки в равной мере распространяется на всех Участников.</w:t>
      </w:r>
    </w:p>
    <w:p>
      <w:pPr>
        <w:pStyle w:val="Style24"/>
        <w:keepNext w:val="true"/>
        <w:rPr/>
      </w:pPr>
      <w:bookmarkStart w:id="193" w:name="_Ref149576299"/>
      <w:r>
        <w:rP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93"/>
    </w:p>
    <w:p>
      <w:pPr>
        <w:pStyle w:val="Style25"/>
        <w:rPr/>
      </w:pPr>
      <w:r>
        <w:rPr/>
        <w:t>обязательство заключить Договор в установленном Документацией о закупке порядке (раздел </w:t>
      </w:r>
      <w:r>
        <w:rPr/>
        <w:fldChar w:fldCharType="begin"/>
      </w:r>
      <w:r>
        <w:rPr/>
        <w:instrText xml:space="preserve"> REF _Ref130224037 \r \h </w:instrText>
      </w:r>
      <w:r>
        <w:rPr/>
        <w:fldChar w:fldCharType="separate"/>
      </w:r>
      <w:r>
        <w:rPr/>
        <w:t>5</w:t>
      </w:r>
      <w:r>
        <w:rPr/>
        <w:fldChar w:fldCharType="end"/>
      </w:r>
      <w:r>
        <w:rPr/>
        <w:t>), в том числе предоставить Сведения о цепочке собственников, включая бенефициаров (в том числе конечных) (</w:t>
      </w:r>
      <w:hyperlink w:anchor="Прил05_ФормыПобедителя">
        <w:r>
          <w:rPr>
            <w:rStyle w:val="Style13"/>
          </w:rPr>
          <w:t>Приложение № 5</w:t>
        </w:r>
      </w:hyperlink>
      <w:r>
        <w:rPr/>
        <w:t>), а также предоставить иные документы в соответствии с условиями подраздела </w:t>
      </w:r>
      <w:r>
        <w:rPr/>
        <w:fldChar w:fldCharType="begin"/>
      </w:r>
      <w:r>
        <w:rPr/>
        <w:instrText xml:space="preserve"> REF _Ref138232981 \r \h </w:instrText>
      </w:r>
      <w:r>
        <w:rPr/>
        <w:fldChar w:fldCharType="separate"/>
      </w:r>
      <w:r>
        <w:rPr/>
        <w:t>5.2</w:t>
      </w:r>
      <w:r>
        <w:rPr/>
        <w:fldChar w:fldCharType="end"/>
      </w:r>
      <w:r>
        <w:rPr/>
        <w:t>;</w:t>
      </w:r>
    </w:p>
    <w:p>
      <w:pPr>
        <w:pStyle w:val="Style25"/>
        <w:rPr/>
      </w:pPr>
      <w:r>
        <w:rP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Style13"/>
          </w:rPr>
          <w:t>Проект договора (Приложение № 2)</w:t>
        </w:r>
      </w:hyperlink>
      <w:r>
        <w:rP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Style13"/>
          </w:rPr>
          <w:t>Проектом договора</w:t>
        </w:r>
      </w:hyperlink>
      <w:r>
        <w:rPr/>
        <w:t>).</w:t>
      </w:r>
    </w:p>
    <w:p>
      <w:pPr>
        <w:pStyle w:val="Style24"/>
        <w:rPr/>
      </w:pPr>
      <w:r>
        <w:rPr/>
        <w:t>В случае невыполнения Победителем указанных выше обязательств Организатор вправе удержать обеспечение заявки путем обращения в соответствующую Банк-гарант. В случае предоставления Участником обеспечения в виде денежных средств, Организатор вправе удержать обеспечение заявки со счета, открытого ему Оператором ЭП, в соответствии с регламентом ЭП.</w:t>
      </w:r>
    </w:p>
    <w:p>
      <w:pPr>
        <w:pStyle w:val="Style24"/>
        <w:keepNext w:val="true"/>
        <w:rPr/>
      </w:pPr>
      <w:r>
        <w:rP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pPr>
        <w:pStyle w:val="Style25"/>
        <w:rPr/>
      </w:pPr>
      <w:r>
        <w:rPr/>
        <w:t>принятия решения об отказе от проведения закупки – всем Участникам, подавшим заявки к моменту принятия такого решения;</w:t>
      </w:r>
    </w:p>
    <w:p>
      <w:pPr>
        <w:pStyle w:val="Style25"/>
        <w:rPr/>
      </w:pPr>
      <w:r>
        <w:rP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pPr>
        <w:pStyle w:val="Style25"/>
        <w:rPr/>
      </w:pPr>
      <w:r>
        <w:rPr/>
        <w:t>официального размещения протокола рассмотрения заявок (при условии его оформления) – Участникам, чьи заявки были отклонены;</w:t>
      </w:r>
    </w:p>
    <w:p>
      <w:pPr>
        <w:pStyle w:val="Style25"/>
        <w:rPr/>
      </w:pPr>
      <w:r>
        <w:rPr/>
        <w:t>официального размещения итогового протокола по результатам закупки – всем Участникам, кроме Победителя;</w:t>
      </w:r>
    </w:p>
    <w:p>
      <w:pPr>
        <w:pStyle w:val="Style25"/>
        <w:rPr/>
      </w:pPr>
      <w:r>
        <w:rPr/>
        <w:t>заключения Договора по результатам закупки – Победителю, с которым заключен Договор;</w:t>
      </w:r>
    </w:p>
    <w:p>
      <w:pPr>
        <w:pStyle w:val="Style25"/>
        <w:rPr/>
      </w:pPr>
      <w:r>
        <w:rPr/>
        <w:t>признания закупки несостоявшейся – Участнику, которому обеспечение не было возвращено по иным основаниям.</w:t>
      </w:r>
    </w:p>
    <w:p>
      <w:pPr>
        <w:pStyle w:val="Style24"/>
        <w:rPr/>
      </w:pPr>
      <w:r>
        <w:rPr/>
        <w:t>Возврат обеспечения заявки может быть задержан в случае поступления в установленном законодательством порядке жалобы по закупке (подраздел </w:t>
      </w:r>
      <w:r>
        <w:rPr/>
        <w:fldChar w:fldCharType="begin"/>
      </w:r>
      <w:r>
        <w:rPr/>
        <w:instrText xml:space="preserve"> REF _Ref125363536 \r \h </w:instrText>
      </w:r>
      <w:r>
        <w:rPr/>
        <w:fldChar w:fldCharType="separate"/>
      </w:r>
      <w:r>
        <w:rPr/>
        <w:t>2.3</w:t>
      </w:r>
      <w:r>
        <w:rPr/>
        <w:fldChar w:fldCharType="end"/>
      </w:r>
      <w:r>
        <w:rP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pPr>
        <w:pStyle w:val="Style23"/>
        <w:rPr/>
      </w:pPr>
      <w:bookmarkStart w:id="194" w:name="_Toc186224303"/>
      <w:bookmarkStart w:id="195" w:name="_Ref130225422"/>
      <w:bookmarkStart w:id="196" w:name="_Ref149317414"/>
      <w:r>
        <w:rPr/>
        <w:t>Особенности проведения многолотовой закупки</w:t>
      </w:r>
      <w:bookmarkEnd w:id="194"/>
      <w:bookmarkEnd w:id="195"/>
      <w:bookmarkEnd w:id="196"/>
    </w:p>
    <w:p>
      <w:pPr>
        <w:pStyle w:val="Style24"/>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проведение многолотовой закупки.</w:t>
      </w:r>
    </w:p>
    <w:p>
      <w:pPr>
        <w:pStyle w:val="Style24"/>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4"/>
        <w:rPr/>
      </w:pPr>
      <w:r>
        <w:rP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rPr/>
        <w:t>указан номер конкретного лота, относятся ко всем лотам одновременно.</w:t>
      </w:r>
    </w:p>
    <w:p>
      <w:pPr>
        <w:pStyle w:val="Style24"/>
        <w:rPr/>
      </w:pPr>
      <w:r>
        <w:rPr/>
        <w:t>Участник может подать одну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многолотовой закупке подача Участником по одной заявке на каждый лот не считается подачей второй заявки на закупку.</w:t>
      </w:r>
    </w:p>
    <w:p>
      <w:pPr>
        <w:pStyle w:val="Style24"/>
        <w:keepNext w:val="true"/>
        <w:rPr/>
      </w:pPr>
      <w:r>
        <w:rPr/>
        <w:t>В случае подачи заявки на несколько лотов дополнительно должны быть соблюдены следующие требования:</w:t>
      </w:r>
    </w:p>
    <w:p>
      <w:pPr>
        <w:pStyle w:val="Style25"/>
        <w:rPr/>
      </w:pPr>
      <w:r>
        <w:rPr/>
        <w:t>Письмо о подаче оферты (форма 2) (</w:t>
      </w:r>
      <w:hyperlink w:anchor="Прил04_ФормыЗаявки">
        <w:r>
          <w:rPr>
            <w:rStyle w:val="Style13"/>
          </w:rPr>
          <w:t>Приложение № 4</w:t>
        </w:r>
      </w:hyperlink>
      <w:r>
        <w:rPr/>
        <w:t>) должно содержать указание номера и названия каждого лота, по каждому лоту должна быть указана его стоимость;</w:t>
      </w:r>
    </w:p>
    <w:p>
      <w:pPr>
        <w:pStyle w:val="Style25"/>
        <w:rPr/>
      </w:pPr>
      <w:r>
        <w:rPr/>
        <w:t xml:space="preserve">Коммерческое предложение (форма 3), Техническое предложение (форма 4), Календарный график (форма 5), План распределения объемов поставки продукции (форма 11) – </w:t>
      </w:r>
      <w:hyperlink w:anchor="Прил04_ФормыЗаявки">
        <w:r>
          <w:rPr>
            <w:rStyle w:val="Style13"/>
          </w:rPr>
          <w:t>Приложение № 4</w:t>
        </w:r>
      </w:hyperlink>
      <w:r>
        <w:rPr/>
        <w:t>, должны быть подготовлены отдельно по каждому из лотов с указанием номера и названия лота.</w:t>
      </w:r>
    </w:p>
    <w:p>
      <w:pPr>
        <w:pStyle w:val="Style24"/>
        <w:rPr/>
      </w:pPr>
      <w:r>
        <w:rPr/>
        <w:t>Решения, принимаемые в ходе процедуры закупки, в том числе решения в рамках рассмотрения,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pPr>
        <w:pStyle w:val="Style23"/>
        <w:rPr/>
      </w:pPr>
      <w:bookmarkStart w:id="197" w:name="_Ref125550863"/>
      <w:bookmarkStart w:id="198" w:name="_Toc186224304"/>
      <w:r>
        <w:rPr/>
        <w:t>Особенности проведения закупки с возможностью подачи альтернативных предложений</w:t>
      </w:r>
      <w:bookmarkEnd w:id="197"/>
      <w:bookmarkEnd w:id="198"/>
    </w:p>
    <w:p>
      <w:pPr>
        <w:pStyle w:val="Style24"/>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возможность подачи альтернативных предложений.</w:t>
      </w:r>
    </w:p>
    <w:p>
      <w:pPr>
        <w:pStyle w:val="Style24"/>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4"/>
        <w:rPr/>
      </w:pPr>
      <w:r>
        <w:rPr/>
        <w:t>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в подразделе </w:t>
      </w:r>
      <w:r>
        <w:rPr/>
        <w:fldChar w:fldCharType="begin"/>
      </w:r>
      <w:r>
        <w:rPr/>
        <w:instrText xml:space="preserve"> REF _Ref125359973 \r \h </w:instrText>
      </w:r>
      <w:r>
        <w:rPr/>
        <w:fldChar w:fldCharType="separate"/>
      </w:r>
      <w:r>
        <w:rPr/>
        <w:t>1.2</w:t>
      </w:r>
      <w:r>
        <w:rPr/>
        <w:fldChar w:fldCharType="end"/>
      </w:r>
      <w:r>
        <w:rPr/>
        <w:t>. Требование о том, что участник имеет право подать только одну заявку, к альтернативным предложениям не относится. При этом не допускается подача заявки на часть какого-либо лота по отдельным видам или объемам продукции (в случае нарушения – поданная заявка в отношении такого лота подлежит отклонению).</w:t>
      </w:r>
    </w:p>
    <w:p>
      <w:pPr>
        <w:pStyle w:val="Style24"/>
        <w:rPr/>
      </w:pPr>
      <w:r>
        <w:rPr/>
        <w:t>Альтернативные предложения могут сопровождаться альтернативными ценами (не превышающими НМЦ, установленную в подразделе </w:t>
      </w:r>
      <w:r>
        <w:rPr/>
        <w:fldChar w:fldCharType="begin"/>
      </w:r>
      <w:r>
        <w:rPr/>
        <w:instrText xml:space="preserve"> REF _Ref125359973 \r \h </w:instrText>
      </w:r>
      <w:r>
        <w:rPr/>
        <w:fldChar w:fldCharType="separate"/>
      </w:r>
      <w:r>
        <w:rPr/>
        <w:t>1.2</w:t>
      </w:r>
      <w:r>
        <w:rPr/>
        <w:fldChar w:fldCharType="end"/>
      </w:r>
      <w:r>
        <w:rPr/>
        <w:t>). При этом альтернативные предложения, по сути отличающиеся от основного только ценой, рассматриваться не будут.</w:t>
      </w:r>
    </w:p>
    <w:p>
      <w:pPr>
        <w:pStyle w:val="Style24"/>
        <w:rPr/>
      </w:pPr>
      <w:r>
        <w:rPr/>
        <w:t>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быть представлены соответствующие измененные формы заявки (</w:t>
      </w:r>
      <w:hyperlink w:anchor="Прил04_ФормыЗаявки">
        <w:r>
          <w:rPr>
            <w:rStyle w:val="Style13"/>
          </w:rPr>
          <w:t>Приложение № 4</w:t>
        </w:r>
      </w:hyperlink>
      <w:r>
        <w:rPr/>
        <w:t>) с указанием в них тех параметров, пунктов, разделов и т.д. основного предложения, вместо которых предлагаются альтернативные). При этом в альтернативном предложении не следует дублировать документы, подтверждающие соответствие Участника установленным требованиям, а также формы заявки, которые не отличаются от форм основного предложения.</w:t>
      </w:r>
    </w:p>
    <w:p>
      <w:pPr>
        <w:pStyle w:val="Style24"/>
        <w:rPr/>
      </w:pPr>
      <w:r>
        <w:rPr/>
        <w:t>При проведении переторжки (подраздел </w:t>
      </w:r>
      <w:r>
        <w:rPr/>
        <w:fldChar w:fldCharType="begin"/>
      </w:r>
      <w:r>
        <w:rPr/>
        <w:instrText xml:space="preserve"> REF _Ref127536359 \r \h </w:instrText>
      </w:r>
      <w:r>
        <w:rPr/>
        <w:fldChar w:fldCharType="separate"/>
      </w:r>
      <w:r>
        <w:rPr/>
        <w:t>4.11</w:t>
      </w:r>
      <w:r>
        <w:rPr/>
        <w:fldChar w:fldCharType="end"/>
      </w:r>
      <w:r>
        <w:rPr/>
        <w:t>) альтернативные предложения Участников допускаются к ней наравне с основными предложениями.</w:t>
      </w:r>
    </w:p>
    <w:p>
      <w:pPr>
        <w:pStyle w:val="Style24"/>
        <w:rPr/>
      </w:pPr>
      <w:r>
        <w:rPr/>
        <w:t>Решения Закупочной комиссии по рассмотрению, оценке и сопоставлению заявок принимаются отдельно в отношении основного предложения и каждого альтернативного предложения. Отклонение основного предложения не является основанием для отклонения альтернативных предложений и наоборот. При формировании ранжировки заявок альтернативные предложения ранжируются отдельно (наравне с основными предложениями), с присвоением каждому предложению отдельного места в ранжировке.</w:t>
      </w:r>
    </w:p>
    <w:p>
      <w:pPr>
        <w:pStyle w:val="Style31"/>
        <w:keepNext w:val="true"/>
        <w:rPr/>
      </w:pPr>
      <w:r>
        <w:rPr/>
      </w:r>
    </w:p>
    <w:p>
      <w:pPr>
        <w:pStyle w:val="Style22"/>
        <w:rPr/>
      </w:pPr>
      <w:bookmarkStart w:id="199" w:name="_Ref130224037"/>
      <w:bookmarkStart w:id="200" w:name="_Ref125363439"/>
      <w:bookmarkStart w:id="201" w:name="_Ref125367087"/>
      <w:bookmarkStart w:id="202" w:name="_Ref125366769"/>
      <w:bookmarkStart w:id="203" w:name="_Ref125361212"/>
      <w:bookmarkStart w:id="204" w:name="_Ref126142429"/>
      <w:bookmarkStart w:id="205" w:name="_Toc186224306"/>
      <w:bookmarkStart w:id="206" w:name="_Ref125362671"/>
      <w:bookmarkStart w:id="207" w:name="_Ref125367083"/>
      <w:r>
        <w:rPr/>
        <w:t>Порядок заключения Договора</w:t>
      </w:r>
      <w:bookmarkEnd w:id="199"/>
      <w:bookmarkEnd w:id="200"/>
      <w:bookmarkEnd w:id="201"/>
      <w:bookmarkEnd w:id="202"/>
      <w:bookmarkEnd w:id="203"/>
      <w:bookmarkEnd w:id="204"/>
      <w:bookmarkEnd w:id="205"/>
      <w:bookmarkEnd w:id="206"/>
      <w:bookmarkEnd w:id="207"/>
    </w:p>
    <w:p>
      <w:pPr>
        <w:pStyle w:val="Style23"/>
        <w:rPr/>
      </w:pPr>
      <w:bookmarkStart w:id="208" w:name="_Ref139028625"/>
      <w:bookmarkStart w:id="209" w:name="_Toc186224307"/>
      <w:r>
        <w:rPr/>
        <w:t>Общие положения</w:t>
      </w:r>
      <w:bookmarkEnd w:id="208"/>
      <w:bookmarkEnd w:id="209"/>
    </w:p>
    <w:p>
      <w:pPr>
        <w:pStyle w:val="Style24"/>
        <w:rPr/>
      </w:pPr>
      <w:r>
        <w:rPr/>
        <w:t>Нормы настоящего раздела </w:t>
      </w:r>
      <w:r>
        <w:rPr/>
        <w:fldChar w:fldCharType="begin"/>
      </w:r>
      <w:r>
        <w:rPr/>
        <w:instrText xml:space="preserve"> REF _Ref126142429 \r \h </w:instrText>
      </w:r>
      <w:r>
        <w:rPr/>
        <w:fldChar w:fldCharType="separate"/>
      </w:r>
      <w:r>
        <w:rPr/>
        <w:t>5</w:t>
      </w:r>
      <w:r>
        <w:rPr/>
        <w:fldChar w:fldCharType="end"/>
      </w:r>
      <w:r>
        <w:rP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pPr>
        <w:pStyle w:val="Style24"/>
        <w:rPr/>
      </w:pPr>
      <w:r>
        <w:rPr/>
        <w:t>Заказчик в любое время до заключения договора имеет право отказаться от заключения договора по результатам закупки, не неся никакой ответственности перед Победителем, Участниками, или третьими лицами, которым такое действие может принести убытки.</w:t>
      </w:r>
    </w:p>
    <w:p>
      <w:pPr>
        <w:pStyle w:val="Style24"/>
        <w:rPr/>
      </w:pPr>
      <w:r>
        <w:rPr/>
        <w:t>Заказчик в день принятия решения об отказе от заключения договора уведомляет Победителя о данном решении путем направления официального письма по адресу электронной почты, указанной Победителем в Анкете Участника (форма 6) (</w:t>
      </w:r>
      <w:hyperlink w:anchor="Прил04_ФормыЗаявки">
        <w:r>
          <w:rPr>
            <w:rStyle w:val="Style13"/>
          </w:rPr>
          <w:t>Приложение № 4</w:t>
        </w:r>
      </w:hyperlink>
      <w:r>
        <w:rPr/>
        <w:t>), и размещения соответствующей информации на ЭП.</w:t>
      </w:r>
    </w:p>
    <w:p>
      <w:pPr>
        <w:pStyle w:val="Style23"/>
        <w:rPr/>
      </w:pPr>
      <w:bookmarkStart w:id="210" w:name="_Ref138232981"/>
      <w:bookmarkStart w:id="211" w:name="_Ref125368755"/>
      <w:bookmarkStart w:id="212" w:name="_Toc186224308"/>
      <w:bookmarkStart w:id="213" w:name="_Ref135736094"/>
      <w:bookmarkStart w:id="214" w:name="_Ref125366947"/>
      <w:r>
        <w:rPr/>
        <w:t>Заключение Договора</w:t>
      </w:r>
      <w:bookmarkEnd w:id="210"/>
      <w:bookmarkEnd w:id="211"/>
      <w:bookmarkEnd w:id="212"/>
      <w:bookmarkEnd w:id="213"/>
      <w:bookmarkEnd w:id="214"/>
    </w:p>
    <w:p>
      <w:pPr>
        <w:pStyle w:val="Style24"/>
        <w:rPr/>
      </w:pPr>
      <w:bookmarkStart w:id="215" w:name="_Ref130293821"/>
      <w:bookmarkStart w:id="216" w:name="_Ref125362935"/>
      <w:r>
        <w:rP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215"/>
      <w:bookmarkEnd w:id="216"/>
    </w:p>
    <w:p>
      <w:pPr>
        <w:pStyle w:val="Style24"/>
        <w:rPr/>
      </w:pPr>
      <w:r>
        <w:rPr/>
        <w:t>Договор не может быть заключен, если это запрещено законодательством о национальном режиме в случаях, установленных в подразделе </w:t>
      </w:r>
      <w:r>
        <w:rPr/>
        <w:fldChar w:fldCharType="begin"/>
      </w:r>
      <w:r>
        <w:rPr/>
        <w:instrText xml:space="preserve"> REF _Ref186128193 \r \h </w:instrText>
      </w:r>
      <w:r>
        <w:rPr/>
        <w:fldChar w:fldCharType="separate"/>
      </w:r>
      <w:r>
        <w:rPr/>
        <w:t>4.13</w:t>
      </w:r>
      <w:r>
        <w:rPr/>
        <w:fldChar w:fldCharType="end"/>
      </w:r>
      <w:r>
        <w:rPr/>
        <w:t>.</w:t>
      </w:r>
    </w:p>
    <w:p>
      <w:pPr>
        <w:pStyle w:val="Style24"/>
        <w:rPr/>
      </w:pPr>
      <w:bookmarkStart w:id="217" w:name="_Ref125363464"/>
      <w:r>
        <w:rPr/>
        <w:t>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rPr/>
        <w:fldChar w:fldCharType="begin"/>
      </w:r>
      <w:r>
        <w:rPr/>
        <w:instrText xml:space="preserve"> REF _Ref125359973 \r \h </w:instrText>
      </w:r>
      <w:r>
        <w:rPr/>
        <w:fldChar w:fldCharType="separate"/>
      </w:r>
      <w:r>
        <w:rPr/>
        <w:t>1.2</w:t>
      </w:r>
      <w:r>
        <w:rPr/>
        <w:fldChar w:fldCharType="end"/>
      </w:r>
      <w:r>
        <w:rP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anchor="Прил05_ФормыПобедителя">
        <w:r>
          <w:rPr>
            <w:rStyle w:val="Style13"/>
          </w:rPr>
          <w:t>Приложением № 5</w:t>
        </w:r>
      </w:hyperlink>
      <w:r>
        <w:rPr/>
        <w:t>, с приложением подтверждающих документов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217"/>
    </w:p>
    <w:p>
      <w:pPr>
        <w:pStyle w:val="Style24"/>
        <w:keepNext w:val="true"/>
        <w:rPr/>
      </w:pPr>
      <w:bookmarkStart w:id="218" w:name="_Ref125551776"/>
      <w:r>
        <w:rP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(скан-копии в формате </w:t>
      </w:r>
      <w:r>
        <w:rPr>
          <w:lang w:val="en-US"/>
        </w:rPr>
        <w:t>pdf</w:t>
      </w:r>
      <w:r>
        <w:rPr/>
        <w:t>):</w:t>
      </w:r>
      <w:bookmarkEnd w:id="218"/>
    </w:p>
    <w:p>
      <w:pPr>
        <w:pStyle w:val="Style25"/>
        <w:rPr/>
      </w:pPr>
      <w:r>
        <w:rPr/>
        <w:t xml:space="preserve">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3"/>
          </w:rPr>
          <w:t>Приложением № 5</w:t>
        </w:r>
      </w:hyperlink>
      <w:r>
        <w:rPr/>
        <w:t>;</w:t>
      </w:r>
    </w:p>
    <w:p>
      <w:pPr>
        <w:pStyle w:val="Style25"/>
        <w:rPr/>
      </w:pPr>
      <w:bookmarkStart w:id="219" w:name="_Ref125552642"/>
      <w:r>
        <w:rPr/>
        <w:t>если он принимал участие в переторжке в очной форме – документы своей заявки, подлежащие корректировке в строгом соответствии с его предложениями, заявленными в ходе проведения переторжки (подраздел </w:t>
      </w:r>
      <w:r>
        <w:rPr/>
        <w:fldChar w:fldCharType="begin"/>
      </w:r>
      <w:r>
        <w:rPr/>
        <w:instrText xml:space="preserve"> REF _Ref127536359 \r \h </w:instrText>
      </w:r>
      <w:r>
        <w:rPr/>
        <w:fldChar w:fldCharType="separate"/>
      </w:r>
      <w:r>
        <w:rPr/>
        <w:t>4.11</w:t>
      </w:r>
      <w:r>
        <w:rPr/>
        <w:fldChar w:fldCharType="end"/>
      </w:r>
      <w:r>
        <w:rPr/>
        <w:t>)</w:t>
      </w:r>
      <w:bookmarkEnd w:id="219"/>
      <w:r>
        <w:rPr/>
        <w:t>.</w:t>
      </w:r>
    </w:p>
    <w:p>
      <w:pPr>
        <w:pStyle w:val="Style24"/>
        <w:keepNext w:val="true"/>
        <w:rPr/>
      </w:pPr>
      <w:bookmarkStart w:id="220" w:name="_Ref125551072"/>
      <w:r>
        <w:rPr/>
        <w:t>Перед заключением Договора Победитель обязан предоставить Заказчику, не позднее сроков, установленных в пункте </w:t>
      </w:r>
      <w:r>
        <w:rPr/>
        <w:fldChar w:fldCharType="begin"/>
      </w:r>
      <w:r>
        <w:rPr/>
        <w:instrText xml:space="preserve"> REF _Ref130293821 \w \h </w:instrText>
      </w:r>
      <w:r>
        <w:rPr/>
        <w:fldChar w:fldCharType="separate"/>
      </w:r>
      <w:r>
        <w:rPr/>
        <w:t>5.2.1</w:t>
      </w:r>
      <w:r>
        <w:rPr/>
        <w:fldChar w:fldCharType="end"/>
      </w:r>
      <w:r>
        <w:rPr/>
        <w:t>, в целях подтверждения своего соответствия обязательному требованию к Участникам, указанному в пункте </w:t>
      </w:r>
      <w:r>
        <w:rPr/>
        <w:fldChar w:fldCharType="begin"/>
      </w:r>
      <w:r>
        <w:rPr/>
        <w:instrText xml:space="preserve"> REF _Ref125552433 \w \h </w:instrText>
      </w:r>
      <w:r>
        <w:rPr/>
        <w:fldChar w:fldCharType="separate"/>
      </w:r>
      <w:r>
        <w:rPr/>
        <w:t>1</w:t>
      </w:r>
      <w:r>
        <w:rPr/>
        <w:fldChar w:fldCharType="end"/>
      </w:r>
      <w:r>
        <w:rPr/>
        <w:t xml:space="preserve"> подраздела </w:t>
      </w:r>
      <w:r>
        <w:rPr/>
        <w:fldChar w:fldCharType="begin"/>
      </w:r>
      <w:r>
        <w:rPr/>
        <w:instrText xml:space="preserve"> REF _Ref125361435 \w \h </w:instrText>
      </w:r>
      <w:r>
        <w:rPr/>
        <w:fldChar w:fldCharType="separate"/>
      </w:r>
      <w:r>
        <w:rPr/>
        <w:t>8.2</w:t>
      </w:r>
      <w:r>
        <w:rPr/>
        <w:fldChar w:fldCharType="end"/>
      </w:r>
      <w:r>
        <w:rPr/>
        <w:t xml:space="preserve"> (</w:t>
      </w:r>
      <w:hyperlink w:anchor="Прил03_ТребованияУчастникам">
        <w:r>
          <w:rPr>
            <w:rStyle w:val="Style13"/>
          </w:rPr>
          <w:t>Приложение № 3</w:t>
        </w:r>
      </w:hyperlink>
      <w:r>
        <w:rPr/>
        <w:t xml:space="preserve">), следующие документы (скан-копии в формате </w:t>
      </w:r>
      <w:r>
        <w:rPr>
          <w:lang w:val="en-US"/>
        </w:rPr>
        <w:t>pdf</w:t>
      </w:r>
      <w:r>
        <w:rPr/>
        <w:t>)</w:t>
      </w:r>
      <w:r>
        <w:rPr>
          <w:rStyle w:val="FootnoteReference"/>
        </w:rPr>
        <w:footnoteReference w:id="12"/>
      </w:r>
      <w:r>
        <w:rPr/>
        <w:t>:</w:t>
      </w:r>
      <w:bookmarkEnd w:id="220"/>
    </w:p>
    <w:p>
      <w:pPr>
        <w:pStyle w:val="Style25"/>
        <w:keepNext w:val="true"/>
        <w:rPr/>
      </w:pPr>
      <w:r>
        <w:rPr/>
        <w:t>для юридического лица:</w:t>
      </w:r>
    </w:p>
    <w:p>
      <w:pPr>
        <w:pStyle w:val="Style26"/>
        <w:rPr/>
      </w:pPr>
      <w:r>
        <w:rPr/>
        <w:t>копия устава в действующей редакции с отметкой ИФНС либо копия нотариально заверенного устава (с отметкой нотариуса);</w:t>
      </w:r>
    </w:p>
    <w:p>
      <w:pPr>
        <w:pStyle w:val="Style26"/>
        <w:rPr/>
      </w:pPr>
      <w:bookmarkStart w:id="221" w:name="_Ref125638686"/>
      <w:r>
        <w:rP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221"/>
    </w:p>
    <w:p>
      <w:pPr>
        <w:pStyle w:val="Style26"/>
        <w:rPr/>
      </w:pPr>
      <w:r>
        <w:rP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pPr>
        <w:pStyle w:val="Style25"/>
        <w:rPr/>
      </w:pPr>
      <w:r>
        <w:rPr/>
        <w:t>для лица, зарегистрированного вне Российской Федерации: выписка из торгового реестра страны регистрации иностранного Участника;</w:t>
      </w:r>
    </w:p>
    <w:p>
      <w:pPr>
        <w:pStyle w:val="Style25"/>
        <w:rPr/>
      </w:pPr>
      <w:r>
        <w:rPr/>
        <w:t>для физического лица: нотариально заверенная копия всех страниц документа, удостоверяющего личность (паспорта);</w:t>
      </w:r>
    </w:p>
    <w:p>
      <w:pPr>
        <w:pStyle w:val="Style25"/>
        <w:rPr/>
      </w:pPr>
      <w:bookmarkStart w:id="222" w:name="_Ref125361554"/>
      <w:r>
        <w:rPr/>
        <w:t>если Договор заключается с лидером Коллективного участника, то в обязательном порядке предоставляется оригинал и (или) нотариально заверенная копия Соглашения между членами Коллективного участника, указанного в пункте </w:t>
      </w:r>
      <w:r>
        <w:rPr/>
        <w:fldChar w:fldCharType="begin"/>
      </w:r>
      <w:r>
        <w:rPr/>
        <w:instrText xml:space="preserve"> REF _Ref125366972 \r \h </w:instrText>
      </w:r>
      <w:r>
        <w:rPr/>
        <w:fldChar w:fldCharType="separate"/>
      </w:r>
      <w:r>
        <w:rPr/>
        <w:t>3.2.3</w:t>
      </w:r>
      <w:r>
        <w:rPr/>
        <w:fldChar w:fldCharType="end"/>
      </w:r>
      <w:r>
        <w:rPr/>
        <w:t>.</w:t>
      </w:r>
      <w:bookmarkEnd w:id="222"/>
    </w:p>
    <w:p>
      <w:pPr>
        <w:pStyle w:val="Style24"/>
        <w:rPr/>
      </w:pPr>
      <w:r>
        <w:rP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pPr>
        <w:pStyle w:val="Style24"/>
        <w:rPr/>
      </w:pPr>
      <w:r>
        <w:rP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pPr>
        <w:pStyle w:val="Style24"/>
        <w:keepNext w:val="true"/>
        <w:rPr/>
      </w:pPr>
      <w:bookmarkStart w:id="223" w:name="_Ref132288402"/>
      <w:r>
        <w:rP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23"/>
    </w:p>
    <w:p>
      <w:pPr>
        <w:pStyle w:val="Style25"/>
        <w:rPr/>
      </w:pPr>
      <w:r>
        <w:rPr/>
        <w:t>протокол преддоговорных переговоров между Заказчиком и Победителем (при проведении таковых);</w:t>
      </w:r>
    </w:p>
    <w:p>
      <w:pPr>
        <w:pStyle w:val="Style25"/>
        <w:rPr/>
      </w:pPr>
      <w:r>
        <w:rPr/>
        <w:t>итоговый протокол по результатам закупки;</w:t>
      </w:r>
    </w:p>
    <w:p>
      <w:pPr>
        <w:pStyle w:val="Style25"/>
        <w:rPr/>
      </w:pPr>
      <w:r>
        <w:rPr/>
        <w:t>Извещение и Документация о закупке со всеми изменениями;</w:t>
      </w:r>
    </w:p>
    <w:p>
      <w:pPr>
        <w:pStyle w:val="Style25"/>
        <w:rPr/>
      </w:pPr>
      <w:r>
        <w:rPr/>
        <w:t>заявка Победителя со всеми дополнениями и разъяснениями.</w:t>
      </w:r>
    </w:p>
    <w:p>
      <w:pPr>
        <w:pStyle w:val="Style24"/>
        <w:rPr/>
      </w:pPr>
      <w:bookmarkStart w:id="224" w:name="_Ref125368506"/>
      <w:r>
        <w:rPr/>
        <w:t>Сведения о заключенном Договоре в течение 3 (трех) рабочих дней со дня заключения такого Договора вносятся Заказчиком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соответствующая информация с указанием измененных условий Договора также размещается Заказчиком в ЕИС (если размещение таких сведений допустимо Законом 223-ФЗ).</w:t>
      </w:r>
      <w:bookmarkEnd w:id="224"/>
    </w:p>
    <w:p>
      <w:pPr>
        <w:pStyle w:val="Style24"/>
        <w:keepNext w:val="true"/>
        <w:rPr/>
      </w:pPr>
      <w:r>
        <w:rPr/>
        <w:t>Если Договор заключается в электронной форме:</w:t>
      </w:r>
    </w:p>
    <w:p>
      <w:pPr>
        <w:pStyle w:val="Style25"/>
        <w:rPr/>
      </w:pPr>
      <w:bookmarkStart w:id="225" w:name="_Ref125552524"/>
      <w:r>
        <w:rPr/>
        <w:t>то он заключается с использованием Системы ЭДО, в 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 особенностях заключения Договора в электронной форме, содержатся в подразделе </w:t>
      </w:r>
      <w:r>
        <w:rPr/>
        <w:fldChar w:fldCharType="begin"/>
      </w:r>
      <w:r>
        <w:rPr/>
        <w:instrText xml:space="preserve"> REF _Ref125359973 \r \h </w:instrText>
      </w:r>
      <w:r>
        <w:rPr/>
        <w:fldChar w:fldCharType="separate"/>
      </w:r>
      <w:r>
        <w:rPr/>
        <w:t>1.2</w:t>
      </w:r>
      <w:r>
        <w:rPr/>
        <w:fldChar w:fldCharType="end"/>
      </w:r>
      <w:bookmarkEnd w:id="225"/>
      <w:r>
        <w:rPr/>
        <w:t>;</w:t>
      </w:r>
    </w:p>
    <w:p>
      <w:pPr>
        <w:pStyle w:val="Style25"/>
        <w:rPr/>
      </w:pPr>
      <w:r>
        <w:rPr/>
        <w:t>Заказчик в течение установленного в пункте </w:t>
      </w:r>
      <w:r>
        <w:rPr/>
        <w:fldChar w:fldCharType="begin"/>
      </w:r>
      <w:r>
        <w:rPr/>
        <w:instrText xml:space="preserve"> REF _Ref130293821 \r \h </w:instrText>
      </w:r>
      <w:r>
        <w:rPr/>
        <w:fldChar w:fldCharType="separate"/>
      </w:r>
      <w:r>
        <w:rPr/>
        <w:t>5.2.1</w:t>
      </w:r>
      <w:r>
        <w:rPr/>
        <w:fldChar w:fldCharType="end"/>
      </w:r>
      <w:r>
        <w:rPr/>
        <w:t xml:space="preserve"> срока направляет в адрес Победителя подписанный со своей стороны Проект договора с использованием функционала Системы ЭДО.</w:t>
      </w:r>
    </w:p>
    <w:p>
      <w:pPr>
        <w:pStyle w:val="Style24"/>
        <w:rPr/>
      </w:pPr>
      <w:r>
        <w:rP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pPr>
        <w:pStyle w:val="Style23"/>
        <w:rPr/>
      </w:pPr>
      <w:bookmarkStart w:id="226" w:name="_Toc186224309"/>
      <w:bookmarkStart w:id="227" w:name="_Ref125552570"/>
      <w:r>
        <w:rPr/>
        <w:t>Преддоговорные переговоры</w:t>
      </w:r>
      <w:bookmarkEnd w:id="226"/>
      <w:bookmarkEnd w:id="227"/>
    </w:p>
    <w:p>
      <w:pPr>
        <w:pStyle w:val="Style24"/>
        <w:keepNext w:val="true"/>
        <w:rPr/>
      </w:pPr>
      <w:r>
        <w:rPr/>
        <w:t>Проведение преддоговорных переговоров между Заказчиком и Победителем допускается только в отношении следующих вопросов:</w:t>
      </w:r>
    </w:p>
    <w:p>
      <w:pPr>
        <w:pStyle w:val="Style25"/>
        <w:rPr/>
      </w:pPr>
      <w:r>
        <w:rPr/>
        <w:t>снижение цены Договора (при этом объем закупаемой продукции, а также технические характеристики продукции, определенные в Документации о закупке и заявке Победителя, остаются неизменными);</w:t>
      </w:r>
    </w:p>
    <w:p>
      <w:pPr>
        <w:pStyle w:val="Style25"/>
        <w:rPr/>
      </w:pPr>
      <w:r>
        <w:rPr/>
        <w:t>увеличение объема закупаемой продукции (при этом цена Договора и технические характеристики продукции, определенные в Документации о закупке и заявке Победителя, остаются неизменными);</w:t>
      </w:r>
    </w:p>
    <w:p>
      <w:pPr>
        <w:pStyle w:val="Style25"/>
        <w:rPr/>
      </w:pPr>
      <w:r>
        <w:rPr/>
        <w:t>уточнение сроков исполнения обязательств по Договору (если заключение Договора и исполнение обязательств по нему не могут быть проведены в установленные сроки в связи с обжалованием результатов закупки в адрес Заказчика или антимонопольного органа, в связи с 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уставом и (или) локальными нормативными актами Заказчика);</w:t>
      </w:r>
    </w:p>
    <w:p>
      <w:pPr>
        <w:pStyle w:val="Style25"/>
        <w:rPr/>
      </w:pPr>
      <w:r>
        <w:rP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pPr>
        <w:pStyle w:val="Style25"/>
        <w:rPr/>
      </w:pPr>
      <w:r>
        <w:rP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pPr>
        <w:pStyle w:val="Style24"/>
        <w:rPr/>
      </w:pPr>
      <w:r>
        <w:rPr/>
        <w:t>В любом случае не допускаются переговоры, направленные на изменение условий заключаемого Договора, которые ведут к ухудшению его условий для Заказчика.</w:t>
      </w:r>
    </w:p>
    <w:p>
      <w:pPr>
        <w:pStyle w:val="Style24"/>
        <w:rPr/>
      </w:pPr>
      <w:r>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и (или) Организатор.</w:t>
      </w:r>
    </w:p>
    <w:p>
      <w:pPr>
        <w:pStyle w:val="Style24"/>
        <w:rPr/>
      </w:pPr>
      <w:r>
        <w:rPr/>
        <w:t>Результаты преддоговорных переговоров фиксируются в форме протокола</w:t>
      </w:r>
      <w:r>
        <w:rPr>
          <w:rStyle w:val="FootnoteReference"/>
        </w:rPr>
        <w:footnoteReference w:id="13"/>
      </w:r>
      <w:r>
        <w:rPr/>
        <w:t>, подписываемого Заказчиком и Победителем, который официально размещается в течение 3 (трех) календарных дней с момента их проведения, и должны быть учтены при заключении Договора.</w:t>
      </w:r>
    </w:p>
    <w:p>
      <w:pPr>
        <w:pStyle w:val="Style24"/>
        <w:rPr/>
      </w:pPr>
      <w:r>
        <w:rPr/>
        <w:t>Победитель вправе отказаться от участия в преддоговорных переговорах, при этом такой отказ не является отказом от заключения Договора. Если Заказчик и Победитель в ходе проведения преддоговорных переговоров не пришли к соглашению по вопросу положений, входящих в состав заключаемого Договора, или Победитель отказался от участия в преддоговорных переговорах, Договор заключается на условиях Документации о закупке и заявки такого Победителя (со всеми изменениями и дополнениями)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3"/>
        <w:rPr/>
      </w:pPr>
      <w:bookmarkStart w:id="228" w:name="_Ref125367068"/>
      <w:bookmarkStart w:id="229" w:name="_Toc186224310"/>
      <w:r>
        <w:rPr/>
        <w:t>Уклонение Победителя от заключения Договора</w:t>
      </w:r>
      <w:bookmarkEnd w:id="228"/>
      <w:bookmarkEnd w:id="229"/>
    </w:p>
    <w:p>
      <w:pPr>
        <w:pStyle w:val="Style24"/>
        <w:keepNext w:val="true"/>
        <w:rPr/>
      </w:pPr>
      <w:r>
        <w:rPr/>
        <w:t>Если Победитель закупки:</w:t>
      </w:r>
    </w:p>
    <w:p>
      <w:pPr>
        <w:pStyle w:val="Style25"/>
        <w:rPr/>
      </w:pPr>
      <w:r>
        <w:rPr/>
        <w:t>не подпишет Договор в установленные Документацией о закупке сроки (пункт </w:t>
      </w:r>
      <w:r>
        <w:rPr/>
        <w:fldChar w:fldCharType="begin"/>
      </w:r>
      <w:r>
        <w:rPr/>
        <w:instrText xml:space="preserve"> REF _Ref130293821 \r \h </w:instrText>
      </w:r>
      <w:r>
        <w:rPr/>
        <w:fldChar w:fldCharType="separate"/>
      </w:r>
      <w:r>
        <w:rPr/>
        <w:t>5.2.1</w:t>
      </w:r>
      <w:r>
        <w:rPr/>
        <w:fldChar w:fldCharType="end"/>
      </w:r>
      <w:r>
        <w:rPr/>
        <w:t>);</w:t>
      </w:r>
    </w:p>
    <w:p>
      <w:pPr>
        <w:pStyle w:val="Style25"/>
        <w:rPr/>
      </w:pPr>
      <w:r>
        <w:rPr/>
        <w:t>откажется от подписания Договора на условиях, определяемых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5"/>
        <w:rPr/>
      </w:pPr>
      <w:r>
        <w:rP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Style13"/>
          </w:rPr>
          <w:t>Приложение № 5</w:t>
        </w:r>
      </w:hyperlink>
      <w:r>
        <w:rPr/>
        <w:t>), с приложением подтверждающих документов;</w:t>
      </w:r>
    </w:p>
    <w:p>
      <w:pPr>
        <w:pStyle w:val="Style25"/>
        <w:rPr/>
      </w:pPr>
      <w:r>
        <w:rPr/>
        <w:t xml:space="preserve">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3"/>
          </w:rPr>
          <w:t>Приложением № 5</w:t>
        </w:r>
      </w:hyperlink>
      <w:r>
        <w:rPr/>
        <w:t>;</w:t>
      </w:r>
    </w:p>
    <w:p>
      <w:pPr>
        <w:pStyle w:val="Style25"/>
        <w:rPr/>
      </w:pPr>
      <w:r>
        <w:rPr/>
        <w:t>не предоставит в установленный Заказчиком срок документы, указанные в пункте </w:t>
      </w:r>
      <w:r>
        <w:rPr/>
        <w:fldChar w:fldCharType="begin"/>
      </w:r>
      <w:r>
        <w:rPr/>
        <w:instrText xml:space="preserve"> REF _Ref125551776 \r \h </w:instrText>
      </w:r>
      <w:r>
        <w:rPr/>
        <w:fldChar w:fldCharType="separate"/>
      </w:r>
      <w:r>
        <w:rPr/>
        <w:t>5.2.4</w:t>
      </w:r>
      <w:r>
        <w:rPr/>
        <w:fldChar w:fldCharType="end"/>
      </w:r>
      <w:r>
        <w:rPr/>
        <w:t>, или предоставит их с нарушением требований, установленных в Документации о закупке;</w:t>
      </w:r>
    </w:p>
    <w:p>
      <w:pPr>
        <w:pStyle w:val="Style25"/>
        <w:rPr/>
      </w:pPr>
      <w:r>
        <w:rPr/>
        <w:t>не предоставит в установленный Заказчиком срок документы, указанные в пункте </w:t>
      </w:r>
      <w:r>
        <w:rPr/>
        <w:fldChar w:fldCharType="begin"/>
      </w:r>
      <w:r>
        <w:rPr/>
        <w:instrText xml:space="preserve"> REF _Ref125551072 \w \h </w:instrText>
      </w:r>
      <w:r>
        <w:rPr/>
        <w:fldChar w:fldCharType="separate"/>
      </w:r>
      <w:r>
        <w:rPr/>
        <w:t>5.2.5</w:t>
      </w:r>
      <w:r>
        <w:rPr/>
        <w:fldChar w:fldCharType="end"/>
      </w:r>
      <w:r>
        <w:rPr/>
        <w:t>, или предоставит их с нарушением требований, установленных в Документации о закупке;</w:t>
      </w:r>
    </w:p>
    <w:p>
      <w:pPr>
        <w:pStyle w:val="Style25"/>
        <w:rPr/>
      </w:pPr>
      <w:r>
        <w:rP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Style13"/>
          </w:rPr>
          <w:t>Приложения № 1 – Технические требования</w:t>
        </w:r>
      </w:hyperlink>
      <w:r>
        <w:rPr/>
        <w:t xml:space="preserve"> (в случае установления таковых);</w:t>
      </w:r>
    </w:p>
    <w:p>
      <w:pPr>
        <w:pStyle w:val="Style25"/>
        <w:rPr/>
      </w:pPr>
      <w:r>
        <w:rP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pPr>
        <w:pStyle w:val="Style25"/>
        <w:rPr/>
      </w:pPr>
      <w:r>
        <w:rPr/>
        <w:t>не выполнит другие условия, прямо предусмотренные Документацией о закупке,</w:t>
      </w:r>
    </w:p>
    <w:p>
      <w:pPr>
        <w:pStyle w:val="Style28"/>
        <w:ind w:left="1134" w:hanging="0"/>
        <w:rPr/>
      </w:pPr>
      <w:r>
        <w:rPr/>
        <w:t>то он (по истечению установленных в подразделе </w:t>
      </w:r>
      <w:r>
        <w:rPr/>
        <w:fldChar w:fldCharType="begin"/>
      </w:r>
      <w:r>
        <w:rPr/>
        <w:instrText xml:space="preserve"> REF _Ref138232981 \r \h </w:instrText>
      </w:r>
      <w:r>
        <w:rPr/>
        <w:fldChar w:fldCharType="separate"/>
      </w:r>
      <w:r>
        <w:rPr/>
        <w:t>5.2</w:t>
      </w:r>
      <w:r>
        <w:rPr/>
        <w:fldChar w:fldCharType="end"/>
      </w:r>
      <w:r>
        <w:rP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pPr>
        <w:pStyle w:val="Style22"/>
        <w:rPr/>
      </w:pPr>
      <w:bookmarkStart w:id="230" w:name="Прил01_ТехТребования"/>
      <w:bookmarkStart w:id="231" w:name="_Ref125370843"/>
      <w:bookmarkStart w:id="232" w:name="_Ref125370750"/>
      <w:bookmarkStart w:id="233" w:name="_Ref125370746"/>
      <w:bookmarkStart w:id="234" w:name="_Ref125370741"/>
      <w:bookmarkStart w:id="235" w:name="_Toc186224311"/>
      <w:bookmarkStart w:id="236" w:name="_Ref125370732"/>
      <w:bookmarkStart w:id="237" w:name="_Ref125363023"/>
      <w:bookmarkStart w:id="238" w:name="_Ref125363016"/>
      <w:bookmarkStart w:id="239" w:name="_Ref125364201"/>
      <w:bookmarkStart w:id="240" w:name="_Ref125363752"/>
      <w:bookmarkStart w:id="241" w:name="_Ref125363600"/>
      <w:bookmarkStart w:id="242" w:name="_Ref125363034"/>
      <w:bookmarkStart w:id="243" w:name="_Ref125364088"/>
      <w:r>
        <w:rPr/>
        <w:t>Приложение № 1 – Технические требования</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pPr>
        <w:pStyle w:val="Style23"/>
        <w:rPr/>
      </w:pPr>
      <w:bookmarkStart w:id="244" w:name="_Toc186224312"/>
      <w:r>
        <w:rPr/>
        <w:t>Пояснения к Техническим требованиям</w:t>
      </w:r>
      <w:bookmarkEnd w:id="244"/>
    </w:p>
    <w:p>
      <w:pPr>
        <w:pStyle w:val="Style24"/>
        <w:rPr/>
      </w:pPr>
      <w:r>
        <w:rP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pPr>
        <w:pStyle w:val="Style22"/>
        <w:rPr/>
      </w:pPr>
      <w:bookmarkStart w:id="245" w:name="_Ref125370754"/>
      <w:bookmarkStart w:id="246" w:name="_Ref125364081"/>
      <w:bookmarkStart w:id="247" w:name="Прил02_ПроектДоговора"/>
      <w:bookmarkStart w:id="248" w:name="_Toc186224313"/>
      <w:bookmarkStart w:id="249" w:name="_Ref125364206"/>
      <w:bookmarkStart w:id="250" w:name="_Ref125363759"/>
      <w:bookmarkStart w:id="251" w:name="_Ref125363605"/>
      <w:bookmarkStart w:id="252" w:name="_Ref125363040"/>
      <w:bookmarkStart w:id="253" w:name="_Ref125361746"/>
      <w:r>
        <w:rPr/>
        <w:t>Приложение № 2 – Проект договора</w:t>
      </w:r>
      <w:bookmarkEnd w:id="245"/>
      <w:bookmarkEnd w:id="246"/>
      <w:bookmarkEnd w:id="247"/>
      <w:bookmarkEnd w:id="248"/>
      <w:bookmarkEnd w:id="249"/>
      <w:bookmarkEnd w:id="250"/>
      <w:bookmarkEnd w:id="251"/>
      <w:bookmarkEnd w:id="252"/>
      <w:bookmarkEnd w:id="253"/>
    </w:p>
    <w:p>
      <w:pPr>
        <w:pStyle w:val="Style23"/>
        <w:rPr/>
      </w:pPr>
      <w:bookmarkStart w:id="254" w:name="_Toc186224314"/>
      <w:r>
        <w:rPr/>
        <w:t>Пояснения к Проекту договора</w:t>
      </w:r>
      <w:bookmarkEnd w:id="254"/>
    </w:p>
    <w:p>
      <w:pPr>
        <w:pStyle w:val="Style24"/>
        <w:rPr/>
      </w:pPr>
      <w:r>
        <w:rP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pPr>
        <w:pStyle w:val="Style24"/>
        <w:rPr/>
      </w:pPr>
      <w:r>
        <w:rPr/>
        <w:t>Все положения Проекта договора являются существенными условиями для Заказчика, за исключением пунктов договора, указанных в подразделе </w:t>
      </w:r>
      <w:r>
        <w:rPr/>
        <w:fldChar w:fldCharType="begin"/>
      </w:r>
      <w:r>
        <w:rPr/>
        <w:instrText xml:space="preserve"> REF _Ref125359973 \r \h </w:instrText>
      </w:r>
      <w:r>
        <w:rPr/>
        <w:fldChar w:fldCharType="separate"/>
      </w:r>
      <w:r>
        <w:rPr/>
        <w:t>1.2</w:t>
      </w:r>
      <w:r>
        <w:rPr/>
        <w:fldChar w:fldCharType="end"/>
      </w:r>
      <w:r>
        <w:rPr/>
        <w:t xml:space="preserve"> </w:t>
      </w:r>
      <w:bookmarkStart w:id="255" w:name="_Hlk132883778"/>
      <w:r>
        <w:rPr/>
        <w:t>как «Некритичные пункты Проекта договора»</w:t>
      </w:r>
      <w:bookmarkEnd w:id="255"/>
      <w:r>
        <w:rPr/>
        <w:t>.</w:t>
      </w:r>
    </w:p>
    <w:p>
      <w:pPr>
        <w:pStyle w:val="Style24"/>
        <w:rPr/>
      </w:pPr>
      <w:r>
        <w:rPr/>
        <w:t>В случае проведения преддоговорных переговоров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pPr>
        <w:pStyle w:val="Style24"/>
        <w:rPr/>
      </w:pPr>
      <w:r>
        <w:rPr/>
        <w:t>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256" w:name="_MON_1736255517"/>
      <w:bookmarkEnd w:id="256"/>
    </w:p>
    <w:p>
      <w:pPr>
        <w:sectPr>
          <w:headerReference w:type="default" r:id="rId14"/>
          <w:headerReference w:type="first" r:id="rId15"/>
          <w:footerReference w:type="default" r:id="rId16"/>
          <w:footerReference w:type="first" r:id="rId17"/>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8"/>
        <w:jc w:val="center"/>
        <w:rPr/>
      </w:pPr>
      <w:r>
        <w:rPr/>
        <w:object>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78.75pt;height:50.25pt;mso-wrap-distance-right:0pt" filled="f" o:ole="">
            <v:imagedata r:id="rId13" o:title=""/>
          </v:shape>
          <o:OLEObject Type="Embed" ProgID="Word.Document.12" ShapeID="ole_rId12" DrawAspect="Icon" ObjectID="_1064595450" r:id="rId12"/>
        </w:object>
      </w:r>
    </w:p>
    <w:p>
      <w:pPr>
        <w:pStyle w:val="Style22"/>
        <w:rPr/>
      </w:pPr>
      <w:bookmarkStart w:id="257" w:name="_Ref125370013"/>
      <w:bookmarkStart w:id="258" w:name="_Toc186224315"/>
      <w:bookmarkStart w:id="259" w:name="Прил03_ТребованияУчастникам"/>
      <w:bookmarkStart w:id="260" w:name="_Ref125361494"/>
      <w:bookmarkStart w:id="261" w:name="_Ref125361908"/>
      <w:bookmarkStart w:id="262" w:name="_Ref125365476"/>
      <w:r>
        <w:rPr/>
        <w:t>Приложение № 3 – Требования к Участникам</w:t>
      </w:r>
      <w:bookmarkEnd w:id="257"/>
      <w:bookmarkEnd w:id="258"/>
      <w:bookmarkEnd w:id="259"/>
      <w:bookmarkEnd w:id="260"/>
      <w:bookmarkEnd w:id="261"/>
      <w:bookmarkEnd w:id="262"/>
    </w:p>
    <w:p>
      <w:pPr>
        <w:pStyle w:val="Style23"/>
        <w:rPr/>
      </w:pPr>
      <w:bookmarkStart w:id="263" w:name="_Toc186224316"/>
      <w:r>
        <w:rPr/>
        <w:t>Пояснения к требованиям к Участникам</w:t>
      </w:r>
      <w:bookmarkEnd w:id="263"/>
    </w:p>
    <w:p>
      <w:pPr>
        <w:pStyle w:val="Style24"/>
        <w:rPr/>
      </w:pPr>
      <w:bookmarkStart w:id="264" w:name="_Hlk125628168"/>
      <w:r>
        <w:rPr/>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264"/>
    </w:p>
    <w:p>
      <w:pPr>
        <w:pStyle w:val="Style23"/>
        <w:spacing w:before="360" w:after="120"/>
        <w:rPr/>
      </w:pPr>
      <w:bookmarkStart w:id="265" w:name="_Ref125361846"/>
      <w:bookmarkStart w:id="266" w:name="_Ref125368895"/>
      <w:bookmarkStart w:id="267" w:name="_Ref125361617"/>
      <w:bookmarkStart w:id="268" w:name="_Ref125361435"/>
      <w:bookmarkStart w:id="269" w:name="_Ref125370071"/>
      <w:bookmarkStart w:id="270" w:name="_Ref125361832"/>
      <w:bookmarkStart w:id="271" w:name="_Toc186224317"/>
      <w:bookmarkStart w:id="272" w:name="_Ref125361590"/>
      <w:bookmarkStart w:id="273" w:name="_Ref125370058"/>
      <w:bookmarkStart w:id="274" w:name="_Ref125361926"/>
      <w:bookmarkStart w:id="275" w:name="_Ref125366879"/>
      <w:bookmarkStart w:id="276" w:name="_Ref125369088"/>
      <w:bookmarkStart w:id="277" w:name="_Ref125368812"/>
      <w:bookmarkStart w:id="278" w:name="_Ref125370064"/>
      <w:r>
        <w:rPr/>
        <w:t>Обязательные требования</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tbl>
      <w:tblPr>
        <w:tblStyle w:val="af5"/>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8"/>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79" w:name="_Ref125552433"/>
            <w:bookmarkStart w:id="280" w:name="_Ref125552433"/>
            <w:bookmarkEnd w:id="280"/>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Borders/>
          </w:tcPr>
          <w:p>
            <w:pPr>
              <w:pStyle w:val="Style28"/>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гражданской правоспособности:</w:t>
            </w:r>
          </w:p>
          <w:p>
            <w:pPr>
              <w:pStyle w:val="Style28"/>
              <w:widowControl w:val="false"/>
              <w:numPr>
                <w:ilvl w:val="0"/>
                <w:numId w:val="14"/>
              </w:numPr>
              <w:suppressAutoHyphens w:val="true"/>
              <w:spacing w:before="60" w:after="60"/>
              <w:ind w:left="568" w:hanging="284"/>
              <w:rPr>
                <w:rFonts w:ascii="Times New Roman" w:hAnsi="Times New Roman" w:eastAsia="Calibri" w:cs=""/>
                <w:kern w:val="0"/>
                <w:sz w:val="26"/>
                <w:szCs w:val="22"/>
                <w:lang w:eastAsia="en-US" w:bidi="ar-SA"/>
              </w:rPr>
            </w:pPr>
            <w:r>
              <w:rPr>
                <w:rFonts w:eastAsia="Calibri" w:cs=""/>
                <w:kern w:val="0"/>
                <w:sz w:val="26"/>
                <w:szCs w:val="22"/>
                <w:lang w:val="ru-RU" w:eastAsia="en-US" w:bidi="ar-SA"/>
              </w:rPr>
              <w:t>если заявка подписывается лицом, действующим на основании доверенности, предоставляется электронный образ (файл в формате *.</w:t>
            </w:r>
            <w:r>
              <w:rPr>
                <w:rFonts w:eastAsia="Calibri" w:cs=""/>
                <w:kern w:val="0"/>
                <w:sz w:val="26"/>
                <w:szCs w:val="22"/>
                <w:lang w:val="en-US" w:eastAsia="en-US" w:bidi="ar-SA"/>
              </w:rPr>
              <w:t>pdf</w:t>
            </w:r>
            <w:r>
              <w:rPr>
                <w:rFonts w:eastAsia="Calibri" w:cs=""/>
                <w:kern w:val="0"/>
                <w:sz w:val="26"/>
                <w:szCs w:val="22"/>
                <w:lang w:val="ru-RU" w:eastAsia="en-US" w:bidi="ar-SA"/>
              </w:rPr>
              <w:t>) оригинала соответствующей доверенности либо ее нотариально заверенной копии (с указанием правомочий на подписание заявки);</w:t>
            </w:r>
          </w:p>
          <w:p>
            <w:pPr>
              <w:pStyle w:val="Style28"/>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аккредитации:</w:t>
            </w:r>
          </w:p>
          <w:p>
            <w:pPr>
              <w:pStyle w:val="Style28"/>
              <w:widowControl w:val="false"/>
              <w:numPr>
                <w:ilvl w:val="0"/>
                <w:numId w:val="14"/>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28"/>
              <w:widowControl w:val="false"/>
              <w:numPr>
                <w:ilvl w:val="0"/>
                <w:numId w:val="14"/>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и обновленная Заявка на аккредитацию по установленной в Документации о закупке форме (</w:t>
            </w:r>
            <w:hyperlink w:anchor="Прил10_ЗаявкаНаАккредитацию">
              <w:r>
                <w:rPr>
                  <w:rStyle w:val="Style13"/>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28"/>
              <w:widowControl w:val="false"/>
              <w:numPr>
                <w:ilvl w:val="0"/>
                <w:numId w:val="14"/>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28"/>
              <w:widowControl w:val="false"/>
              <w:numPr>
                <w:ilvl w:val="0"/>
                <w:numId w:val="14"/>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декларация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и Заявка на аккредитацию по установленной в Документации о закупке форме (</w:t>
            </w:r>
            <w:hyperlink w:anchor="Прил10_ЗаявкаНаАккредитацию">
              <w:r>
                <w:rPr>
                  <w:rStyle w:val="Style13"/>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28"/>
              <w:widowControl w:val="false"/>
              <w:suppressAutoHyphens w:val="true"/>
              <w:spacing w:before="60" w:after="60"/>
              <w:ind w:left="284"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p>
        </w:tc>
      </w:tr>
      <w:tr>
        <w:trPr/>
        <w:tc>
          <w:tcPr>
            <w:tcW w:w="1128" w:type="dxa"/>
            <w:tcBorders/>
          </w:tcPr>
          <w:p>
            <w:pPr>
              <w:pStyle w:val="Style28"/>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trPr/>
        <w:tc>
          <w:tcPr>
            <w:tcW w:w="1128" w:type="dxa"/>
            <w:tcBorders/>
          </w:tcPr>
          <w:p>
            <w:pPr>
              <w:pStyle w:val="Style28"/>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81" w:name="_Ref139028406"/>
            <w:bookmarkStart w:id="282" w:name="_Ref139028406"/>
            <w:bookmarkEnd w:id="282"/>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FootnoteReference"/>
                <w:rFonts w:eastAsia="Calibri" w:cs=""/>
                <w:kern w:val="0"/>
                <w:sz w:val="26"/>
                <w:szCs w:val="22"/>
                <w:lang w:val="ru-RU" w:eastAsia="en-US" w:bidi="ar-SA"/>
              </w:rPr>
              <w:footnoteReference w:id="14"/>
            </w:r>
            <w:r>
              <w:rPr>
                <w:rFonts w:eastAsia="Calibri" w:cs=""/>
                <w:kern w:val="0"/>
                <w:sz w:val="26"/>
                <w:szCs w:val="22"/>
                <w:lang w:val="ru-RU" w:eastAsia="en-US" w:bidi="ar-SA"/>
              </w:rPr>
              <w:t>, а также Участник не должен являться подконтрольной организацией данных юридических лиц</w:t>
            </w:r>
            <w:r>
              <w:rPr>
                <w:rStyle w:val="FootnoteReference"/>
                <w:rFonts w:eastAsia="Calibri" w:cs=""/>
                <w:kern w:val="0"/>
                <w:sz w:val="26"/>
                <w:szCs w:val="22"/>
                <w:lang w:val="ru-RU" w:eastAsia="en-US" w:bidi="ar-SA"/>
              </w:rPr>
              <w:footnoteReference w:id="15"/>
            </w:r>
            <w:r>
              <w:rPr>
                <w:rFonts w:eastAsia="Calibri" w:cs=""/>
                <w:kern w:val="0"/>
                <w:sz w:val="26"/>
                <w:szCs w:val="22"/>
                <w:lang w:val="ru-RU" w:eastAsia="en-US" w:bidi="ar-SA"/>
              </w:rPr>
              <w:t>:</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r>
        <w:trPr/>
        <w:tc>
          <w:tcPr>
            <w:tcW w:w="1128" w:type="dxa"/>
            <w:tcBorders/>
          </w:tcPr>
          <w:p>
            <w:pPr>
              <w:pStyle w:val="Style28"/>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83" w:name="_Ref186128496"/>
            <w:bookmarkStart w:id="284" w:name="_Ref186128496"/>
            <w:bookmarkEnd w:id="284"/>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r>
        <w:trPr/>
        <w:tc>
          <w:tcPr>
            <w:tcW w:w="1128" w:type="dxa"/>
            <w:tcBorders/>
          </w:tcPr>
          <w:p>
            <w:pPr>
              <w:pStyle w:val="Style28"/>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85" w:name="_Ref186128503"/>
            <w:bookmarkStart w:id="286" w:name="_Ref186128503"/>
            <w:bookmarkEnd w:id="286"/>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bl>
    <w:p>
      <w:pPr>
        <w:pStyle w:val="Style23"/>
        <w:spacing w:before="360" w:after="120"/>
        <w:rPr/>
      </w:pPr>
      <w:bookmarkStart w:id="287" w:name="_Ref125368818"/>
      <w:bookmarkStart w:id="288" w:name="_Toc186224318"/>
      <w:bookmarkStart w:id="289" w:name="_Ref125709888"/>
      <w:bookmarkStart w:id="290" w:name="_Ref125709250"/>
      <w:bookmarkStart w:id="291" w:name="_Ref125709153"/>
      <w:bookmarkStart w:id="292" w:name="_Ref125709401"/>
      <w:bookmarkStart w:id="293" w:name="_Ref125370079"/>
      <w:bookmarkStart w:id="294" w:name="_Ref125369099"/>
      <w:bookmarkStart w:id="295" w:name="_Ref125368916"/>
      <w:bookmarkStart w:id="296" w:name="_Ref125368901"/>
      <w:bookmarkStart w:id="297" w:name="_Ref125361442"/>
      <w:bookmarkStart w:id="298" w:name="_Ref125361633"/>
      <w:bookmarkStart w:id="299" w:name="_Ref125361671"/>
      <w:bookmarkStart w:id="300" w:name="_Ref125365459"/>
      <w:bookmarkStart w:id="301" w:name="_Ref125361869"/>
      <w:bookmarkStart w:id="302" w:name="_Ref125361937"/>
      <w:bookmarkStart w:id="303" w:name="_Ref125367521"/>
      <w:bookmarkStart w:id="304" w:name="_Ref125367539"/>
      <w:r>
        <w:rPr/>
        <w:t>Специальные требования</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tbl>
      <w:tblPr>
        <w:tblStyle w:val="af5"/>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8"/>
              <w:widowControl w:val="false"/>
              <w:numPr>
                <w:ilvl w:val="0"/>
                <w:numId w:val="3"/>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Специальные требования не установлены.</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Специальные требования не установлены.</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bl>
    <w:p>
      <w:pPr>
        <w:pStyle w:val="Style23"/>
        <w:spacing w:before="360" w:after="120"/>
        <w:rPr/>
      </w:pPr>
      <w:bookmarkStart w:id="305" w:name="_Ref125709256"/>
      <w:bookmarkStart w:id="306" w:name="_Ref125709541"/>
      <w:bookmarkStart w:id="307" w:name="_Toc186224319"/>
      <w:bookmarkStart w:id="308" w:name="_Ref125709895"/>
      <w:bookmarkStart w:id="309" w:name="_Ref125709154"/>
      <w:bookmarkStart w:id="310" w:name="_Ref125553681"/>
      <w:bookmarkStart w:id="311" w:name="_Ref125553475"/>
      <w:bookmarkStart w:id="312" w:name="_Ref125553296"/>
      <w:bookmarkStart w:id="313" w:name="_Ref125553242"/>
      <w:bookmarkStart w:id="314" w:name="_Ref125550270"/>
      <w:bookmarkStart w:id="315" w:name="_Ref125550353"/>
      <w:r>
        <w:rPr/>
        <w:t>Квалификационные требования</w:t>
      </w:r>
      <w:bookmarkEnd w:id="305"/>
      <w:bookmarkEnd w:id="306"/>
      <w:bookmarkEnd w:id="307"/>
      <w:bookmarkEnd w:id="308"/>
      <w:bookmarkEnd w:id="309"/>
      <w:bookmarkEnd w:id="310"/>
      <w:bookmarkEnd w:id="311"/>
      <w:bookmarkEnd w:id="312"/>
      <w:bookmarkEnd w:id="313"/>
      <w:bookmarkEnd w:id="314"/>
      <w:bookmarkEnd w:id="315"/>
    </w:p>
    <w:tbl>
      <w:tblPr>
        <w:tblStyle w:val="af5"/>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8"/>
              <w:widowControl w:val="false"/>
              <w:numPr>
                <w:ilvl w:val="0"/>
                <w:numId w:val="10"/>
              </w:numPr>
              <w:suppressAutoHyphens w:val="true"/>
              <w:spacing w:before="60" w:after="60"/>
              <w:ind w:left="284" w:hanging="0"/>
              <w:jc w:val="center"/>
              <w:rPr/>
            </w:pPr>
            <w:r>
              <w:rPr/>
            </w:r>
          </w:p>
        </w:tc>
        <w:tc>
          <w:tcPr>
            <w:tcW w:w="5671" w:type="dxa"/>
            <w:tcBorders/>
          </w:tcPr>
          <w:p>
            <w:pPr>
              <w:pStyle w:val="Normal"/>
              <w:widowControl w:val="false"/>
              <w:spacing w:before="60" w:after="0"/>
              <w:jc w:val="both"/>
              <w:rPr>
                <w:sz w:val="24"/>
                <w:szCs w:val="24"/>
                <w:lang w:eastAsia="en-US"/>
              </w:rPr>
            </w:pPr>
            <w:r>
              <w:rPr>
                <w:rFonts w:cs="Times New Roman"/>
                <w:color w:val="000000"/>
                <w:sz w:val="24"/>
                <w:szCs w:val="24"/>
                <w:lang w:eastAsia="en-US"/>
              </w:rPr>
              <w:t>Требования к наличию опыта:</w:t>
            </w:r>
          </w:p>
          <w:p>
            <w:pPr>
              <w:pStyle w:val="Normal"/>
              <w:widowControl w:val="false"/>
              <w:spacing w:before="60" w:after="0"/>
              <w:jc w:val="both"/>
              <w:rPr>
                <w:sz w:val="24"/>
                <w:szCs w:val="24"/>
                <w:lang w:eastAsia="en-US"/>
              </w:rPr>
            </w:pPr>
            <w:r>
              <w:rPr>
                <w:rFonts w:cs="Times New Roman"/>
                <w:color w:val="000000"/>
                <w:sz w:val="24"/>
                <w:szCs w:val="24"/>
                <w:lang w:eastAsia="en-US"/>
              </w:rPr>
              <w:t xml:space="preserve">Участнику закупки в качестве повышения предпочтительности своей заявки рекомендуется предоставить сведения для оценки Участника по неценовому критерию: наличие опыта поставки продукции, соответствующей профилю лота, а именно: поставка комплектующих для систем автоматики и возбуждения, при этом участником должны быть исполнены обязательства в общем (совокупном) объеме не менее 50 % от НМЦ лота за последние 5 (пять) лет, предшествующих дате подачи заявок. </w:t>
            </w:r>
          </w:p>
        </w:tc>
        <w:tc>
          <w:tcPr>
            <w:tcW w:w="8327" w:type="dxa"/>
            <w:tcBorders/>
          </w:tcPr>
          <w:p>
            <w:pPr>
              <w:pStyle w:val="Normal"/>
              <w:widowControl w:val="false"/>
              <w:tabs>
                <w:tab w:val="clear" w:pos="720"/>
                <w:tab w:val="left" w:pos="431" w:leader="none"/>
              </w:tabs>
              <w:spacing w:before="0" w:after="0"/>
              <w:ind w:firstLine="303"/>
              <w:jc w:val="both"/>
              <w:rPr>
                <w:rFonts w:ascii="Times New Roman" w:hAnsi="Times New Roman" w:cs="Times New Roman"/>
              </w:rPr>
            </w:pPr>
            <w:r>
              <w:rPr>
                <w:rFonts w:eastAsia="Calibri" w:cs="Times New Roman"/>
                <w:iCs/>
                <w:sz w:val="24"/>
                <w:szCs w:val="24"/>
                <w:lang w:eastAsia="en-US"/>
              </w:rPr>
              <w:t>В составе заявки Участник должен предоставить сведения о ранее выполненных договорах по форме «Справка об опыте Участника», приведенной в Документации о закупке, с обязательным предоставлением подтверждающих наличие требуемого опыта документов, а именно:</w:t>
            </w:r>
          </w:p>
          <w:p>
            <w:pPr>
              <w:pStyle w:val="Normal"/>
              <w:widowControl w:val="false"/>
              <w:tabs>
                <w:tab w:val="clear" w:pos="720"/>
                <w:tab w:val="left" w:pos="431" w:leader="none"/>
              </w:tabs>
              <w:spacing w:before="0" w:after="0"/>
              <w:ind w:firstLine="303"/>
              <w:jc w:val="both"/>
              <w:rPr>
                <w:rFonts w:ascii="Times New Roman" w:hAnsi="Times New Roman" w:cs="Times New Roman"/>
              </w:rPr>
            </w:pPr>
            <w:r>
              <w:rPr>
                <w:rFonts w:eastAsia="Calibri" w:cs="Times New Roman"/>
                <w:iCs/>
                <w:sz w:val="24"/>
                <w:szCs w:val="24"/>
                <w:lang w:eastAsia="en-US"/>
              </w:rPr>
              <w:t xml:space="preserve">    • </w:t>
            </w:r>
            <w:r>
              <w:rPr>
                <w:rFonts w:eastAsia="Calibri" w:cs="Times New Roman"/>
                <w:iCs/>
                <w:sz w:val="24"/>
                <w:szCs w:val="24"/>
                <w:lang w:eastAsia="en-US"/>
              </w:rPr>
              <w:t>копии договоров, подписанных с обеих сторон;</w:t>
            </w:r>
          </w:p>
          <w:p>
            <w:pPr>
              <w:pStyle w:val="Normal"/>
              <w:widowControl w:val="false"/>
              <w:tabs>
                <w:tab w:val="clear" w:pos="720"/>
                <w:tab w:val="left" w:pos="431" w:leader="none"/>
              </w:tabs>
              <w:spacing w:before="0" w:after="0"/>
              <w:ind w:firstLine="303"/>
              <w:jc w:val="both"/>
              <w:rPr>
                <w:rFonts w:ascii="Times New Roman" w:hAnsi="Times New Roman" w:cs="Times New Roman"/>
              </w:rPr>
            </w:pPr>
            <w:r>
              <w:rPr>
                <w:rFonts w:eastAsia="Calibri" w:cs="Times New Roman"/>
                <w:iCs/>
                <w:sz w:val="24"/>
                <w:szCs w:val="24"/>
                <w:lang w:eastAsia="en-US"/>
              </w:rPr>
              <w:t xml:space="preserve">    • </w:t>
            </w:r>
            <w:r>
              <w:rPr>
                <w:rFonts w:eastAsia="Calibri" w:cs="Times New Roman"/>
                <w:iCs/>
                <w:sz w:val="24"/>
                <w:szCs w:val="24"/>
                <w:lang w:eastAsia="en-US"/>
              </w:rPr>
              <w:t>копии товарных накладных по форме ТОРГ-12 или УПД (Универсальный передаточный документ), подписанных с обеих сторон.</w:t>
            </w:r>
          </w:p>
          <w:p>
            <w:pPr>
              <w:pStyle w:val="Normal"/>
              <w:widowControl w:val="false"/>
              <w:tabs>
                <w:tab w:val="clear" w:pos="720"/>
                <w:tab w:val="left" w:pos="431" w:leader="none"/>
              </w:tabs>
              <w:spacing w:before="0" w:after="0"/>
              <w:ind w:firstLine="303"/>
              <w:jc w:val="both"/>
              <w:rPr>
                <w:rFonts w:ascii="Times New Roman" w:hAnsi="Times New Roman" w:cs="Times New Roman"/>
              </w:rPr>
            </w:pPr>
            <w:r>
              <w:rPr>
                <w:rFonts w:eastAsia="Calibri" w:cs="Times New Roman"/>
                <w:iCs/>
                <w:sz w:val="24"/>
                <w:szCs w:val="24"/>
                <w:lang w:eastAsia="en-US"/>
              </w:rPr>
              <w:t>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p>
        </w:tc>
      </w:tr>
    </w:tbl>
    <w:p>
      <w:pPr>
        <w:pStyle w:val="Style23"/>
        <w:spacing w:before="360" w:after="120"/>
        <w:rPr/>
      </w:pPr>
      <w:bookmarkStart w:id="316" w:name="_Ref125553500"/>
      <w:bookmarkStart w:id="317" w:name="_Ref125553692"/>
      <w:bookmarkStart w:id="318" w:name="_Ref125553703"/>
      <w:bookmarkStart w:id="319" w:name="_Ref125709228"/>
      <w:bookmarkStart w:id="320" w:name="_Toc186224320"/>
      <w:bookmarkStart w:id="321" w:name="_Ref125552455"/>
      <w:r>
        <w:rPr/>
        <w:t>Дополнительные требования к Коллективным участникам</w:t>
      </w:r>
      <w:bookmarkEnd w:id="316"/>
      <w:bookmarkEnd w:id="317"/>
      <w:bookmarkEnd w:id="318"/>
      <w:bookmarkEnd w:id="319"/>
      <w:bookmarkEnd w:id="320"/>
      <w:bookmarkEnd w:id="321"/>
    </w:p>
    <w:tbl>
      <w:tblPr>
        <w:tblStyle w:val="af5"/>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Коллективному участнику</w:t>
            </w:r>
          </w:p>
        </w:tc>
        <w:tc>
          <w:tcPr>
            <w:tcW w:w="8327"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 подтверждающим соответствие</w:t>
              <w:br/>
              <w:t>Коллективного участника установленным требованиям</w:t>
            </w:r>
          </w:p>
        </w:tc>
      </w:tr>
      <w:tr>
        <w:trPr/>
        <w:tc>
          <w:tcPr>
            <w:tcW w:w="1128" w:type="dxa"/>
            <w:tcBorders/>
          </w:tcPr>
          <w:p>
            <w:pPr>
              <w:pStyle w:val="Style28"/>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22" w:name="_Ref125370156"/>
            <w:bookmarkStart w:id="323" w:name="_Ref125370156"/>
            <w:bookmarkEnd w:id="323"/>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Члены Коллективного участника должны иметь между собой соглашение (или иной документ), соответствующее нормам ГК РФ:</w:t>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8" w:type="dxa"/>
            <w:tcBorders/>
          </w:tcPr>
          <w:p>
            <w:pPr>
              <w:pStyle w:val="Style28"/>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24" w:name="_Ref125553738"/>
            <w:bookmarkStart w:id="325" w:name="_Ref125553738"/>
            <w:bookmarkEnd w:id="325"/>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Коллективного участника дополнительно должна включать сведения о распределении объемов поставки продукции между членами Коллективного участника:</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11)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28"/>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26" w:name="_Ref125370162"/>
            <w:bookmarkStart w:id="327" w:name="_Ref125370162"/>
            <w:bookmarkEnd w:id="327"/>
          </w:p>
        </w:tc>
        <w:tc>
          <w:tcPr>
            <w:tcW w:w="5671" w:type="dxa"/>
            <w:tcBorders/>
          </w:tcPr>
          <w:p>
            <w:pPr>
              <w:pStyle w:val="Style28"/>
              <w:widowControl w:val="false"/>
              <w:suppressAutoHyphens w:val="true"/>
              <w:spacing w:before="60" w:after="60"/>
              <w:rPr/>
            </w:pPr>
            <w:r>
              <w:rPr>
                <w:rFonts w:eastAsia="Calibri" w:cs=""/>
                <w:kern w:val="0"/>
                <w:sz w:val="26"/>
                <w:szCs w:val="22"/>
                <w:lang w:val="ru-RU" w:eastAsia="en-US" w:bidi="ar-SA"/>
              </w:rPr>
              <w:t>Соответствие каждого члена Коллективного участника установленным требованиям (с учетом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_Ref125368791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_Ref134705077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3.2.7</w:t>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внутри (форма 11)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члена Коллективного участника, подтверждающие его соответствие данным требованиям.</w:t>
            </w:r>
          </w:p>
        </w:tc>
      </w:tr>
    </w:tbl>
    <w:p>
      <w:pPr>
        <w:pStyle w:val="Style23"/>
        <w:spacing w:before="360" w:after="120"/>
        <w:rPr/>
      </w:pPr>
      <w:bookmarkStart w:id="328" w:name="_Ref125362031"/>
      <w:bookmarkStart w:id="329" w:name="_Toc186224321"/>
      <w:bookmarkStart w:id="330" w:name="_Ref125709973"/>
      <w:bookmarkStart w:id="331" w:name="_Ref125709777"/>
      <w:bookmarkStart w:id="332" w:name="_Ref125370209"/>
      <w:bookmarkStart w:id="333" w:name="_Ref125370180"/>
      <w:bookmarkStart w:id="334" w:name="_Ref125370173"/>
      <w:bookmarkStart w:id="335" w:name="_Ref125369117"/>
      <w:bookmarkStart w:id="336" w:name="_Ref125361823"/>
      <w:r>
        <w:rPr/>
        <w:t>Дополнительные требования к Генеральным подрядчикам</w:t>
      </w:r>
      <w:bookmarkEnd w:id="328"/>
      <w:bookmarkEnd w:id="329"/>
      <w:bookmarkEnd w:id="330"/>
      <w:bookmarkEnd w:id="331"/>
      <w:bookmarkEnd w:id="332"/>
      <w:bookmarkEnd w:id="333"/>
      <w:bookmarkEnd w:id="334"/>
      <w:bookmarkEnd w:id="335"/>
      <w:bookmarkEnd w:id="336"/>
    </w:p>
    <w:tbl>
      <w:tblPr>
        <w:tblStyle w:val="af5"/>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Генеральному подрядчику</w:t>
            </w:r>
          </w:p>
        </w:tc>
        <w:tc>
          <w:tcPr>
            <w:tcW w:w="8327"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 подтверждающим соответствие</w:t>
              <w:br/>
              <w:t>Генерального подрядчика установленным требованиям</w:t>
            </w:r>
          </w:p>
        </w:tc>
      </w:tr>
      <w:tr>
        <w:trPr/>
        <w:tc>
          <w:tcPr>
            <w:tcW w:w="1128" w:type="dxa"/>
            <w:tcBorders/>
          </w:tcPr>
          <w:p>
            <w:pPr>
              <w:pStyle w:val="Style28"/>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37" w:name="_Ref125370187"/>
            <w:bookmarkStart w:id="338" w:name="_Ref125370187"/>
            <w:bookmarkEnd w:id="338"/>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11)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28"/>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39" w:name="_Ref125370199"/>
            <w:bookmarkStart w:id="340" w:name="_Ref125370199"/>
            <w:bookmarkEnd w:id="340"/>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Генеральный подрядчик должен доказать, что каждый из привлекаемых им субподрядчиков:</w:t>
            </w:r>
          </w:p>
          <w:p>
            <w:pPr>
              <w:pStyle w:val="Style28"/>
              <w:widowControl w:val="false"/>
              <w:numPr>
                <w:ilvl w:val="0"/>
                <w:numId w:val="13"/>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осведомлен о привлечении его в качестве субподрядчика;</w:t>
            </w:r>
          </w:p>
          <w:p>
            <w:pPr>
              <w:pStyle w:val="Style28"/>
              <w:widowControl w:val="false"/>
              <w:numPr>
                <w:ilvl w:val="0"/>
                <w:numId w:val="13"/>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согласен с выделяемым ему перечнем, объемами, сроками и стоимостью поставки продукции:</w:t>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Письмо от имени каждого привлекаемого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 на него поставки продукции, а также сроков поставки продукции;</w:t>
            </w:r>
          </w:p>
        </w:tc>
      </w:tr>
      <w:tr>
        <w:trPr/>
        <w:tc>
          <w:tcPr>
            <w:tcW w:w="1128" w:type="dxa"/>
            <w:tcBorders/>
          </w:tcPr>
          <w:p>
            <w:pPr>
              <w:pStyle w:val="Style28"/>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1" w:name="_Ref125370193"/>
            <w:bookmarkStart w:id="342" w:name="_Ref125370193"/>
            <w:bookmarkEnd w:id="342"/>
          </w:p>
        </w:tc>
        <w:tc>
          <w:tcPr>
            <w:tcW w:w="5671" w:type="dxa"/>
            <w:tcBorders/>
          </w:tcPr>
          <w:p>
            <w:pPr>
              <w:pStyle w:val="Style28"/>
              <w:widowControl w:val="false"/>
              <w:suppressAutoHyphens w:val="true"/>
              <w:spacing w:before="60" w:after="60"/>
              <w:rPr/>
            </w:pPr>
            <w:r>
              <w:rPr>
                <w:rFonts w:eastAsia="Calibri" w:cs=""/>
                <w:kern w:val="0"/>
                <w:sz w:val="26"/>
                <w:szCs w:val="22"/>
                <w:lang w:val="ru-RU" w:eastAsia="en-US" w:bidi="ar-SA"/>
              </w:rPr>
              <w:t>Соответствие каждого субподрядчика установленным требованиям (с учетом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_Ref125368863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(форма 11)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субподрядчика, подтверждающие его соответствие данным требованиям;</w:t>
            </w:r>
          </w:p>
        </w:tc>
      </w:tr>
      <w:tr>
        <w:trPr/>
        <w:tc>
          <w:tcPr>
            <w:tcW w:w="1128" w:type="dxa"/>
            <w:tcBorders/>
          </w:tcPr>
          <w:p>
            <w:pPr>
              <w:pStyle w:val="Style28"/>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3" w:name="_Ref125553847"/>
            <w:bookmarkStart w:id="344" w:name="_Ref125553847"/>
            <w:bookmarkEnd w:id="344"/>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Дополнительные требования не установлены.</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Дополнительные требования не установлены.</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bl>
    <w:p>
      <w:pPr>
        <w:sectPr>
          <w:headerReference w:type="default" r:id="rId18"/>
          <w:headerReference w:type="first" r:id="rId19"/>
          <w:footerReference w:type="default" r:id="rId20"/>
          <w:footerReference w:type="first" r:id="rId21"/>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2"/>
        <w:rPr/>
      </w:pPr>
      <w:bookmarkStart w:id="345" w:name="_Toc186224322"/>
      <w:bookmarkStart w:id="346" w:name="Прил04_ФормыЗаявки"/>
      <w:bookmarkEnd w:id="346"/>
      <w:r>
        <w:rPr/>
        <w:t>Приложение № 4 – Образцы форм документов, включаемых в состав заявки</w:t>
      </w:r>
      <w:bookmarkEnd w:id="345"/>
    </w:p>
    <w:p>
      <w:pPr>
        <w:pStyle w:val="Style23"/>
        <w:rPr/>
      </w:pPr>
      <w:bookmarkStart w:id="347" w:name="_Toc186224323"/>
      <w:r>
        <w:rPr/>
        <w:t>Пояснения к Образцам форм документов, включаемых в состав заявки</w:t>
      </w:r>
      <w:bookmarkEnd w:id="347"/>
    </w:p>
    <w:p>
      <w:pPr>
        <w:pStyle w:val="Style24"/>
        <w:rPr/>
      </w:pPr>
      <w:r>
        <w:rP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p>
    <w:p>
      <w:pPr>
        <w:pStyle w:val="Style22"/>
        <w:rPr/>
      </w:pPr>
      <w:bookmarkStart w:id="348" w:name="_Toc186224324"/>
      <w:bookmarkStart w:id="349" w:name="Прил05_ФормыПобедителя"/>
      <w:bookmarkEnd w:id="349"/>
      <w:r>
        <w:rPr/>
        <w:t>Приложение № 5 – Образцы форм документов, предоставляемых Победителем</w:t>
      </w:r>
      <w:bookmarkEnd w:id="348"/>
    </w:p>
    <w:p>
      <w:pPr>
        <w:pStyle w:val="Style23"/>
        <w:rPr/>
      </w:pPr>
      <w:bookmarkStart w:id="350" w:name="_Toc186224325"/>
      <w:r>
        <w:rPr/>
        <w:t>Пояснения к Образцам форм документов, предоставляемых Победителем</w:t>
      </w:r>
      <w:bookmarkEnd w:id="350"/>
    </w:p>
    <w:p>
      <w:pPr>
        <w:pStyle w:val="Style24"/>
        <w:rPr/>
      </w:pPr>
      <w:r>
        <w:rP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rPr/>
        <w:fldChar w:fldCharType="begin"/>
      </w:r>
      <w:r>
        <w:rPr/>
        <w:instrText xml:space="preserve"> REF _Ref130395470 \r \h </w:instrText>
      </w:r>
      <w:r>
        <w:rPr/>
        <w:fldChar w:fldCharType="separate"/>
      </w:r>
      <w:r>
        <w:rPr/>
        <w:t>10.2</w:t>
      </w:r>
      <w:r>
        <w:rPr/>
        <w:fldChar w:fldCharType="end"/>
      </w:r>
      <w:r>
        <w:rPr/>
        <w:t xml:space="preserve">, </w:t>
      </w:r>
      <w:r>
        <w:rPr/>
        <w:fldChar w:fldCharType="begin"/>
      </w:r>
      <w:r>
        <w:rPr/>
        <w:instrText xml:space="preserve"> REF _Ref130395475 \r \h </w:instrText>
      </w:r>
      <w:r>
        <w:rPr/>
        <w:fldChar w:fldCharType="separate"/>
      </w:r>
      <w:r>
        <w:rPr/>
        <w:t>10.3</w:t>
      </w:r>
      <w:r>
        <w:rPr/>
        <w:fldChar w:fldCharType="end"/>
      </w:r>
      <w:r>
        <w:rPr/>
        <w:t>.</w:t>
      </w:r>
    </w:p>
    <w:p>
      <w:pPr>
        <w:pStyle w:val="Style23"/>
        <w:rPr/>
      </w:pPr>
      <w:bookmarkStart w:id="351" w:name="_Ref130395470"/>
      <w:bookmarkStart w:id="352" w:name="_Toc186224326"/>
      <w:r>
        <w:rPr/>
        <w:t>Форма справки «Сведения о цепочке собственников, включая бенефициаров (в том числе конечных)»</w:t>
      </w:r>
      <w:bookmarkEnd w:id="351"/>
      <w:bookmarkEnd w:id="352"/>
    </w:p>
    <w:p>
      <w:pPr>
        <w:pStyle w:val="Style24"/>
        <w:rPr/>
      </w:pPr>
      <w:r>
        <w:rPr/>
        <w:t>Справка «Сведения о цепочке собственников, включая бенефициаров (в том числе конечных)» предоставляется Победителем закупки (поставщиком).</w:t>
      </w:r>
    </w:p>
    <w:p>
      <w:pPr>
        <w:pStyle w:val="Style24"/>
        <w:rPr/>
      </w:pPr>
      <w:r>
        <w:rPr/>
        <w:t xml:space="preserve">Форма справки «Сведения о цепочке собственников, включая бенефициаров (в том числе конечных)» </w:t>
      </w:r>
      <w:r>
        <w:rPr>
          <w:lang w:val="en-US"/>
        </w:rPr>
        <w:t>c</w:t>
      </w:r>
      <w:r>
        <w:rP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rPr/>
        <w:t xml:space="preserve"> </w:t>
      </w:r>
      <w:r>
        <w:rPr>
          <w:lang w:val="en-US"/>
        </w:rPr>
        <w:t>Word</w:t>
      </w:r>
      <w:r>
        <w:rPr/>
        <w:t>:</w:t>
      </w:r>
      <w:bookmarkStart w:id="353" w:name="_MON_1741074142"/>
    </w:p>
    <w:p>
      <w:pPr>
        <w:pStyle w:val="Style28"/>
        <w:jc w:val="center"/>
        <w:rPr/>
      </w:pPr>
      <w:bookmarkEnd w:id="353"/>
      <w:r>
        <w:rPr/>
        <w:object>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78.75pt;height:50.25pt;mso-wrap-distance-right:0pt" filled="f" o:ole="">
            <v:imagedata r:id="rId23" o:title=""/>
          </v:shape>
          <o:OLEObject Type="Embed" ProgID="Word.Document.12" ShapeID="ole_rId22" DrawAspect="Icon" ObjectID="_1663935712" r:id="rId22"/>
        </w:object>
      </w:r>
    </w:p>
    <w:p>
      <w:pPr>
        <w:pStyle w:val="Style23"/>
        <w:rPr/>
      </w:pPr>
      <w:bookmarkStart w:id="354" w:name="_Ref130395475"/>
      <w:bookmarkStart w:id="355" w:name="_Toc186224327"/>
      <w:r>
        <w:rPr/>
        <w:t>Форма «Заверение об обстоятельствах»</w:t>
      </w:r>
      <w:bookmarkEnd w:id="354"/>
      <w:bookmarkEnd w:id="355"/>
    </w:p>
    <w:p>
      <w:pPr>
        <w:pStyle w:val="Style24"/>
        <w:rPr/>
      </w:pPr>
      <w:r>
        <w:rP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rP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rPr/>
        <w:t>(трех) рабочих дней с даты официального размещения Организатором итогового протокола по результатам закупки.</w:t>
      </w:r>
    </w:p>
    <w:p>
      <w:pPr>
        <w:pStyle w:val="Style24"/>
        <w:rPr/>
      </w:pPr>
      <w:r>
        <w:rP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pPr>
        <w:pStyle w:val="Style24"/>
        <w:rPr/>
      </w:pPr>
      <w:r>
        <w:rP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pPr>
        <w:pStyle w:val="Style24"/>
        <w:keepNext w:val="true"/>
        <w:rPr/>
      </w:pPr>
      <w:r>
        <w:rPr/>
        <w:t xml:space="preserve">Форма «Заверение об обстоятельствах» приведена в отдельном файле в формате </w:t>
      </w:r>
      <w:r>
        <w:rPr>
          <w:lang w:val="en-US"/>
        </w:rPr>
        <w:t>Microsoft</w:t>
      </w:r>
      <w:r>
        <w:rPr/>
        <w:t xml:space="preserve"> </w:t>
      </w:r>
      <w:r>
        <w:rPr>
          <w:lang w:val="en-US"/>
        </w:rPr>
        <w:t>Word</w:t>
      </w:r>
      <w:r>
        <w:rPr/>
        <w:t>:</w:t>
      </w:r>
      <w:bookmarkStart w:id="356" w:name="_MON_1741074184"/>
    </w:p>
    <w:p>
      <w:pPr>
        <w:pStyle w:val="Style28"/>
        <w:spacing w:before="120" w:after="120"/>
        <w:jc w:val="center"/>
        <w:rPr/>
      </w:pPr>
      <w:bookmarkEnd w:id="356"/>
      <w:r>
        <w:rPr/>
        <w:object>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78.75pt;height:50.25pt;mso-wrap-distance-right:0pt;mso-wrap-distance-bottom:6pt" filled="f" o:ole="">
            <v:imagedata r:id="rId25" o:title=""/>
          </v:shape>
          <o:OLEObject Type="Embed" ProgID="Word.Document.12" ShapeID="ole_rId24" DrawAspect="Icon" ObjectID="_2003682075" r:id="rId24"/>
        </w:object>
      </w:r>
    </w:p>
    <w:p>
      <w:pPr>
        <w:pStyle w:val="Style22"/>
        <w:rPr/>
      </w:pPr>
      <w:bookmarkStart w:id="357" w:name="_Toc186224328"/>
      <w:bookmarkStart w:id="358" w:name="_Ref125362865"/>
      <w:bookmarkStart w:id="359" w:name="_Ref125362900"/>
      <w:bookmarkStart w:id="360" w:name="Прил06_СоставЗаявки"/>
      <w:bookmarkEnd w:id="360"/>
      <w:r>
        <w:rPr/>
        <w:t>Приложение № 6 – Состав заявки</w:t>
      </w:r>
      <w:bookmarkEnd w:id="357"/>
      <w:bookmarkEnd w:id="358"/>
      <w:bookmarkEnd w:id="359"/>
    </w:p>
    <w:p>
      <w:pPr>
        <w:pStyle w:val="Style23"/>
        <w:rPr/>
      </w:pPr>
      <w:bookmarkStart w:id="361" w:name="_Toc186224329"/>
      <w:r>
        <w:rPr/>
        <w:t>Состав заявки</w:t>
      </w:r>
      <w:bookmarkEnd w:id="361"/>
    </w:p>
    <w:p>
      <w:pPr>
        <w:pStyle w:val="Style24"/>
        <w:spacing w:before="120" w:after="120"/>
        <w:rPr/>
      </w:pPr>
      <w:r>
        <w:rPr/>
        <w:t xml:space="preserve">Заявка на участие в закупке должна содержать следующий комплект документов (образцы форм документов, включаемых в состав заявки (с инструкциями по их оформлению), приведены в </w:t>
      </w:r>
      <w:hyperlink w:anchor="Прил04_ФормыЗаявки">
        <w:r>
          <w:rPr>
            <w:rStyle w:val="Style13"/>
          </w:rPr>
          <w:t>Приложении № 4</w:t>
        </w:r>
      </w:hyperlink>
      <w:r>
        <w:rPr/>
        <w:t>):</w:t>
      </w:r>
    </w:p>
    <w:tbl>
      <w:tblPr>
        <w:tblStyle w:val="af5"/>
        <w:tblW w:w="8783" w:type="dxa"/>
        <w:jc w:val="left"/>
        <w:tblInd w:w="1129" w:type="dxa"/>
        <w:tblLayout w:type="fixed"/>
        <w:tblCellMar>
          <w:top w:w="0" w:type="dxa"/>
          <w:left w:w="57" w:type="dxa"/>
          <w:bottom w:w="0" w:type="dxa"/>
          <w:right w:w="57" w:type="dxa"/>
        </w:tblCellMar>
        <w:tblLook w:val="04a0" w:noHBand="0" w:noVBand="1" w:firstColumn="1" w:lastRow="0" w:lastColumn="0" w:firstRow="1"/>
      </w:tblPr>
      <w:tblGrid>
        <w:gridCol w:w="707"/>
        <w:gridCol w:w="8075"/>
      </w:tblGrid>
      <w:tr>
        <w:trPr>
          <w:cnfStyle w:val="100000000000" w:firstRow="1" w:lastRow="0" w:firstColumn="0" w:lastColumn="0" w:oddVBand="0" w:evenVBand="0" w:oddHBand="0" w:evenHBand="0" w:firstRowFirstColumn="0" w:firstRowLastColumn="0" w:lastRowFirstColumn="0" w:lastRowLastColumn="0"/>
        </w:trPr>
        <w:tc>
          <w:tcPr>
            <w:tcW w:w="707"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8075"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документа</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Письмо о подаче оферты (форма 2);</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Копия банковской гарантии – предоставляется при необходимости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Style13"/>
                  <w:rFonts w:eastAsia="Calibri" w:cs=""/>
                  <w:kern w:val="0"/>
                  <w:sz w:val="26"/>
                  <w:szCs w:val="22"/>
                  <w:lang w:val="ru-RU" w:eastAsia="en-US" w:bidi="ar-SA"/>
                </w:rPr>
                <w:t>Техническими требованиями (Приложение № 1)</w:t>
              </w:r>
            </w:hyperlink>
            <w:r>
              <w:rPr>
                <w:rFonts w:eastAsia="Calibri" w:cs=""/>
                <w:kern w:val="0"/>
                <w:sz w:val="26"/>
                <w:szCs w:val="22"/>
                <w:lang w:val="ru-RU" w:eastAsia="en-US" w:bidi="ar-SA"/>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Техническое предложение (форма 4);</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Календарный график (форма 5);</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Анкета Участника (форма 6);</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62" w:name="_Ref130389408"/>
            <w:bookmarkStart w:id="363" w:name="_Ref130389408"/>
            <w:bookmarkEnd w:id="363"/>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Справка об опыте Участника (форма 7), с необходимыми приложениями к ней, – предоставляется, если установлено соответствующее квалификационное требование к опыту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3"/>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опыта;</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64" w:name="_Ref130389413"/>
            <w:bookmarkStart w:id="365" w:name="_Ref130389413"/>
            <w:bookmarkEnd w:id="365"/>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Справка о материально-технических ресурсах (форма 8), с необходимыми приложениями к ней – предоставляется, если установлено соответствующее квалификационное требование к наличию (привлечению) материально-технических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3"/>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материально-технических ресурсов;</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66" w:name="_Ref130389419"/>
            <w:bookmarkStart w:id="367" w:name="_Ref130389419"/>
            <w:bookmarkEnd w:id="367"/>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Справка о кадровых ресурсах (форма 9), с необходимыми приложениями к ней – предоставляется, если установлено соответствующее квалификационное требование к наличию (привлечения) кадровых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3"/>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кадровых ресурсов;</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Справка об аффилированности Участника с изготовителем (производителем) предлагаемого товара (форма 10) – предоставляется, 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 тому или иному критерию) и если в </w:t>
            </w:r>
            <w:hyperlink w:anchor="Прил08_ПорядокОценки">
              <w:r>
                <w:rPr>
                  <w:rStyle w:val="Style13"/>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аффилированности;</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Normal"/>
              <w:widowControl w:val="false"/>
              <w:suppressAutoHyphens w:val="true"/>
              <w:spacing w:before="120" w:after="0"/>
              <w:jc w:val="both"/>
              <w:rPr/>
            </w:pPr>
            <w:r>
              <w:rPr>
                <w:rFonts w:eastAsia="Calibri" w:cs=""/>
                <w:kern w:val="0"/>
                <w:sz w:val="26"/>
                <w:szCs w:val="22"/>
                <w:lang w:val="ru-RU" w:eastAsia="en-US" w:bidi="ar-SA"/>
              </w:rPr>
              <w:t>Документы, подтверждающие соответствие Участника обязательным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Коллективного участника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Участник подает заявку от лица Коллективного участника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_Ref130305355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28"/>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План распределения объемов поставки продукции (форма 11);</w:t>
            </w:r>
          </w:p>
          <w:p>
            <w:pPr>
              <w:pStyle w:val="Style28"/>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Документации о закупке;</w:t>
            </w:r>
          </w:p>
          <w:p>
            <w:pPr>
              <w:pStyle w:val="Style28"/>
              <w:widowControl w:val="false"/>
              <w:numPr>
                <w:ilvl w:val="0"/>
                <w:numId w:val="9"/>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Style w:val="Style13"/>
                <w:rFonts w:eastAsia="Calibri" w:cs=""/>
                <w:kern w:val="0"/>
                <w:sz w:val="26"/>
                <w:szCs w:val="22"/>
                <w:lang w:val="ru-RU" w:eastAsia="en-US" w:bidi="ar-SA"/>
              </w:rPr>
              <w:t>;</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Генерального подрядчика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условиями проводимой закупки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рассмотрение, оценка и сопоставление заявок Участников осуществляется с учетом привлекаемых субподрядчиков, и Участник подает заявку от лица Генерального подрядчика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_Ref125361702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3.3</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28"/>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План распределения объемов поставки продукции (форма 11);</w:t>
            </w:r>
          </w:p>
          <w:p>
            <w:pPr>
              <w:pStyle w:val="Style28"/>
              <w:widowControl w:val="false"/>
              <w:numPr>
                <w:ilvl w:val="0"/>
                <w:numId w:val="9"/>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Style w:val="Style13"/>
                <w:rFonts w:eastAsia="Calibri" w:cs=""/>
                <w:kern w:val="0"/>
                <w:sz w:val="26"/>
                <w:szCs w:val="22"/>
                <w:lang w:val="ru-RU" w:eastAsia="en-US" w:bidi="ar-SA"/>
              </w:rPr>
              <w:t>;</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 предоставляются, если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было установлено соответствующее требование;</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Электронная копия бухгалтерского баланса (ОКУД 0710001) и отчета о финансовых результатах (ОКУД 0710002) за последний завершенный финансовый год – предоставляется, если на основании ПП 395 в государственном информационном ресурсе https://bo.nalog.ru не размещаются сведения о бухгалтерской (финансовой) отчетности Участника и если в </w:t>
            </w:r>
            <w:hyperlink w:anchor="Прил08_ПорядокОценки">
              <w:r>
                <w:rPr>
                  <w:rStyle w:val="Style13"/>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оценки финансового состояния (устойчивости) Участника.</w:t>
            </w:r>
          </w:p>
        </w:tc>
      </w:tr>
    </w:tbl>
    <w:p>
      <w:pPr>
        <w:sectPr>
          <w:headerReference w:type="default" r:id="rId26"/>
          <w:headerReference w:type="first" r:id="rId27"/>
          <w:footerReference w:type="default" r:id="rId28"/>
          <w:footerReference w:type="first" r:id="rId29"/>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4"/>
        <w:rPr>
          <w:rStyle w:val="Style10"/>
          <w:i w:val="false"/>
          <w:i w:val="false"/>
          <w:iCs w:val="false"/>
          <w:shd w:fill="auto" w:val="clear"/>
        </w:rPr>
      </w:pPr>
      <w:r>
        <w:rPr>
          <w:rStyle w:val="Style10"/>
          <w:i w:val="false"/>
          <w:iCs w:val="false"/>
          <w:shd w:fill="auto" w:val="clear"/>
        </w:rPr>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Style22"/>
        <w:rPr/>
      </w:pPr>
      <w:bookmarkStart w:id="368" w:name="_Toc186224330"/>
      <w:bookmarkStart w:id="369" w:name="_Ref125365264"/>
      <w:bookmarkStart w:id="370" w:name="Прил07_ОтборочныеКритерии"/>
      <w:bookmarkEnd w:id="370"/>
      <w:r>
        <w:rPr/>
        <w:t>Приложение № 7 – Отборочные критерии рассмотрения заявок</w:t>
      </w:r>
      <w:bookmarkEnd w:id="368"/>
      <w:bookmarkEnd w:id="369"/>
    </w:p>
    <w:p>
      <w:pPr>
        <w:pStyle w:val="Style28"/>
        <w:spacing w:before="120" w:after="120"/>
        <w:rPr>
          <w:rStyle w:val="Style10"/>
        </w:rPr>
      </w:pPr>
      <w:r>
        <w:rPr/>
      </w:r>
    </w:p>
    <w:p>
      <w:pPr>
        <w:pStyle w:val="Style23"/>
        <w:spacing w:before="360" w:after="120"/>
        <w:rPr>
          <w:rStyle w:val="Style10"/>
          <w:i w:val="false"/>
          <w:i w:val="false"/>
          <w:iCs w:val="false"/>
          <w:shd w:fill="auto" w:val="clear"/>
        </w:rPr>
      </w:pPr>
      <w:bookmarkStart w:id="371" w:name="_Toc186224331"/>
      <w:r>
        <w:rPr>
          <w:rStyle w:val="Style10"/>
          <w:i w:val="false"/>
          <w:iCs w:val="false"/>
          <w:shd w:fill="auto" w:val="clear"/>
        </w:rPr>
        <w:t>Отборочные критерии рассмотрения заявок</w:t>
      </w:r>
      <w:bookmarkEnd w:id="371"/>
    </w:p>
    <w:tbl>
      <w:tblPr>
        <w:tblStyle w:val="af5"/>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Состав заявки и правильность ее оформления, в том числе:</w:t>
            </w:r>
          </w:p>
        </w:tc>
        <w:tc>
          <w:tcPr>
            <w:tcW w:w="3117"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Наличие в составе заявки обязательных к предоставлению (для целей рассмотрения заявок в рамках отборочной стадии) документов в соответствии с требованиями </w:t>
            </w:r>
            <w:hyperlink w:anchor="Прил06_СоставЗаявки">
              <w:r>
                <w:rPr>
                  <w:rStyle w:val="Style13"/>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наличия должных печатей, подписей, формы заверения, языка и валюты заявки)</w:t>
            </w:r>
          </w:p>
        </w:tc>
        <w:tc>
          <w:tcPr>
            <w:tcW w:w="3117" w:type="dxa"/>
            <w:tcBorders/>
          </w:tcPr>
          <w:p>
            <w:pPr>
              <w:pStyle w:val="Style28"/>
              <w:widowControl w:val="false"/>
              <w:suppressAutoHyphens w:val="true"/>
              <w:spacing w:before="60" w:after="60"/>
              <w:jc w:val="center"/>
              <w:rPr>
                <w:rStyle w:val="Style13"/>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3"/>
                  <w:rFonts w:eastAsia="Calibri" w:cs=""/>
                  <w:kern w:val="0"/>
                  <w:sz w:val="26"/>
                  <w:szCs w:val="22"/>
                  <w:lang w:val="ru-RU" w:eastAsia="en-US" w:bidi="ar-SA"/>
                </w:rPr>
                <w:t>Приложение № 6</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Цена, Юр</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Наличие обеспечения обязательств Участника, связанного с подачей заявки, в виде банковской гарантии и ее соответствие установленным требованиям Документации о закупке – если подразделом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предусмотрена обязанность Участников предоставить обеспечение заявки на участие в закупке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_Ref130455226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4.17</w:t>
            </w:r>
            <w:r>
              <w:rPr>
                <w:sz w:val="26"/>
                <w:kern w:val="0"/>
                <w:szCs w:val="22"/>
                <w:rFonts w:eastAsia="Calibri" w:cs=""/>
                <w:lang w:val="ru-RU" w:eastAsia="en-US" w:bidi="ar-SA"/>
              </w:rPr>
              <w:fldChar w:fldCharType="end"/>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 в части наличия сведений в реестре,</w:t>
            </w:r>
          </w:p>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Фин – в части соответствия</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(документах)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Цена, Юр</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Соответствие Письма о подаче оферты:</w:t>
            </w:r>
          </w:p>
        </w:tc>
        <w:tc>
          <w:tcPr>
            <w:tcW w:w="3117" w:type="dxa"/>
            <w:tcBorders/>
          </w:tcPr>
          <w:p>
            <w:pPr>
              <w:pStyle w:val="Style28"/>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8"/>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(в том числе содержание) Письма о подаче оферты установленной форме и иным требованиям Документации о закупке, в т.ч. в части наличия должных печатей, подписей, формы заверения, языка, валюты и срока действия заявки</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4_ФормыЗаявки">
              <w:r>
                <w:rPr>
                  <w:rStyle w:val="Style13"/>
                  <w:rFonts w:eastAsia="Calibri" w:cs=""/>
                  <w:kern w:val="0"/>
                  <w:sz w:val="26"/>
                  <w:szCs w:val="22"/>
                  <w:lang w:val="ru-RU" w:eastAsia="en-US" w:bidi="ar-SA"/>
                </w:rPr>
                <w:t>Приложение № 4</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Соответствие Участника установленным требованиям Документации о закупке, в том числе:</w:t>
            </w:r>
          </w:p>
        </w:tc>
        <w:tc>
          <w:tcPr>
            <w:tcW w:w="3117"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_Ref125552433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w:t>
            </w:r>
            <w:r>
              <w:rPr>
                <w:rFonts w:eastAsia="Calibri" w:cs=""/>
                <w:i/>
                <w:iCs/>
                <w:kern w:val="0"/>
                <w:sz w:val="26"/>
                <w:szCs w:val="22"/>
                <w:lang w:val="en-US" w:eastAsia="en-US" w:bidi="ar-SA"/>
              </w:rPr>
              <w:t> </w:t>
            </w:r>
            <w:r>
              <w:rPr>
                <w:rFonts w:eastAsia="Calibri" w:cs=""/>
                <w:i/>
                <w:iCs/>
                <w:kern w:val="0"/>
                <w:sz w:val="26"/>
                <w:szCs w:val="22"/>
                <w:lang w:val="ru-RU" w:eastAsia="en-US" w:bidi="ar-SA"/>
              </w:rPr>
              <w:t>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Юр</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_Ref139028406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_Ref186128496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_Ref186128503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специальным требованиям к Участникам</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квалификационным требованиям к Участникам</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_Ref125550270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Коллективного участника установленным в отношении его требованиям:</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рассмотрения заявки, поданной Коллективным участником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_Ref130305355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1"/>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_Ref125370156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p>
          <w:p>
            <w:pPr>
              <w:pStyle w:val="Style28"/>
              <w:widowControl w:val="false"/>
              <w:suppressAutoHyphens w:val="true"/>
              <w:spacing w:before="60" w:after="60"/>
              <w:ind w:left="219" w:hanging="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Юр</w:t>
            </w:r>
          </w:p>
        </w:tc>
      </w:tr>
      <w:tr>
        <w:trPr/>
        <w:tc>
          <w:tcPr>
            <w:tcW w:w="1412" w:type="dxa"/>
            <w:tcBorders/>
          </w:tcPr>
          <w:p>
            <w:pPr>
              <w:pStyle w:val="Style28"/>
              <w:widowControl w:val="false"/>
              <w:numPr>
                <w:ilvl w:val="1"/>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_Ref125553738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1"/>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_Ref125370162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p>
            <w:pPr>
              <w:pStyle w:val="Style28"/>
              <w:widowControl w:val="false"/>
              <w:suppressAutoHyphens w:val="true"/>
              <w:spacing w:before="60" w:after="60"/>
              <w:ind w:left="219" w:hanging="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Юр</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Генерального подрядчика установленным в отношении его требованиям:</w:t>
            </w:r>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проведения закупки, в которой предусмотрена возможность рассмотрения, оценки и сопоставления заявок Участников с учетом привлекаемых субподрядчиков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_Ref125359973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1.2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_Ref125361702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1"/>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_Ref125370187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_Ref125370199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_Ref125553847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1"/>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3"/>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7" w:type="dxa"/>
            <w:tcBorders/>
          </w:tcPr>
          <w:p>
            <w:pPr>
              <w:pStyle w:val="Style28"/>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3"/>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3"/>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объемов и состава работ / услуг, технологии производства работ,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3"/>
                  <w:rFonts w:eastAsia="Calibri" w:cs=""/>
                  <w:kern w:val="0"/>
                  <w:sz w:val="26"/>
                  <w:szCs w:val="22"/>
                  <w:lang w:val="ru-RU" w:eastAsia="en-US" w:bidi="ar-SA"/>
                </w:rPr>
                <w:t>Технический требованиях (Приложение № 1)</w:t>
              </w:r>
            </w:hyperlink>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3"/>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номенклатуры, количества и характеристик материалов / оборудования,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3"/>
                  <w:rFonts w:eastAsia="Calibri" w:cs=""/>
                  <w:kern w:val="0"/>
                  <w:sz w:val="26"/>
                  <w:szCs w:val="22"/>
                  <w:lang w:val="ru-RU" w:eastAsia="en-US" w:bidi="ar-SA"/>
                </w:rPr>
                <w:t>Технический требованиях (Приложение № 1)</w:t>
              </w:r>
            </w:hyperlink>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3"/>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Календарного графика требованиям к срокам и этапам реализации Договора, указанным в </w:t>
            </w:r>
            <w:hyperlink w:anchor="Прил01_ТехТребования">
              <w:r>
                <w:rPr>
                  <w:rStyle w:val="Style13"/>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3"/>
                  <w:rFonts w:eastAsia="Calibri" w:cs=""/>
                  <w:kern w:val="0"/>
                  <w:sz w:val="26"/>
                  <w:szCs w:val="22"/>
                  <w:lang w:val="ru-RU" w:eastAsia="en-US" w:bidi="ar-SA"/>
                </w:rPr>
                <w:t>Проекте договора (Приложение № 2)</w:t>
              </w:r>
            </w:hyperlink>
          </w:p>
        </w:tc>
        <w:tc>
          <w:tcPr>
            <w:tcW w:w="3117" w:type="dxa"/>
            <w:tcBorders/>
          </w:tcPr>
          <w:p>
            <w:pPr>
              <w:pStyle w:val="Style28"/>
              <w:widowControl w:val="false"/>
              <w:suppressAutoHyphens w:val="true"/>
              <w:spacing w:before="60" w:after="60"/>
              <w:jc w:val="center"/>
              <w:rPr/>
            </w:pPr>
            <w:hyperlink w:anchor="Прил01_ТехТребования">
              <w:r>
                <w:rPr>
                  <w:rStyle w:val="Style13"/>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3"/>
                  <w:rFonts w:eastAsia="Calibri" w:cs=""/>
                  <w:kern w:val="0"/>
                  <w:sz w:val="26"/>
                  <w:szCs w:val="22"/>
                  <w:lang w:val="ru-RU" w:eastAsia="en-US" w:bidi="ar-SA"/>
                </w:rPr>
                <w:t>Приложение № 2</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Style13"/>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3"/>
                  <w:rFonts w:eastAsia="Calibri" w:cs=""/>
                  <w:kern w:val="0"/>
                  <w:sz w:val="26"/>
                  <w:szCs w:val="22"/>
                  <w:lang w:val="ru-RU" w:eastAsia="en-US" w:bidi="ar-SA"/>
                </w:rPr>
                <w:t>Проекте договора (Приложение № 2)</w:t>
              </w:r>
            </w:hyperlink>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8"/>
              <w:widowControl w:val="false"/>
              <w:suppressAutoHyphens w:val="true"/>
              <w:spacing w:before="60" w:after="60"/>
              <w:jc w:val="center"/>
              <w:rPr/>
            </w:pPr>
            <w:hyperlink w:anchor="Прил01_ТехТребования">
              <w:r>
                <w:rPr>
                  <w:rStyle w:val="Style13"/>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3"/>
                  <w:rFonts w:eastAsia="Calibri" w:cs=""/>
                  <w:kern w:val="0"/>
                  <w:sz w:val="26"/>
                  <w:szCs w:val="22"/>
                  <w:lang w:val="ru-RU" w:eastAsia="en-US" w:bidi="ar-SA"/>
                </w:rPr>
                <w:t>Приложение № 2</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иным требованиям, установленным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8"/>
              <w:widowControl w:val="false"/>
              <w:suppressAutoHyphens w:val="true"/>
              <w:spacing w:before="60" w:after="60"/>
              <w:jc w:val="center"/>
              <w:rPr/>
            </w:pPr>
            <w:hyperlink w:anchor="Прил01_ТехТребования">
              <w:r>
                <w:rPr>
                  <w:rStyle w:val="Style13"/>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9918" w:type="dxa"/>
            <w:gridSpan w:val="2"/>
            <w:tcBorders/>
          </w:tcPr>
          <w:p>
            <w:pPr>
              <w:pStyle w:val="Style28"/>
              <w:keepNext w:val="true"/>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Соответствие Коммерческого предложения Участника требованиям Документации о закупке, в том числе:</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Коммерческого предложения</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3"/>
                  <w:rFonts w:eastAsia="Calibri" w:cs=""/>
                  <w:kern w:val="0"/>
                  <w:sz w:val="26"/>
                  <w:szCs w:val="22"/>
                  <w:lang w:val="ru-RU" w:eastAsia="en-US" w:bidi="ar-SA"/>
                </w:rPr>
                <w:t>Приложение № 4</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Соответствие подтверждающей документации, прилагаемой к</w:t>
            </w:r>
            <w:r>
              <w:rPr>
                <w:rFonts w:eastAsia="Calibri" w:cs=""/>
                <w:kern w:val="0"/>
                <w:sz w:val="26"/>
                <w:szCs w:val="22"/>
                <w:lang w:val="en-US" w:eastAsia="en-US" w:bidi="ar-SA"/>
              </w:rPr>
              <w:t> </w:t>
            </w:r>
            <w:r>
              <w:rPr>
                <w:rFonts w:eastAsia="Calibri" w:cs=""/>
                <w:kern w:val="0"/>
                <w:sz w:val="26"/>
                <w:szCs w:val="22"/>
                <w:lang w:val="ru-RU" w:eastAsia="en-US" w:bidi="ar-SA"/>
              </w:rPr>
              <w:t xml:space="preserve">Коммерческому приложению, требованиям, указанным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p>
          <w:p>
            <w:pPr>
              <w:pStyle w:val="Style28"/>
              <w:widowControl w:val="false"/>
              <w:suppressAutoHyphens w:val="true"/>
              <w:spacing w:before="60" w:after="60"/>
              <w:rPr/>
            </w:pPr>
            <w:r>
              <w:rPr>
                <w:rFonts w:eastAsia="Calibri" w:cs=""/>
                <w:i/>
                <w:iCs/>
                <w:kern w:val="0"/>
                <w:sz w:val="26"/>
                <w:szCs w:val="22"/>
                <w:lang w:val="ru-RU" w:eastAsia="en-US" w:bidi="ar-SA"/>
              </w:rPr>
              <w:t xml:space="preserve">(пункт применяется только в случае установления соответствующих требований в </w:t>
            </w:r>
            <w:hyperlink w:anchor="Прил01_ТехТребования">
              <w:r>
                <w:rPr>
                  <w:rStyle w:val="Style13"/>
                  <w:rFonts w:eastAsia="Calibri" w:cs=""/>
                  <w:i/>
                  <w:iCs/>
                  <w:kern w:val="0"/>
                  <w:sz w:val="26"/>
                  <w:szCs w:val="22"/>
                  <w:lang w:val="ru-RU" w:eastAsia="en-US" w:bidi="ar-SA"/>
                </w:rPr>
                <w:t>Технических требованиях (Приложение № 1)</w:t>
              </w:r>
            </w:hyperlink>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hyperlink w:anchor="Прил01_ТехТребования">
              <w:r>
                <w:rPr>
                  <w:rStyle w:val="Style13"/>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bl>
    <w:p>
      <w:pPr>
        <w:pStyle w:val="Style23"/>
        <w:rPr>
          <w:rStyle w:val="Style10"/>
          <w:i w:val="false"/>
          <w:i w:val="false"/>
          <w:iCs w:val="false"/>
          <w:shd w:fill="auto" w:val="clear"/>
        </w:rPr>
      </w:pPr>
      <w:bookmarkStart w:id="372" w:name="_Toc186224332"/>
      <w:r>
        <w:rPr>
          <w:rStyle w:val="Style10"/>
          <w:i w:val="false"/>
          <w:iCs w:val="false"/>
          <w:shd w:fill="auto" w:val="clear"/>
        </w:rPr>
        <w:t>Дополнительные критерии проверки заявок на соответствие условиям Документации о закупке</w:t>
      </w:r>
      <w:bookmarkEnd w:id="372"/>
    </w:p>
    <w:p>
      <w:pPr>
        <w:pStyle w:val="Style28"/>
        <w:keepNext w:val="true"/>
        <w:spacing w:before="120" w:after="120"/>
        <w:rPr/>
      </w:pPr>
      <w:r>
        <w:rPr/>
        <w:t>Несоответствие одному или всем дополнительным критериям не является основанием для отклонения заявки.</w:t>
      </w:r>
    </w:p>
    <w:tbl>
      <w:tblPr>
        <w:tblStyle w:val="af5"/>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критерия проверки</w:t>
            </w:r>
          </w:p>
        </w:tc>
        <w:tc>
          <w:tcPr>
            <w:tcW w:w="3117"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1412" w:type="dxa"/>
            <w:tcBorders/>
          </w:tcPr>
          <w:p>
            <w:pPr>
              <w:pStyle w:val="Style28"/>
              <w:widowControl w:val="false"/>
              <w:numPr>
                <w:ilvl w:val="0"/>
                <w:numId w:val="12"/>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Наличие в заявке в форме Коммерческого предложения информации о стране происхождения товара</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_Ref132894106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3"/>
                  <w:rFonts w:eastAsia="Calibri" w:cs=""/>
                  <w:kern w:val="0"/>
                  <w:sz w:val="26"/>
                  <w:szCs w:val="22"/>
                  <w:lang w:val="ru-RU" w:eastAsia="en-US" w:bidi="ar-SA"/>
                </w:rPr>
                <w:t>Приложение № 4</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bl>
    <w:p>
      <w:pPr>
        <w:pStyle w:val="Style28"/>
        <w:keepNext w:val="true"/>
        <w:tabs>
          <w:tab w:val="clear" w:pos="720"/>
          <w:tab w:val="left" w:pos="851" w:leader="none"/>
        </w:tabs>
        <w:spacing w:before="240" w:after="0"/>
        <w:rPr>
          <w:b/>
          <w:bCs/>
        </w:rPr>
      </w:pPr>
      <w:r>
        <w:rPr>
          <w:b/>
          <w:bCs/>
        </w:rPr>
        <w:t>* Направления оценки заявок:</w:t>
      </w:r>
    </w:p>
    <w:p>
      <w:pPr>
        <w:pStyle w:val="Style28"/>
        <w:tabs>
          <w:tab w:val="clear" w:pos="720"/>
          <w:tab w:val="left" w:pos="1134" w:leader="none"/>
        </w:tabs>
        <w:ind w:left="1701" w:hanging="1701"/>
        <w:rPr/>
      </w:pPr>
      <w:r>
        <w:rPr>
          <w:b/>
          <w:bCs/>
        </w:rPr>
        <w:t>Орг</w:t>
      </w:r>
      <w:r>
        <w:rPr/>
        <w:tab/>
        <w:t>–</w:t>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банковской гарантии (в том числе наличие сведений о ней в соответствующем реестре в ЕИС) – в случае отсутствия внесенных Участником денежных средств на индивидуальный счет, открытый Участнику Оператором ЭП в соответствии с Регламентом ЭП </w:t>
      </w:r>
      <w:r>
        <w:rPr>
          <w:i/>
          <w:iCs/>
        </w:rPr>
        <w:t>(последние применяется только в случае установления соответствующих требований)</w:t>
      </w:r>
      <w:r>
        <w:rP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w:t>
      </w:r>
      <w:r>
        <w:rPr>
          <w:lang w:val="en-US"/>
        </w:rPr>
        <w:t> </w:t>
      </w:r>
      <w:r>
        <w:rPr/>
        <w:t>Участнике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 наличие информации на официальном сайте федерального органа исполнительной власти, уполномоченного по</w:t>
      </w:r>
      <w:r>
        <w:rPr>
          <w:lang w:val="en-US"/>
        </w:rPr>
        <w:t> </w:t>
      </w:r>
      <w:r>
        <w:rPr/>
        <w:t>контролю и надзору в области налогов и сборов, о применении ими такого налогового режима (https://npd.nalog.ru/check-status/);</w:t>
      </w:r>
    </w:p>
    <w:p>
      <w:pPr>
        <w:pStyle w:val="Style28"/>
        <w:tabs>
          <w:tab w:val="clear" w:pos="720"/>
          <w:tab w:val="left" w:pos="1134" w:leader="none"/>
        </w:tabs>
        <w:ind w:left="1701" w:hanging="1701"/>
        <w:rPr/>
      </w:pPr>
      <w:r>
        <w:rPr>
          <w:b/>
          <w:bCs/>
        </w:rPr>
        <w:t>Тех</w:t>
      </w:r>
      <w:r>
        <w:rPr/>
        <w:tab/>
        <w:t>–</w:t>
        <w:tab/>
        <w:t xml:space="preserve">проверка наличия 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квалификационным и специальным требованиям; </w:t>
      </w:r>
      <w:bookmarkStart w:id="373" w:name="_Hlk138342998"/>
      <w:r>
        <w:rPr/>
        <w:t>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bookmarkEnd w:id="373"/>
      <w:r>
        <w:rPr/>
        <w:t>;</w:t>
      </w:r>
    </w:p>
    <w:p>
      <w:pPr>
        <w:pStyle w:val="Style28"/>
        <w:tabs>
          <w:tab w:val="clear" w:pos="720"/>
          <w:tab w:val="left" w:pos="1134" w:leader="none"/>
        </w:tabs>
        <w:ind w:left="1701" w:hanging="1701"/>
        <w:rPr/>
      </w:pPr>
      <w:r>
        <w:rPr>
          <w:b/>
          <w:bCs/>
        </w:rPr>
        <w:t>Юр</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p>
    <w:p>
      <w:pPr>
        <w:pStyle w:val="Style28"/>
        <w:keepNext w:val="true"/>
        <w:tabs>
          <w:tab w:val="clear" w:pos="720"/>
          <w:tab w:val="left" w:pos="1134" w:leader="none"/>
        </w:tabs>
        <w:ind w:left="1701" w:hanging="1701"/>
        <w:rPr/>
      </w:pPr>
      <w:r>
        <w:rPr>
          <w:b/>
          <w:bCs/>
        </w:rPr>
        <w:t>Цена</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непревышения ценового предложения участника установленного размера НМЦ.</w:t>
      </w:r>
    </w:p>
    <w:p>
      <w:pPr>
        <w:pStyle w:val="Style28"/>
        <w:tabs>
          <w:tab w:val="clear" w:pos="720"/>
          <w:tab w:val="left" w:pos="1134" w:leader="none"/>
        </w:tabs>
        <w:ind w:left="1701" w:hanging="1701"/>
        <w:rPr/>
      </w:pPr>
      <w:r>
        <w:rPr>
          <w:b/>
          <w:bCs/>
        </w:rPr>
        <w:t>Фин</w:t>
      </w:r>
      <w:r>
        <w:rPr/>
        <w:tab/>
        <w:t>–</w:t>
        <w:tab/>
        <w:t xml:space="preserve">оценка банковской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Pr>
          <w:i/>
          <w:iCs/>
        </w:rPr>
        <w:t>(финансовая экспертиза проводится по инициативе эксперта по направлениям Орг, в случае наличия в заявке банковской гарантии)</w:t>
      </w:r>
      <w:r>
        <w:rPr/>
        <w:t>.</w:t>
      </w:r>
    </w:p>
    <w:p>
      <w:pPr>
        <w:sectPr>
          <w:headerReference w:type="default" r:id="rId30"/>
          <w:headerReference w:type="first" r:id="rId31"/>
          <w:footerReference w:type="default" r:id="rId32"/>
          <w:footerReference w:type="first" r:id="rId33"/>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8"/>
        <w:rPr/>
      </w:pPr>
      <w:r>
        <w:rPr/>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pPr>
        <w:pStyle w:val="Style22"/>
        <w:rPr/>
      </w:pPr>
      <w:bookmarkStart w:id="374" w:name="_Ref125368302"/>
      <w:bookmarkStart w:id="375" w:name="Прил08_ПорядокОценки"/>
      <w:bookmarkStart w:id="376" w:name="_Ref125368291"/>
      <w:bookmarkStart w:id="377" w:name="_Ref125368283"/>
      <w:bookmarkStart w:id="378" w:name="_Ref125368172"/>
      <w:bookmarkStart w:id="379" w:name="_Ref125369438"/>
      <w:bookmarkStart w:id="380" w:name="_Toc186224333"/>
      <w:bookmarkStart w:id="381" w:name="_Ref125369021"/>
      <w:bookmarkStart w:id="382" w:name="_Ref125368331"/>
      <w:bookmarkStart w:id="383" w:name="_Ref125368313"/>
      <w:bookmarkStart w:id="384" w:name="_Ref125366280"/>
      <w:bookmarkStart w:id="385" w:name="_Ref125366013"/>
      <w:bookmarkStart w:id="386" w:name="_Ref125361951"/>
      <w:bookmarkStart w:id="387" w:name="_Ref125361648"/>
      <w:bookmarkStart w:id="388" w:name="_Ref125368184"/>
      <w:bookmarkStart w:id="389" w:name="_Ref125368165"/>
      <w:bookmarkStart w:id="390" w:name="_Ref125368150"/>
      <w:bookmarkStart w:id="391" w:name="_Ref125368140"/>
      <w:bookmarkStart w:id="392" w:name="_Ref125366285"/>
      <w:bookmarkEnd w:id="375"/>
      <w:r>
        <w:rPr/>
        <w:t>Приложение № 8 – Порядок и критерии оценки и сопоставления заявок</w:t>
      </w:r>
      <w:bookmarkEnd w:id="374"/>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pPr>
        <w:pStyle w:val="Style23"/>
        <w:rPr/>
      </w:pPr>
      <w:bookmarkStart w:id="393" w:name="_Toc186224334"/>
      <w:r>
        <w:rPr/>
        <w:t>Порядок и критерии оценки и сопоставления заявок</w:t>
      </w:r>
      <w:bookmarkEnd w:id="393"/>
    </w:p>
    <w:p>
      <w:pPr>
        <w:pStyle w:val="Style24"/>
        <w:rPr/>
      </w:pPr>
      <w:r>
        <w:rPr/>
        <w:t>Расчет итоговой оценки предпочтительности каждой заявки, успешно прошедшей отборочную стадию (подраздел </w:t>
      </w:r>
      <w:r>
        <w:rPr/>
        <w:fldChar w:fldCharType="begin"/>
      </w:r>
      <w:r>
        <w:rPr/>
        <w:instrText xml:space="preserve"> REF _Ref125362364 \w \h </w:instrText>
      </w:r>
      <w:r>
        <w:rPr/>
        <w:fldChar w:fldCharType="separate"/>
      </w:r>
      <w:r>
        <w:rPr/>
        <w:t>4.9</w:t>
      </w:r>
      <w:r>
        <w:rPr/>
        <w:fldChar w:fldCharType="end"/>
      </w:r>
      <w:r>
        <w:rPr/>
        <w:t>), осуществляется по следующим критериям оценки и в соответствии со следующим порядком оценки предпочтительности и сопоставления заявок:</w:t>
      </w:r>
    </w:p>
    <w:p>
      <w:pPr>
        <w:pStyle w:val="Style24"/>
        <w:numPr>
          <w:ilvl w:val="0"/>
          <w:numId w:val="0"/>
        </w:numPr>
        <w:ind w:left="1134" w:hanging="0"/>
        <w:rPr/>
      </w:pPr>
      <w:r>
        <w:rPr/>
      </w:r>
    </w:p>
    <w:tbl>
      <w:tblPr>
        <w:tblW w:w="1513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80"/>
        <w:gridCol w:w="1358"/>
        <w:gridCol w:w="1341"/>
        <w:gridCol w:w="1306"/>
        <w:gridCol w:w="1114"/>
        <w:gridCol w:w="1833"/>
        <w:gridCol w:w="7202"/>
      </w:tblGrid>
      <w:tr>
        <w:trPr>
          <w:trHeight w:val="188" w:hRule="atLeast"/>
          <w:cantSplit w:val="true"/>
        </w:trPr>
        <w:tc>
          <w:tcPr>
            <w:tcW w:w="980" w:type="dxa"/>
            <w:vMerge w:val="restart"/>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Номер критерия оценки в структуре</w:t>
            </w:r>
          </w:p>
        </w:tc>
        <w:tc>
          <w:tcPr>
            <w:tcW w:w="1358" w:type="dxa"/>
            <w:vMerge w:val="restart"/>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Вид критерия оценки / направление оценки заявок</w:t>
            </w:r>
          </w:p>
        </w:tc>
        <w:tc>
          <w:tcPr>
            <w:tcW w:w="2647" w:type="dxa"/>
            <w:gridSpan w:val="2"/>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Наименование критерия оценки</w:t>
            </w:r>
          </w:p>
        </w:tc>
        <w:tc>
          <w:tcPr>
            <w:tcW w:w="1114" w:type="dxa"/>
            <w:vMerge w:val="restart"/>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Значимость критерия оценки</w:t>
            </w:r>
          </w:p>
        </w:tc>
        <w:tc>
          <w:tcPr>
            <w:tcW w:w="1833" w:type="dxa"/>
            <w:vMerge w:val="restart"/>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Содержание частного критерия оценки</w:t>
            </w:r>
          </w:p>
        </w:tc>
        <w:tc>
          <w:tcPr>
            <w:tcW w:w="7202" w:type="dxa"/>
            <w:vMerge w:val="restart"/>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Расчет оценки предпочтительности заявки</w:t>
            </w:r>
          </w:p>
        </w:tc>
      </w:tr>
      <w:tr>
        <w:trPr>
          <w:trHeight w:val="188" w:hRule="atLeast"/>
          <w:cantSplit w:val="true"/>
        </w:trPr>
        <w:tc>
          <w:tcPr>
            <w:tcW w:w="980" w:type="dxa"/>
            <w:vMerge w:val="continue"/>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spacing w:lineRule="auto" w:line="240" w:before="40" w:after="40"/>
              <w:ind w:left="0" w:hanging="0"/>
              <w:contextualSpacing/>
              <w:jc w:val="center"/>
              <w:rPr>
                <w:sz w:val="18"/>
                <w:szCs w:val="18"/>
                <w:lang w:eastAsia="ru-RU"/>
              </w:rPr>
            </w:pPr>
            <w:r>
              <w:rPr>
                <w:sz w:val="18"/>
                <w:szCs w:val="18"/>
                <w:lang w:eastAsia="ru-RU"/>
              </w:rPr>
            </w:r>
          </w:p>
        </w:tc>
        <w:tc>
          <w:tcPr>
            <w:tcW w:w="1358" w:type="dxa"/>
            <w:vMerge w:val="continue"/>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spacing w:lineRule="auto" w:line="240" w:before="40" w:after="40"/>
              <w:ind w:left="0" w:hanging="0"/>
              <w:contextualSpacing/>
              <w:jc w:val="center"/>
              <w:rPr>
                <w:sz w:val="18"/>
                <w:szCs w:val="18"/>
                <w:lang w:eastAsia="ru-RU"/>
              </w:rPr>
            </w:pPr>
            <w:r>
              <w:rPr>
                <w:sz w:val="18"/>
                <w:szCs w:val="18"/>
                <w:lang w:eastAsia="ru-RU"/>
              </w:rPr>
            </w:r>
          </w:p>
        </w:tc>
        <w:tc>
          <w:tcPr>
            <w:tcW w:w="1341" w:type="dxa"/>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критерий оценки первого уровня</w:t>
            </w:r>
          </w:p>
        </w:tc>
        <w:tc>
          <w:tcPr>
            <w:tcW w:w="1306" w:type="dxa"/>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критерий оценки второго уровня</w:t>
            </w:r>
          </w:p>
        </w:tc>
        <w:tc>
          <w:tcPr>
            <w:tcW w:w="1114" w:type="dxa"/>
            <w:vMerge w:val="continue"/>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spacing w:lineRule="auto" w:line="240" w:before="40" w:after="40"/>
              <w:ind w:left="0" w:hanging="0"/>
              <w:contextualSpacing/>
              <w:jc w:val="center"/>
              <w:rPr>
                <w:sz w:val="18"/>
                <w:szCs w:val="18"/>
                <w:lang w:eastAsia="ru-RU"/>
              </w:rPr>
            </w:pPr>
            <w:r>
              <w:rPr>
                <w:sz w:val="18"/>
                <w:szCs w:val="18"/>
                <w:lang w:eastAsia="ru-RU"/>
              </w:rPr>
            </w:r>
          </w:p>
        </w:tc>
        <w:tc>
          <w:tcPr>
            <w:tcW w:w="1833" w:type="dxa"/>
            <w:vMerge w:val="continue"/>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spacing w:lineRule="auto" w:line="240" w:before="40" w:after="40"/>
              <w:ind w:left="0" w:hanging="0"/>
              <w:contextualSpacing/>
              <w:jc w:val="center"/>
              <w:rPr>
                <w:sz w:val="18"/>
                <w:szCs w:val="18"/>
                <w:lang w:eastAsia="ru-RU"/>
              </w:rPr>
            </w:pPr>
            <w:r>
              <w:rPr>
                <w:sz w:val="18"/>
                <w:szCs w:val="18"/>
                <w:lang w:eastAsia="ru-RU"/>
              </w:rPr>
            </w:r>
          </w:p>
        </w:tc>
        <w:tc>
          <w:tcPr>
            <w:tcW w:w="7202" w:type="dxa"/>
            <w:vMerge w:val="continue"/>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spacing w:lineRule="auto" w:line="240" w:before="40" w:after="40"/>
              <w:ind w:left="0" w:hanging="0"/>
              <w:contextualSpacing/>
              <w:jc w:val="center"/>
              <w:rPr>
                <w:sz w:val="18"/>
                <w:szCs w:val="18"/>
                <w:lang w:eastAsia="ru-RU"/>
              </w:rPr>
            </w:pPr>
            <w:r>
              <w:rPr>
                <w:sz w:val="18"/>
                <w:szCs w:val="18"/>
                <w:lang w:eastAsia="ru-RU"/>
              </w:rPr>
            </w:r>
          </w:p>
        </w:tc>
      </w:tr>
      <w:tr>
        <w:trPr>
          <w:trHeight w:val="3697" w:hRule="atLeast"/>
        </w:trPr>
        <w:tc>
          <w:tcPr>
            <w:tcW w:w="980"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1.</w:t>
            </w:r>
          </w:p>
        </w:tc>
        <w:tc>
          <w:tcPr>
            <w:tcW w:w="1358"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Ценовой (стоимостный) частный критерий оценки первого уровня / ЦЕНА</w:t>
            </w:r>
          </w:p>
        </w:tc>
        <w:tc>
          <w:tcPr>
            <w:tcW w:w="1341"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Цена договора (заявки)</w:t>
            </w:r>
          </w:p>
        </w:tc>
        <w:tc>
          <w:tcPr>
            <w:tcW w:w="1306"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i/>
                <w:i/>
                <w:sz w:val="18"/>
                <w:szCs w:val="18"/>
                <w:lang w:eastAsia="ru-RU"/>
              </w:rPr>
            </w:pPr>
            <w:r>
              <w:rPr>
                <w:i/>
                <w:sz w:val="18"/>
                <w:szCs w:val="18"/>
                <w:lang w:eastAsia="ru-RU"/>
              </w:rPr>
              <w:t>отсутствует</w:t>
            </w:r>
          </w:p>
        </w:tc>
        <w:tc>
          <w:tcPr>
            <w:tcW w:w="1114"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90%</w:t>
              <w:br/>
              <w:t>(В</w:t>
            </w:r>
            <w:r>
              <w:rPr>
                <w:sz w:val="18"/>
                <w:szCs w:val="18"/>
                <w:vertAlign w:val="subscript"/>
                <w:lang w:eastAsia="ru-RU"/>
              </w:rPr>
              <w:t>1</w:t>
            </w:r>
            <w:r>
              <w:rPr>
                <w:sz w:val="18"/>
                <w:szCs w:val="18"/>
                <w:lang w:eastAsia="ru-RU"/>
              </w:rPr>
              <w:t xml:space="preserve"> = 0,90)</w:t>
            </w:r>
          </w:p>
        </w:tc>
        <w:tc>
          <w:tcPr>
            <w:tcW w:w="1833"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Чем меньше цена заявки Участника, тем выше предпочтительность</w:t>
            </w:r>
          </w:p>
        </w:tc>
        <w:tc>
          <w:tcPr>
            <w:tcW w:w="7202"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96" w:after="96"/>
              <w:ind w:left="0" w:hanging="0"/>
              <w:contextualSpacing/>
              <w:jc w:val="left"/>
              <w:rPr>
                <w:sz w:val="18"/>
                <w:szCs w:val="18"/>
                <w:lang w:eastAsia="ru-RU"/>
              </w:rPr>
            </w:pPr>
            <w:r>
              <w:rPr>
                <w:sz w:val="18"/>
                <w:szCs w:val="18"/>
                <w:lang w:eastAsia="ru-RU"/>
              </w:rPr>
              <w:t>Расчет оценки предпочтительности по частному критерию по методу «Математическая формула, задающая «функцию ценности»»:</w:t>
            </w:r>
          </w:p>
          <w:p>
            <w:pPr>
              <w:pStyle w:val="2"/>
              <w:widowControl w:val="false"/>
              <w:numPr>
                <w:ilvl w:val="0"/>
                <w:numId w:val="0"/>
              </w:numPr>
              <w:spacing w:lineRule="auto" w:line="240" w:before="0" w:after="120"/>
              <w:ind w:left="0" w:hanging="0"/>
              <w:contextualSpacing/>
              <w:jc w:val="center"/>
              <w:rPr/>
            </w:pPr>
            <w:r>
              <w:rPr/>
            </w:r>
            <m:oMath xmlns:m="http://schemas.openxmlformats.org/officeDocument/2006/math">
              <m:sSub>
                <m:e>
                  <m:r>
                    <w:rPr>
                      <w:rFonts w:ascii="Cambria Math" w:hAnsi="Cambria Math"/>
                    </w:rPr>
                    <m:t xml:space="preserve">Б</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ЦЕНА</m:t>
                      </m:r>
                    </m:e>
                    <m:sub>
                      <m:r>
                        <w:rPr>
                          <w:rFonts w:ascii="Cambria Math" w:hAnsi="Cambria Math"/>
                        </w:rPr>
                        <m:t xml:space="preserve">min</m:t>
                      </m:r>
                    </m:sub>
                  </m:sSub>
                </m:num>
                <m:den>
                  <m:sSub>
                    <m:e>
                      <m:r>
                        <w:rPr>
                          <w:rFonts w:ascii="Cambria Math" w:hAnsi="Cambria Math"/>
                        </w:rPr>
                        <m:t xml:space="preserve">ЦЕНА</m:t>
                      </m:r>
                    </m:e>
                    <m:sub>
                      <m:r>
                        <w:rPr>
                          <w:rFonts w:ascii="Cambria Math" w:hAnsi="Cambria Math"/>
                        </w:rPr>
                        <m:t xml:space="preserve">i</m:t>
                      </m:r>
                    </m:sub>
                  </m:sSub>
                </m:den>
              </m:f>
              <m:r>
                <w:rPr>
                  <w:rFonts w:ascii="Cambria Math" w:hAnsi="Cambria Math"/>
                </w:rPr>
                <m:t xml:space="preserve">×</m:t>
              </m:r>
              <m:r>
                <w:rPr>
                  <w:rFonts w:ascii="Cambria Math" w:hAnsi="Cambria Math"/>
                </w:rPr>
                <m:t xml:space="preserve">Ш</m:t>
              </m:r>
              <m:r>
                <w:rPr>
                  <w:rFonts w:ascii="Cambria Math" w:hAnsi="Cambria Math"/>
                </w:rPr>
                <m:t xml:space="preserve">,</m:t>
              </m:r>
            </m:oMath>
            <w:r>
              <w:fldChar w:fldCharType="begin"/>
            </w:r>
            <w:r>
              <w:rPr/>
              <w:instrText xml:space="preserve">vnd.oasis.opendocument.field.UNHANDLED</w:instrText>
            </w:r>
            <w:r>
              <w:rPr/>
            </w:r>
            <w:r>
              <w:rPr/>
              <w:fldChar w:fldCharType="separate"/>
            </w:r>
            <w:r>
              <w:rPr/>
            </w:r>
            <w:r/>
            <w:r>
              <w:rPr/>
              <w:fldChar w:fldCharType="end"/>
            </w:r>
            <w:r>
              <w:rPr/>
            </w:r>
          </w:p>
          <w:p>
            <w:pPr>
              <w:pStyle w:val="2"/>
              <w:widowControl w:val="false"/>
              <w:numPr>
                <w:ilvl w:val="0"/>
                <w:numId w:val="0"/>
              </w:numPr>
              <w:spacing w:lineRule="auto" w:line="240" w:before="96" w:after="0"/>
              <w:ind w:left="0" w:hanging="0"/>
              <w:contextualSpacing/>
              <w:jc w:val="left"/>
              <w:rPr>
                <w:sz w:val="18"/>
                <w:szCs w:val="18"/>
                <w:lang w:eastAsia="ru-RU"/>
              </w:rPr>
            </w:pPr>
            <w:r>
              <w:rPr>
                <w:sz w:val="18"/>
                <w:szCs w:val="18"/>
                <w:lang w:eastAsia="ru-RU"/>
              </w:rPr>
              <w:t>где:</w:t>
            </w:r>
          </w:p>
          <w:p>
            <w:pPr>
              <w:pStyle w:val="2"/>
              <w:widowControl w:val="false"/>
              <w:numPr>
                <w:ilvl w:val="0"/>
                <w:numId w:val="0"/>
              </w:numPr>
              <w:tabs>
                <w:tab w:val="left" w:pos="360" w:leader="none"/>
                <w:tab w:val="left" w:pos="742" w:leader="none"/>
                <w:tab w:val="left" w:pos="1167" w:leader="none"/>
                <w:tab w:val="left" w:pos="1440" w:leader="none"/>
                <w:tab w:val="left" w:pos="2736" w:leader="none"/>
              </w:tabs>
              <w:spacing w:lineRule="auto" w:line="240" w:before="0" w:after="0"/>
              <w:ind w:left="0" w:hanging="0"/>
              <w:contextualSpacing/>
              <w:jc w:val="left"/>
              <w:rPr>
                <w:sz w:val="18"/>
                <w:szCs w:val="18"/>
                <w:lang w:eastAsia="ru-RU"/>
              </w:rPr>
            </w:pPr>
            <w:r>
              <w:rPr>
                <w:sz w:val="18"/>
                <w:szCs w:val="18"/>
                <w:lang w:eastAsia="ru-RU"/>
              </w:rPr>
              <w:t>Б</w:t>
            </w:r>
            <w:r>
              <w:rPr>
                <w:sz w:val="18"/>
                <w:szCs w:val="18"/>
                <w:vertAlign w:val="subscript"/>
                <w:lang w:eastAsia="ru-RU"/>
              </w:rPr>
              <w:t>1</w:t>
            </w:r>
            <w:r>
              <w:rPr>
                <w:sz w:val="18"/>
                <w:szCs w:val="18"/>
                <w:lang w:eastAsia="ru-RU"/>
              </w:rPr>
              <w:tab/>
              <w:t>–</w:t>
              <w:tab/>
              <w:t>рассчитанная оценка предпочтительности по данному частному критерию оценки в баллах;</w:t>
            </w:r>
          </w:p>
          <w:p>
            <w:pPr>
              <w:pStyle w:val="Normal"/>
              <w:widowControl w:val="false"/>
              <w:spacing w:lineRule="auto" w:line="252"/>
              <w:rPr>
                <w:sz w:val="18"/>
                <w:szCs w:val="18"/>
              </w:rPr>
            </w:pPr>
            <w:r>
              <w:rPr>
                <w:sz w:val="18"/>
                <w:szCs w:val="18"/>
              </w:rPr>
              <w:t>ЦЕНА</w:t>
            </w:r>
            <w:r>
              <w:rPr>
                <w:i/>
                <w:iCs/>
                <w:sz w:val="18"/>
                <w:szCs w:val="18"/>
                <w:vertAlign w:val="subscript"/>
                <w:lang w:val="en-US"/>
              </w:rPr>
              <w:t>i</w:t>
            </w:r>
            <w:r>
              <w:rPr>
                <w:sz w:val="18"/>
                <w:szCs w:val="18"/>
              </w:rPr>
              <w:t xml:space="preserve">  – </w:t>
            </w:r>
            <w:r>
              <w:rPr>
                <w:rFonts w:eastAsia="Calibri"/>
                <w:sz w:val="18"/>
                <w:szCs w:val="16"/>
              </w:rPr>
              <w:t xml:space="preserve">цена договора (заявки), указанная в </w:t>
            </w:r>
            <w:r>
              <w:rPr>
                <w:rFonts w:eastAsia="Calibri"/>
                <w:sz w:val="18"/>
                <w:szCs w:val="16"/>
                <w:lang w:val="en-US"/>
              </w:rPr>
              <w:t>i</w:t>
            </w:r>
            <w:r>
              <w:rPr>
                <w:rFonts w:eastAsia="Calibri"/>
                <w:sz w:val="18"/>
                <w:szCs w:val="16"/>
              </w:rPr>
              <w:t xml:space="preserve">-той заявке (в Коммерческом предложении по установленной в документации о закупке форме (форма 3) допущенного участника, </w:t>
            </w:r>
            <w:r>
              <w:rPr>
                <w:sz w:val="18"/>
                <w:szCs w:val="18"/>
              </w:rPr>
              <w:t>руб. без учета НДС ;</w:t>
            </w:r>
          </w:p>
          <w:p>
            <w:pPr>
              <w:pStyle w:val="Normal"/>
              <w:widowControl w:val="false"/>
              <w:spacing w:lineRule="auto" w:line="252"/>
              <w:rPr>
                <w:sz w:val="18"/>
                <w:szCs w:val="18"/>
              </w:rPr>
            </w:pPr>
            <w:r>
              <w:rPr>
                <w:sz w:val="18"/>
                <w:szCs w:val="18"/>
              </w:rPr>
              <w:t>ЦЕНА</w:t>
            </w:r>
            <w:r>
              <w:rPr>
                <w:vertAlign w:val="subscript"/>
                <w:lang w:val="en-US"/>
              </w:rPr>
              <w:t>min</w:t>
            </w:r>
            <w:r>
              <w:rPr>
                <w:vertAlign w:val="subscript"/>
              </w:rPr>
              <w:t xml:space="preserve"> </w:t>
            </w:r>
            <w:r>
              <w:rPr>
                <w:sz w:val="18"/>
                <w:szCs w:val="18"/>
              </w:rPr>
              <w:t>– минимальная цена договора (заявки) среди всех допущенных заявок участников, руб. без учета НДС;</w:t>
            </w:r>
          </w:p>
          <w:p>
            <w:pPr>
              <w:pStyle w:val="2"/>
              <w:widowControl w:val="false"/>
              <w:numPr>
                <w:ilvl w:val="0"/>
                <w:numId w:val="0"/>
              </w:numPr>
              <w:tabs>
                <w:tab w:val="left" w:pos="360" w:leader="none"/>
                <w:tab w:val="left" w:pos="742" w:leader="none"/>
                <w:tab w:val="left" w:pos="1167" w:leader="none"/>
                <w:tab w:val="left" w:pos="1440" w:leader="none"/>
                <w:tab w:val="left" w:pos="2736" w:leader="none"/>
              </w:tabs>
              <w:spacing w:lineRule="auto" w:line="240" w:before="0" w:after="0"/>
              <w:ind w:left="0" w:hanging="0"/>
              <w:contextualSpacing/>
              <w:jc w:val="left"/>
              <w:rPr>
                <w:sz w:val="18"/>
                <w:szCs w:val="18"/>
                <w:lang w:eastAsia="ru-RU"/>
              </w:rPr>
            </w:pPr>
            <w:r>
              <w:rPr>
                <w:sz w:val="18"/>
                <w:szCs w:val="18"/>
                <w:lang w:eastAsia="ru-RU"/>
              </w:rPr>
              <w:t>Ш</w:t>
              <w:tab/>
              <w:t>–</w:t>
              <w:tab/>
              <w:t>максимально возможный балл (максимальная возможная оценка предпочтительности) по шкале оценок (Ш = 5).</w:t>
            </w:r>
          </w:p>
          <w:p>
            <w:pPr>
              <w:pStyle w:val="3"/>
              <w:widowControl w:val="false"/>
              <w:numPr>
                <w:ilvl w:val="0"/>
                <w:numId w:val="0"/>
              </w:numPr>
              <w:spacing w:lineRule="auto" w:line="240" w:before="96" w:after="96"/>
              <w:ind w:left="0" w:hanging="0"/>
              <w:contextualSpacing/>
              <w:jc w:val="left"/>
              <w:rPr>
                <w:sz w:val="18"/>
                <w:szCs w:val="18"/>
                <w:lang w:eastAsia="ru-RU"/>
              </w:rPr>
            </w:pPr>
            <w:r>
              <w:rPr>
                <w:sz w:val="18"/>
                <w:szCs w:val="18"/>
                <w:lang w:eastAsia="ru-RU"/>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r>
              <w:rPr>
                <w:color w:val="000000"/>
                <w:sz w:val="18"/>
              </w:rPr>
              <w:t>.</w:t>
            </w:r>
          </w:p>
          <w:p>
            <w:pPr>
              <w:pStyle w:val="3"/>
              <w:widowControl w:val="false"/>
              <w:numPr>
                <w:ilvl w:val="0"/>
                <w:numId w:val="0"/>
              </w:numPr>
              <w:spacing w:lineRule="auto" w:line="240" w:before="96" w:after="96"/>
              <w:ind w:left="0" w:hanging="0"/>
              <w:contextualSpacing/>
              <w:jc w:val="left"/>
              <w:rPr>
                <w:sz w:val="18"/>
                <w:szCs w:val="18"/>
                <w:lang w:eastAsia="ru-RU"/>
              </w:rPr>
            </w:pPr>
            <w:r>
              <w:rPr>
                <w:sz w:val="18"/>
                <w:szCs w:val="18"/>
                <w:lang w:eastAsia="ru-RU"/>
              </w:rPr>
              <w:t>Шкала оценок от 0 до 5 баллов.</w:t>
            </w:r>
          </w:p>
        </w:tc>
      </w:tr>
      <w:tr>
        <w:trPr>
          <w:trHeight w:val="2247" w:hRule="atLeast"/>
        </w:trPr>
        <w:tc>
          <w:tcPr>
            <w:tcW w:w="980" w:type="dxa"/>
            <w:tcBorders>
              <w:top w:val="single" w:sz="4" w:space="0" w:color="00000A"/>
              <w:left w:val="single" w:sz="4" w:space="0" w:color="00000A"/>
              <w:bottom w:val="single" w:sz="4" w:space="0" w:color="00000A"/>
              <w:right w:val="single" w:sz="4" w:space="0" w:color="00000A"/>
            </w:tcBorders>
          </w:tcPr>
          <w:p>
            <w:pPr>
              <w:pStyle w:val="3"/>
              <w:widowControl w:val="false"/>
              <w:numPr>
                <w:ilvl w:val="0"/>
                <w:numId w:val="0"/>
              </w:numPr>
              <w:tabs>
                <w:tab w:val="clear" w:pos="2880"/>
                <w:tab w:val="left" w:pos="708" w:leader="none"/>
                <w:tab w:val="left" w:pos="1440" w:leader="none"/>
                <w:tab w:val="left" w:pos="5445" w:leader="none"/>
              </w:tabs>
              <w:suppressAutoHyphens w:val="true"/>
              <w:bidi w:val="0"/>
              <w:spacing w:lineRule="auto" w:line="240" w:before="40" w:after="40"/>
              <w:ind w:left="227" w:right="1020" w:hanging="0"/>
              <w:contextualSpacing/>
              <w:jc w:val="right"/>
              <w:rPr>
                <w:sz w:val="18"/>
                <w:szCs w:val="18"/>
                <w:lang w:eastAsia="ru-RU"/>
              </w:rPr>
            </w:pPr>
            <w:r>
              <w:rPr>
                <w:sz w:val="18"/>
                <w:szCs w:val="18"/>
                <w:lang w:eastAsia="ru-RU"/>
              </w:rPr>
              <w:t>2.</w:t>
            </w:r>
          </w:p>
        </w:tc>
        <w:tc>
          <w:tcPr>
            <w:tcW w:w="1358" w:type="dxa"/>
            <w:tcBorders>
              <w:top w:val="single" w:sz="4" w:space="0" w:color="00000A"/>
              <w:left w:val="single" w:sz="4" w:space="0" w:color="00000A"/>
              <w:bottom w:val="single" w:sz="4" w:space="0" w:color="00000A"/>
              <w:right w:val="single" w:sz="4" w:space="0" w:color="00000A"/>
            </w:tcBorders>
          </w:tcPr>
          <w:p>
            <w:pPr>
              <w:pStyle w:val="3"/>
              <w:widowControl w:val="false"/>
              <w:numPr>
                <w:ilvl w:val="7"/>
                <w:numId w:val="18"/>
              </w:numPr>
              <w:tabs>
                <w:tab w:val="left" w:pos="708" w:leader="none"/>
                <w:tab w:val="left" w:pos="1440" w:leader="none"/>
                <w:tab w:val="left" w:pos="2880" w:leader="none"/>
              </w:tabs>
              <w:suppressAutoHyphens w:val="true"/>
              <w:bidi w:val="0"/>
              <w:spacing w:lineRule="auto" w:line="240" w:before="40" w:after="40"/>
              <w:ind w:left="0" w:right="0" w:hanging="5839"/>
              <w:contextualSpacing/>
              <w:jc w:val="center"/>
              <w:rPr>
                <w:sz w:val="18"/>
                <w:szCs w:val="18"/>
                <w:lang w:eastAsia="ru-RU"/>
              </w:rPr>
            </w:pPr>
            <w:r>
              <w:rPr>
                <w:sz w:val="18"/>
                <w:szCs w:val="18"/>
                <w:lang w:eastAsia="ru-RU"/>
              </w:rPr>
              <w:t>Неценовой частный критерий оценки первого уровня / ТЕХ</w:t>
            </w:r>
          </w:p>
        </w:tc>
        <w:tc>
          <w:tcPr>
            <w:tcW w:w="1341"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7"/>
                <w:numId w:val="19"/>
              </w:numPr>
              <w:tabs>
                <w:tab w:val="left" w:pos="708" w:leader="none"/>
                <w:tab w:val="left" w:pos="1440" w:leader="none"/>
                <w:tab w:val="left" w:pos="2880" w:leader="none"/>
              </w:tabs>
              <w:suppressAutoHyphens w:val="true"/>
              <w:bidi w:val="0"/>
              <w:spacing w:lineRule="auto" w:line="240" w:before="40" w:after="40"/>
              <w:ind w:left="57" w:right="0" w:hanging="5953"/>
              <w:contextualSpacing/>
              <w:jc w:val="center"/>
              <w:rPr>
                <w:sz w:val="18"/>
                <w:szCs w:val="18"/>
                <w:lang w:eastAsia="ru-RU"/>
              </w:rPr>
            </w:pPr>
            <w:r>
              <w:rPr>
                <w:sz w:val="18"/>
                <w:szCs w:val="18"/>
                <w:lang w:eastAsia="ru-RU"/>
              </w:rPr>
              <w:t>Квалификация (предпочти-тельность) Участника</w:t>
            </w:r>
          </w:p>
        </w:tc>
        <w:tc>
          <w:tcPr>
            <w:tcW w:w="13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120" w:after="0"/>
              <w:jc w:val="center"/>
              <w:rPr>
                <w:rFonts w:eastAsia="Calibri"/>
                <w:sz w:val="18"/>
                <w:szCs w:val="18"/>
              </w:rPr>
            </w:pPr>
            <w:r>
              <w:rPr>
                <w:i/>
                <w:sz w:val="18"/>
                <w:szCs w:val="18"/>
                <w:lang w:eastAsia="ru-RU"/>
              </w:rPr>
              <w:t>отсутствует</w:t>
            </w:r>
          </w:p>
        </w:tc>
        <w:tc>
          <w:tcPr>
            <w:tcW w:w="1114"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7"/>
                <w:numId w:val="20"/>
              </w:numPr>
              <w:tabs>
                <w:tab w:val="left" w:pos="708" w:leader="none"/>
                <w:tab w:val="left" w:pos="1440" w:leader="none"/>
                <w:tab w:val="left" w:pos="2880" w:leader="none"/>
              </w:tabs>
              <w:spacing w:lineRule="auto" w:line="240" w:before="40" w:after="40"/>
              <w:ind w:left="0" w:right="102" w:hanging="1440"/>
              <w:contextualSpacing/>
              <w:jc w:val="center"/>
              <w:rPr>
                <w:sz w:val="18"/>
                <w:szCs w:val="18"/>
                <w:lang w:eastAsia="ru-RU"/>
              </w:rPr>
            </w:pPr>
            <w:r>
              <w:rPr>
                <w:sz w:val="18"/>
                <w:szCs w:val="18"/>
                <w:lang w:eastAsia="ru-RU"/>
              </w:rPr>
              <w:t>10%</w:t>
              <w:br/>
              <w:t>(В</w:t>
            </w:r>
            <w:r>
              <w:rPr>
                <w:sz w:val="18"/>
                <w:szCs w:val="18"/>
                <w:vertAlign w:val="subscript"/>
                <w:lang w:eastAsia="ru-RU"/>
              </w:rPr>
              <w:t>2</w:t>
            </w:r>
            <w:r>
              <w:rPr>
                <w:sz w:val="18"/>
                <w:szCs w:val="18"/>
                <w:lang w:eastAsia="ru-RU"/>
              </w:rPr>
              <w:t xml:space="preserve"> = 0,10)</w:t>
            </w:r>
          </w:p>
        </w:tc>
        <w:tc>
          <w:tcPr>
            <w:tcW w:w="183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40" w:after="0"/>
              <w:jc w:val="center"/>
              <w:rPr>
                <w:rFonts w:eastAsia="Calibri"/>
                <w:sz w:val="18"/>
                <w:szCs w:val="18"/>
              </w:rPr>
            </w:pPr>
            <w:r>
              <w:rPr>
                <w:sz w:val="18"/>
                <w:szCs w:val="18"/>
                <w:lang w:eastAsia="ru-RU"/>
              </w:rPr>
              <w:t>Чем больше опыт (до оцениваемого предела), тем выше предпочтительность</w:t>
            </w:r>
          </w:p>
          <w:p>
            <w:pPr>
              <w:pStyle w:val="Normal"/>
              <w:widowControl w:val="false"/>
              <w:rPr>
                <w:rFonts w:eastAsia="Calibri"/>
                <w:sz w:val="18"/>
                <w:szCs w:val="18"/>
              </w:rPr>
            </w:pPr>
            <w:r>
              <w:rPr>
                <w:rFonts w:eastAsia="Calibri"/>
                <w:sz w:val="18"/>
                <w:szCs w:val="18"/>
              </w:rPr>
            </w:r>
          </w:p>
          <w:p>
            <w:pPr>
              <w:pStyle w:val="Normal"/>
              <w:widowControl w:val="false"/>
              <w:rPr>
                <w:rFonts w:eastAsia="Calibri"/>
                <w:sz w:val="18"/>
                <w:szCs w:val="18"/>
              </w:rPr>
            </w:pPr>
            <w:r>
              <w:rPr>
                <w:rFonts w:eastAsia="Calibri"/>
                <w:sz w:val="18"/>
                <w:szCs w:val="18"/>
              </w:rPr>
            </w:r>
          </w:p>
          <w:p>
            <w:pPr>
              <w:pStyle w:val="Normal"/>
              <w:widowControl w:val="false"/>
              <w:rPr>
                <w:rFonts w:eastAsia="Calibri"/>
                <w:sz w:val="18"/>
                <w:szCs w:val="18"/>
              </w:rPr>
            </w:pPr>
            <w:r>
              <w:rPr>
                <w:rFonts w:eastAsia="Calibri"/>
                <w:sz w:val="18"/>
                <w:szCs w:val="18"/>
              </w:rPr>
            </w:r>
          </w:p>
          <w:p>
            <w:pPr>
              <w:pStyle w:val="Normal"/>
              <w:widowControl w:val="false"/>
              <w:rPr>
                <w:rFonts w:eastAsia="Calibri"/>
                <w:sz w:val="18"/>
                <w:szCs w:val="18"/>
              </w:rPr>
            </w:pPr>
            <w:r>
              <w:rPr>
                <w:rFonts w:eastAsia="Calibri"/>
                <w:sz w:val="18"/>
                <w:szCs w:val="18"/>
              </w:rPr>
            </w:r>
          </w:p>
          <w:p>
            <w:pPr>
              <w:pStyle w:val="Normal"/>
              <w:widowControl w:val="false"/>
              <w:rPr>
                <w:rFonts w:eastAsia="Calibri"/>
                <w:sz w:val="18"/>
                <w:szCs w:val="18"/>
              </w:rPr>
            </w:pPr>
            <w:r>
              <w:rPr>
                <w:rFonts w:eastAsia="Calibri"/>
                <w:sz w:val="18"/>
                <w:szCs w:val="18"/>
              </w:rPr>
            </w:r>
          </w:p>
          <w:p>
            <w:pPr>
              <w:pStyle w:val="Normal"/>
              <w:widowControl w:val="false"/>
              <w:rPr>
                <w:rFonts w:eastAsia="Calibri"/>
                <w:sz w:val="18"/>
                <w:szCs w:val="18"/>
              </w:rPr>
            </w:pPr>
            <w:r>
              <w:rPr>
                <w:rFonts w:eastAsia="Calibri"/>
                <w:sz w:val="18"/>
                <w:szCs w:val="18"/>
              </w:rPr>
            </w:r>
          </w:p>
          <w:p>
            <w:pPr>
              <w:pStyle w:val="Normal"/>
              <w:widowControl w:val="false"/>
              <w:rPr>
                <w:rFonts w:eastAsia="Calibri"/>
                <w:sz w:val="18"/>
                <w:szCs w:val="18"/>
              </w:rPr>
            </w:pPr>
            <w:r>
              <w:rPr>
                <w:rFonts w:eastAsia="Calibri"/>
                <w:sz w:val="18"/>
                <w:szCs w:val="18"/>
              </w:rPr>
            </w:r>
          </w:p>
        </w:tc>
        <w:tc>
          <w:tcPr>
            <w:tcW w:w="7202"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96" w:after="96"/>
              <w:ind w:left="0" w:hanging="0"/>
              <w:contextualSpacing/>
              <w:jc w:val="left"/>
              <w:rPr>
                <w:sz w:val="18"/>
                <w:szCs w:val="18"/>
                <w:lang w:eastAsia="ru-RU"/>
              </w:rPr>
            </w:pPr>
            <w:r>
              <w:rPr>
                <w:sz w:val="18"/>
                <w:szCs w:val="18"/>
                <w:lang w:eastAsia="ru-RU"/>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3"/>
              <w:widowControl w:val="false"/>
              <w:numPr>
                <w:ilvl w:val="0"/>
                <w:numId w:val="0"/>
              </w:numPr>
              <w:spacing w:lineRule="auto" w:line="240" w:before="40" w:after="40"/>
              <w:ind w:left="0" w:hanging="0"/>
              <w:contextualSpacing/>
              <w:jc w:val="left"/>
              <w:rPr>
                <w:sz w:val="18"/>
                <w:szCs w:val="18"/>
                <w:lang w:eastAsia="ru-RU"/>
              </w:rPr>
            </w:pPr>
            <w:r>
              <w:rPr>
                <w:sz w:val="18"/>
                <w:szCs w:val="18"/>
                <w:lang w:eastAsia="ru-RU"/>
              </w:rPr>
              <w:t xml:space="preserve">Порядок осуществления оценки (значение оцениваемого параметра), в зависимости от предоставленных в </w:t>
            </w:r>
            <w:r>
              <w:rPr>
                <w:i/>
                <w:sz w:val="18"/>
                <w:szCs w:val="18"/>
                <w:lang w:val="en-US" w:eastAsia="ru-RU"/>
              </w:rPr>
              <w:t>i</w:t>
            </w:r>
            <w:r>
              <w:rPr>
                <w:sz w:val="18"/>
                <w:szCs w:val="18"/>
                <w:lang w:eastAsia="ru-RU"/>
              </w:rPr>
              <w:t>-ой заявке документов, подтверждающих опыт, требуемый в соответствии п. 4.1 ТТ, на общую сумму:</w:t>
            </w:r>
          </w:p>
          <w:p>
            <w:pPr>
              <w:pStyle w:val="3"/>
              <w:widowControl w:val="false"/>
              <w:numPr>
                <w:ilvl w:val="0"/>
                <w:numId w:val="0"/>
              </w:numPr>
              <w:spacing w:lineRule="auto" w:line="240" w:before="40" w:after="40"/>
              <w:ind w:left="0" w:hanging="0"/>
              <w:contextualSpacing/>
              <w:jc w:val="left"/>
              <w:rPr>
                <w:sz w:val="18"/>
                <w:szCs w:val="18"/>
                <w:lang w:eastAsia="ru-RU"/>
              </w:rPr>
            </w:pPr>
            <w:r>
              <w:rPr>
                <w:sz w:val="18"/>
                <w:szCs w:val="18"/>
                <w:lang w:eastAsia="ru-RU"/>
              </w:rPr>
            </w:r>
          </w:p>
          <w:tbl>
            <w:tblPr>
              <w:tblW w:w="64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82"/>
              <w:gridCol w:w="5529"/>
            </w:tblGrid>
            <w:tr>
              <w:trPr>
                <w:cantSplit w:val="true"/>
              </w:trPr>
              <w:tc>
                <w:tcPr>
                  <w:tcW w:w="882" w:type="dxa"/>
                  <w:tcBorders>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Б</w:t>
                  </w:r>
                  <w:r>
                    <w:rPr>
                      <w:sz w:val="18"/>
                      <w:szCs w:val="18"/>
                      <w:vertAlign w:val="subscript"/>
                      <w:lang w:eastAsia="ru-RU"/>
                    </w:rPr>
                    <w:t>2</w:t>
                  </w:r>
                  <w:r>
                    <w:rPr>
                      <w:sz w:val="18"/>
                      <w:szCs w:val="18"/>
                      <w:lang w:eastAsia="ru-RU"/>
                    </w:rPr>
                    <w:t xml:space="preserve"> = 0</w:t>
                  </w:r>
                </w:p>
              </w:tc>
              <w:tc>
                <w:tcPr>
                  <w:tcW w:w="5529" w:type="dxa"/>
                  <w:tcBorders>
                    <w:left w:val="single" w:sz="4" w:space="0" w:color="00000A"/>
                    <w:bottom w:val="single" w:sz="4" w:space="0" w:color="00000A"/>
                    <w:right w:val="single" w:sz="4" w:space="0" w:color="00000A"/>
                  </w:tcBorders>
                  <w:shd w:color="auto" w:fill="auto" w:val="clear"/>
                  <w:tcMar>
                    <w:left w:w="103" w:type="dxa"/>
                  </w:tcMar>
                </w:tcPr>
                <w:p>
                  <w:pPr>
                    <w:pStyle w:val="-"/>
                    <w:widowControl w:val="false"/>
                    <w:numPr>
                      <w:ilvl w:val="0"/>
                      <w:numId w:val="0"/>
                    </w:numPr>
                    <w:spacing w:lineRule="auto" w:line="240" w:before="40" w:after="40"/>
                    <w:ind w:left="0" w:hanging="0"/>
                    <w:contextualSpacing/>
                    <w:jc w:val="left"/>
                    <w:rPr>
                      <w:sz w:val="18"/>
                      <w:szCs w:val="18"/>
                      <w:lang w:eastAsia="ru-RU"/>
                    </w:rPr>
                  </w:pPr>
                  <w:r>
                    <w:rPr>
                      <w:color w:val="000000"/>
                      <w:sz w:val="18"/>
                    </w:rPr>
                    <w:t>-     До 1 550 467,64 руб., без учета НДС (включительно);</w:t>
                  </w:r>
                </w:p>
              </w:tc>
            </w:tr>
            <w:tr>
              <w:trPr>
                <w:cantSplit w:val="true"/>
              </w:trPr>
              <w:tc>
                <w:tcPr>
                  <w:tcW w:w="882" w:type="dxa"/>
                  <w:tcBorders>
                    <w:top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Б</w:t>
                  </w:r>
                  <w:r>
                    <w:rPr>
                      <w:sz w:val="18"/>
                      <w:szCs w:val="18"/>
                      <w:vertAlign w:val="subscript"/>
                      <w:lang w:eastAsia="ru-RU"/>
                    </w:rPr>
                    <w:t>2</w:t>
                  </w:r>
                  <w:r>
                    <w:rPr>
                      <w:sz w:val="18"/>
                      <w:szCs w:val="18"/>
                      <w:lang w:eastAsia="ru-RU"/>
                    </w:rPr>
                    <w:t xml:space="preserve"> = 1</w:t>
                  </w:r>
                </w:p>
              </w:tc>
              <w:tc>
                <w:tcPr>
                  <w:tcW w:w="5529" w:type="dxa"/>
                  <w:tcBorders>
                    <w:left w:val="single" w:sz="4" w:space="0" w:color="00000A"/>
                    <w:bottom w:val="single" w:sz="4" w:space="0" w:color="00000A"/>
                    <w:right w:val="single" w:sz="4" w:space="0" w:color="00000A"/>
                  </w:tcBorders>
                  <w:shd w:color="auto" w:fill="auto" w:val="clear"/>
                  <w:tcMar>
                    <w:left w:w="103" w:type="dxa"/>
                  </w:tcMar>
                </w:tcPr>
                <w:p>
                  <w:pPr>
                    <w:pStyle w:val="-"/>
                    <w:widowControl w:val="false"/>
                    <w:numPr>
                      <w:ilvl w:val="0"/>
                      <w:numId w:val="0"/>
                    </w:numPr>
                    <w:spacing w:lineRule="auto" w:line="240" w:before="40" w:after="40"/>
                    <w:ind w:left="0" w:hanging="0"/>
                    <w:contextualSpacing/>
                    <w:jc w:val="left"/>
                    <w:rPr>
                      <w:sz w:val="18"/>
                      <w:szCs w:val="18"/>
                      <w:lang w:eastAsia="ru-RU"/>
                    </w:rPr>
                  </w:pPr>
                  <w:r>
                    <w:rPr>
                      <w:color w:val="000000"/>
                      <w:sz w:val="18"/>
                    </w:rPr>
                    <w:t>-     Более 1 550 467,64 руб., без учета НДС, но менее 1 938 084,55 руб., без учета НДС (включительно);</w:t>
                  </w:r>
                </w:p>
              </w:tc>
            </w:tr>
            <w:tr>
              <w:trPr>
                <w:cantSplit w:val="true"/>
              </w:trPr>
              <w:tc>
                <w:tcPr>
                  <w:tcW w:w="882" w:type="dxa"/>
                  <w:tcBorders>
                    <w:top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Б</w:t>
                  </w:r>
                  <w:r>
                    <w:rPr>
                      <w:sz w:val="18"/>
                      <w:szCs w:val="18"/>
                      <w:vertAlign w:val="subscript"/>
                      <w:lang w:eastAsia="ru-RU"/>
                    </w:rPr>
                    <w:t>2</w:t>
                  </w:r>
                  <w:r>
                    <w:rPr>
                      <w:sz w:val="18"/>
                      <w:szCs w:val="18"/>
                      <w:lang w:eastAsia="ru-RU"/>
                    </w:rPr>
                    <w:t xml:space="preserve"> = 2</w:t>
                  </w:r>
                </w:p>
              </w:tc>
              <w:tc>
                <w:tcPr>
                  <w:tcW w:w="5529"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
                    <w:widowControl w:val="false"/>
                    <w:numPr>
                      <w:ilvl w:val="0"/>
                      <w:numId w:val="0"/>
                    </w:numPr>
                    <w:spacing w:lineRule="auto" w:line="240" w:before="40" w:after="40"/>
                    <w:ind w:left="0" w:hanging="0"/>
                    <w:contextualSpacing/>
                    <w:jc w:val="left"/>
                    <w:rPr>
                      <w:sz w:val="18"/>
                      <w:szCs w:val="18"/>
                      <w:lang w:eastAsia="ru-RU"/>
                    </w:rPr>
                  </w:pPr>
                  <w:r>
                    <w:rPr>
                      <w:color w:val="000000"/>
                      <w:sz w:val="18"/>
                    </w:rPr>
                    <w:t>-     Более 1 938 084,55 руб., без учета НДС, но менее 2 325 701,46 руб., без учета НДС (включительно);</w:t>
                  </w:r>
                </w:p>
              </w:tc>
            </w:tr>
            <w:tr>
              <w:trPr>
                <w:cantSplit w:val="true"/>
              </w:trPr>
              <w:tc>
                <w:tcPr>
                  <w:tcW w:w="882" w:type="dxa"/>
                  <w:tcBorders>
                    <w:top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Б</w:t>
                  </w:r>
                  <w:r>
                    <w:rPr>
                      <w:sz w:val="18"/>
                      <w:szCs w:val="18"/>
                      <w:vertAlign w:val="subscript"/>
                      <w:lang w:eastAsia="ru-RU"/>
                    </w:rPr>
                    <w:t>2</w:t>
                  </w:r>
                  <w:r>
                    <w:rPr>
                      <w:sz w:val="18"/>
                      <w:szCs w:val="18"/>
                      <w:lang w:eastAsia="ru-RU"/>
                    </w:rPr>
                    <w:t xml:space="preserve"> = 3</w:t>
                  </w:r>
                </w:p>
              </w:tc>
              <w:tc>
                <w:tcPr>
                  <w:tcW w:w="5529"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
                    <w:widowControl w:val="false"/>
                    <w:numPr>
                      <w:ilvl w:val="0"/>
                      <w:numId w:val="0"/>
                    </w:numPr>
                    <w:spacing w:lineRule="auto" w:line="240" w:before="40" w:after="40"/>
                    <w:ind w:left="0" w:hanging="0"/>
                    <w:contextualSpacing/>
                    <w:jc w:val="left"/>
                    <w:rPr>
                      <w:sz w:val="18"/>
                      <w:szCs w:val="18"/>
                      <w:lang w:eastAsia="ru-RU"/>
                    </w:rPr>
                  </w:pPr>
                  <w:r>
                    <w:rPr>
                      <w:color w:val="000000"/>
                      <w:sz w:val="18"/>
                    </w:rPr>
                    <w:t>-     Более 2 325 701,46 руб., без учета НДС, но менее 2 713 318,37 руб., без учета НДС (включительно);</w:t>
                  </w:r>
                </w:p>
              </w:tc>
            </w:tr>
            <w:tr>
              <w:trPr>
                <w:cantSplit w:val="true"/>
              </w:trPr>
              <w:tc>
                <w:tcPr>
                  <w:tcW w:w="882" w:type="dxa"/>
                  <w:tcBorders>
                    <w:top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Б</w:t>
                  </w:r>
                  <w:r>
                    <w:rPr>
                      <w:sz w:val="18"/>
                      <w:szCs w:val="18"/>
                      <w:vertAlign w:val="subscript"/>
                      <w:lang w:eastAsia="ru-RU"/>
                    </w:rPr>
                    <w:t>2</w:t>
                  </w:r>
                  <w:r>
                    <w:rPr>
                      <w:sz w:val="18"/>
                      <w:szCs w:val="18"/>
                      <w:lang w:eastAsia="ru-RU"/>
                    </w:rPr>
                    <w:t xml:space="preserve"> = 4</w:t>
                  </w:r>
                </w:p>
              </w:tc>
              <w:tc>
                <w:tcPr>
                  <w:tcW w:w="5529"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
                    <w:widowControl w:val="false"/>
                    <w:numPr>
                      <w:ilvl w:val="0"/>
                      <w:numId w:val="0"/>
                    </w:numPr>
                    <w:spacing w:lineRule="auto" w:line="240" w:before="40" w:after="40"/>
                    <w:ind w:left="0" w:hanging="0"/>
                    <w:contextualSpacing/>
                    <w:jc w:val="left"/>
                    <w:rPr>
                      <w:sz w:val="18"/>
                      <w:szCs w:val="18"/>
                      <w:lang w:eastAsia="ru-RU"/>
                    </w:rPr>
                  </w:pPr>
                  <w:r>
                    <w:rPr>
                      <w:color w:val="000000"/>
                      <w:sz w:val="18"/>
                    </w:rPr>
                    <w:t>-     Более 2 713 318,37 руб., без учета НДС, но менее 3 100 935,28 руб., без учета НДС (включительно);</w:t>
                  </w:r>
                </w:p>
              </w:tc>
            </w:tr>
            <w:tr>
              <w:trPr>
                <w:cantSplit w:val="true"/>
              </w:trPr>
              <w:tc>
                <w:tcPr>
                  <w:tcW w:w="882" w:type="dxa"/>
                  <w:tcBorders>
                    <w:top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Б</w:t>
                  </w:r>
                  <w:r>
                    <w:rPr>
                      <w:sz w:val="18"/>
                      <w:szCs w:val="18"/>
                      <w:vertAlign w:val="subscript"/>
                      <w:lang w:eastAsia="ru-RU"/>
                    </w:rPr>
                    <w:t>2</w:t>
                  </w:r>
                  <w:r>
                    <w:rPr>
                      <w:sz w:val="18"/>
                      <w:szCs w:val="18"/>
                      <w:lang w:eastAsia="ru-RU"/>
                    </w:rPr>
                    <w:t xml:space="preserve"> = 5</w:t>
                  </w:r>
                </w:p>
              </w:tc>
              <w:tc>
                <w:tcPr>
                  <w:tcW w:w="5529"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
                    <w:widowControl w:val="false"/>
                    <w:numPr>
                      <w:ilvl w:val="0"/>
                      <w:numId w:val="0"/>
                    </w:numPr>
                    <w:spacing w:lineRule="auto" w:line="240" w:before="40" w:after="40"/>
                    <w:ind w:left="0" w:hanging="0"/>
                    <w:contextualSpacing/>
                    <w:jc w:val="left"/>
                    <w:rPr>
                      <w:sz w:val="18"/>
                      <w:szCs w:val="18"/>
                      <w:lang w:eastAsia="ru-RU"/>
                    </w:rPr>
                  </w:pPr>
                  <w:r>
                    <w:rPr>
                      <w:sz w:val="18"/>
                      <w:szCs w:val="18"/>
                      <w:lang w:eastAsia="ru-RU"/>
                    </w:rPr>
                    <w:t xml:space="preserve">-     Более </w:t>
                  </w:r>
                  <w:r>
                    <w:rPr>
                      <w:color w:val="000000"/>
                      <w:sz w:val="18"/>
                    </w:rPr>
                    <w:t xml:space="preserve">3 100 935,28 </w:t>
                  </w:r>
                  <w:bookmarkStart w:id="394" w:name="_GoBack"/>
                  <w:bookmarkEnd w:id="394"/>
                  <w:r>
                    <w:rPr>
                      <w:sz w:val="18"/>
                      <w:szCs w:val="18"/>
                      <w:lang w:eastAsia="ru-RU"/>
                    </w:rPr>
                    <w:t>руб., без учета НДС.</w:t>
                  </w:r>
                </w:p>
              </w:tc>
            </w:tr>
          </w:tbl>
          <w:p>
            <w:pPr>
              <w:pStyle w:val="2"/>
              <w:widowControl w:val="false"/>
              <w:numPr>
                <w:ilvl w:val="0"/>
                <w:numId w:val="0"/>
              </w:numPr>
              <w:spacing w:lineRule="auto" w:line="240" w:before="96" w:after="0"/>
              <w:ind w:left="0" w:hanging="0"/>
              <w:contextualSpacing/>
              <w:jc w:val="left"/>
              <w:rPr>
                <w:sz w:val="18"/>
                <w:szCs w:val="18"/>
                <w:lang w:eastAsia="ru-RU"/>
              </w:rPr>
            </w:pPr>
            <w:r>
              <w:rPr>
                <w:sz w:val="18"/>
                <w:szCs w:val="18"/>
                <w:lang w:eastAsia="ru-RU"/>
              </w:rPr>
              <w:t>где:</w:t>
            </w:r>
          </w:p>
          <w:p>
            <w:pPr>
              <w:pStyle w:val="2"/>
              <w:widowControl w:val="false"/>
              <w:numPr>
                <w:ilvl w:val="0"/>
                <w:numId w:val="0"/>
              </w:numPr>
              <w:tabs>
                <w:tab w:val="left" w:pos="360" w:leader="none"/>
                <w:tab w:val="left" w:pos="742" w:leader="none"/>
                <w:tab w:val="left" w:pos="1167" w:leader="none"/>
                <w:tab w:val="left" w:pos="1440" w:leader="none"/>
                <w:tab w:val="left" w:pos="2736" w:leader="none"/>
              </w:tabs>
              <w:spacing w:lineRule="auto" w:line="240" w:before="0" w:after="0"/>
              <w:ind w:left="0" w:hanging="0"/>
              <w:contextualSpacing/>
              <w:jc w:val="left"/>
              <w:rPr>
                <w:sz w:val="18"/>
                <w:szCs w:val="18"/>
                <w:lang w:eastAsia="ru-RU"/>
              </w:rPr>
            </w:pPr>
            <w:r>
              <w:rPr>
                <w:sz w:val="18"/>
                <w:szCs w:val="18"/>
                <w:lang w:eastAsia="ru-RU"/>
              </w:rPr>
              <w:t>Б</w:t>
            </w:r>
            <w:r>
              <w:rPr>
                <w:sz w:val="18"/>
                <w:szCs w:val="18"/>
                <w:vertAlign w:val="subscript"/>
                <w:lang w:eastAsia="ru-RU"/>
              </w:rPr>
              <w:t>2</w:t>
            </w:r>
            <w:r>
              <w:rPr>
                <w:sz w:val="18"/>
                <w:szCs w:val="18"/>
                <w:lang w:eastAsia="ru-RU"/>
              </w:rPr>
              <w:tab/>
              <w:t>–</w:t>
              <w:tab/>
              <w:t>рассчитанная оценка предпочтительности по данному частному критерию оценки в баллах.</w:t>
            </w:r>
          </w:p>
          <w:p>
            <w:pPr>
              <w:pStyle w:val="3"/>
              <w:widowControl w:val="false"/>
              <w:numPr>
                <w:ilvl w:val="0"/>
                <w:numId w:val="0"/>
              </w:numPr>
              <w:spacing w:lineRule="auto" w:line="240" w:before="40" w:after="40"/>
              <w:ind w:left="0" w:hanging="0"/>
              <w:contextualSpacing/>
              <w:jc w:val="left"/>
              <w:rPr>
                <w:sz w:val="18"/>
                <w:szCs w:val="18"/>
                <w:lang w:eastAsia="ru-RU"/>
              </w:rPr>
            </w:pPr>
            <w:r>
              <w:rPr>
                <w:sz w:val="18"/>
                <w:szCs w:val="18"/>
                <w:lang w:eastAsia="ru-RU"/>
              </w:rPr>
              <w:t>Опыт, несоответствующий установленным в документации о закупке требованиям (п. 4.1 ТТ), не оценивается.</w:t>
            </w:r>
          </w:p>
          <w:p>
            <w:pPr>
              <w:pStyle w:val="3"/>
              <w:widowControl w:val="false"/>
              <w:numPr>
                <w:ilvl w:val="0"/>
                <w:numId w:val="0"/>
              </w:numPr>
              <w:tabs>
                <w:tab w:val="left" w:pos="708" w:leader="none"/>
                <w:tab w:val="left" w:pos="1440" w:leader="none"/>
                <w:tab w:val="left" w:pos="2880" w:leader="none"/>
              </w:tabs>
              <w:suppressAutoHyphens w:val="true"/>
              <w:bidi w:val="0"/>
              <w:spacing w:lineRule="auto" w:line="240" w:before="96" w:after="96"/>
              <w:ind w:left="57" w:right="113" w:hanging="0"/>
              <w:contextualSpacing/>
              <w:jc w:val="left"/>
              <w:rPr>
                <w:sz w:val="18"/>
                <w:szCs w:val="18"/>
                <w:lang w:eastAsia="ru-RU"/>
              </w:rPr>
            </w:pPr>
            <w:r>
              <w:rPr>
                <w:sz w:val="18"/>
                <w:szCs w:val="18"/>
                <w:lang w:eastAsia="ru-RU"/>
              </w:rPr>
              <w:t>Шкала оценок от 0 до 5 баллов.</w:t>
            </w:r>
          </w:p>
        </w:tc>
      </w:tr>
      <w:tr>
        <w:trPr>
          <w:trHeight w:val="2856" w:hRule="atLeast"/>
          <w:cantSplit w:val="true"/>
        </w:trPr>
        <w:tc>
          <w:tcPr>
            <w:tcW w:w="4985" w:type="dxa"/>
            <w:gridSpan w:val="4"/>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right"/>
              <w:rPr>
                <w:sz w:val="18"/>
                <w:szCs w:val="18"/>
                <w:lang w:eastAsia="ru-RU"/>
              </w:rPr>
            </w:pPr>
            <w:r>
              <w:rPr>
                <w:sz w:val="18"/>
                <w:szCs w:val="18"/>
                <w:lang w:eastAsia="ru-RU"/>
              </w:rPr>
              <w:t>Итоговая оценка предпочтительности заявки:</w:t>
            </w:r>
          </w:p>
        </w:tc>
        <w:tc>
          <w:tcPr>
            <w:tcW w:w="10149" w:type="dxa"/>
            <w:gridSpan w:val="3"/>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40" w:after="0"/>
              <w:rPr>
                <w:sz w:val="18"/>
                <w:szCs w:val="18"/>
              </w:rPr>
            </w:pPr>
            <w:r>
              <w:rPr>
                <w:sz w:val="18"/>
                <w:szCs w:val="18"/>
              </w:rPr>
              <w:t xml:space="preserve">Расчет итоговой оценки предпочтительности </w:t>
            </w:r>
            <w:r>
              <w:rPr>
                <w:i/>
                <w:sz w:val="18"/>
                <w:szCs w:val="18"/>
                <w:lang w:val="en-US"/>
              </w:rPr>
              <w:t>i</w:t>
            </w:r>
            <w:r>
              <w:rPr>
                <w:sz w:val="18"/>
                <w:szCs w:val="18"/>
              </w:rPr>
              <w:t>-ой заявки:</w:t>
            </w:r>
          </w:p>
          <w:p>
            <w:pPr>
              <w:pStyle w:val="Normal"/>
              <w:keepNext w:val="true"/>
              <w:widowControl w:val="false"/>
              <w:jc w:val="center"/>
              <w:rPr>
                <w:sz w:val="18"/>
                <w:szCs w:val="18"/>
              </w:rPr>
            </w:pPr>
            <w:r>
              <w:rPr>
                <w:sz w:val="18"/>
                <w:szCs w:val="18"/>
              </w:rPr>
            </w:r>
          </w:p>
          <w:p>
            <w:pPr>
              <w:pStyle w:val="Normal"/>
              <w:keepNext w:val="true"/>
              <w:widowControl w:val="false"/>
              <w:spacing w:before="96" w:after="0"/>
              <w:jc w:val="center"/>
              <w:rPr>
                <w:sz w:val="20"/>
                <w:szCs w:val="20"/>
              </w:rPr>
            </w:pPr>
            <w:r>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ИТОГ</m:t>
                    </m:r>
                  </m:sub>
                </m:sSub>
                <m:r>
                  <w:rPr>
                    <w:rFonts w:ascii="Cambria Math" w:hAnsi="Cambria Math"/>
                  </w:rPr>
                  <m:t xml:space="preserve">=</m:t>
                </m:r>
                <m:nary>
                  <m:naryPr>
                    <m:chr m:val="∑"/>
                    <m:subHide m:val="1"/>
                    <m:supHide m:val="1"/>
                  </m:naryPr>
                  <m:sub/>
                  <m:sup/>
                  <m:e>
                    <m:d>
                      <m:dPr>
                        <m:begChr m:val="("/>
                        <m:endChr m:val=")"/>
                      </m:dPr>
                      <m:e>
                        <m:sSub>
                          <m:e>
                            <m:r>
                              <w:rPr>
                                <w:rFonts w:ascii="Cambria Math" w:hAnsi="Cambria Math"/>
                              </w:rPr>
                              <m:t xml:space="preserve">Б</m:t>
                            </m:r>
                          </m:e>
                          <m:sub>
                            <m:sSub>
                              <m:e>
                                <m:r>
                                  <w:rPr>
                                    <w:rFonts w:ascii="Cambria Math" w:hAnsi="Cambria Math"/>
                                  </w:rPr>
                                  <m:t xml:space="preserve">1</m:t>
                                </m:r>
                                <m:r>
                                  <w:rPr>
                                    <w:rFonts w:ascii="Cambria Math" w:hAnsi="Cambria Math"/>
                                  </w:rPr>
                                  <m:t xml:space="preserve">уровень</m:t>
                                </m:r>
                              </m:e>
                              <m:sub>
                                <m:r>
                                  <w:rPr>
                                    <w:rFonts w:ascii="Cambria Math" w:hAnsi="Cambria Math"/>
                                  </w:rPr>
                                  <m:t xml:space="preserve">k</m:t>
                                </m:r>
                              </m:sub>
                            </m:sSub>
                          </m:sub>
                        </m:sSub>
                        <m:r>
                          <w:rPr>
                            <w:rFonts w:ascii="Cambria Math" w:hAnsi="Cambria Math"/>
                          </w:rPr>
                          <m:t xml:space="preserve">×</m:t>
                        </m:r>
                        <m:sSub>
                          <m:e>
                            <m:r>
                              <w:rPr>
                                <w:rFonts w:ascii="Cambria Math" w:hAnsi="Cambria Math"/>
                              </w:rPr>
                              <m:t xml:space="preserve">В</m:t>
                            </m:r>
                          </m:e>
                          <m:sub>
                            <m:sSub>
                              <m:e>
                                <m:r>
                                  <w:rPr>
                                    <w:rFonts w:ascii="Cambria Math" w:hAnsi="Cambria Math"/>
                                  </w:rPr>
                                  <m:t xml:space="preserve">1</m:t>
                                </m:r>
                                <m:r>
                                  <w:rPr>
                                    <w:rFonts w:ascii="Cambria Math" w:hAnsi="Cambria Math"/>
                                  </w:rPr>
                                  <m:t xml:space="preserve">уровень</m:t>
                                </m:r>
                              </m:e>
                              <m:sub>
                                <m:r>
                                  <w:rPr>
                                    <w:rFonts w:ascii="Cambria Math" w:hAnsi="Cambria Math"/>
                                  </w:rPr>
                                  <m:t xml:space="preserve">k</m:t>
                                </m:r>
                              </m:sub>
                            </m:sSub>
                          </m:sub>
                        </m:sSub>
                      </m:e>
                    </m:d>
                  </m:e>
                </m:nary>
                <m:r>
                  <w:rPr>
                    <w:rFonts w:ascii="Cambria Math" w:hAnsi="Cambria Math"/>
                  </w:rPr>
                  <m:t xml:space="preserve">,</m:t>
                </m:r>
              </m:oMath>
            </m:oMathPara>
          </w:p>
          <w:p>
            <w:pPr>
              <w:pStyle w:val="Normal"/>
              <w:keepNext w:val="true"/>
              <w:widowControl w:val="false"/>
              <w:spacing w:before="96" w:after="0"/>
              <w:rPr>
                <w:sz w:val="18"/>
                <w:szCs w:val="18"/>
              </w:rPr>
            </w:pPr>
            <w:r>
              <w:rPr>
                <w:sz w:val="18"/>
                <w:szCs w:val="18"/>
              </w:rPr>
              <w:t>где:</w:t>
            </w:r>
          </w:p>
          <w:p>
            <w:pPr>
              <w:pStyle w:val="Normal"/>
              <w:widowControl w:val="false"/>
              <w:tabs>
                <w:tab w:val="clear" w:pos="720"/>
                <w:tab w:val="left" w:pos="742" w:leader="none"/>
                <w:tab w:val="left" w:pos="1167" w:leader="none"/>
              </w:tabs>
              <w:rPr>
                <w:sz w:val="18"/>
                <w:szCs w:val="18"/>
              </w:rPr>
            </w:pPr>
            <w:r>
              <w:rPr>
                <w:sz w:val="18"/>
                <w:szCs w:val="18"/>
              </w:rPr>
              <w:t>Б</w:t>
            </w:r>
            <w:r>
              <w:rPr>
                <w:sz w:val="18"/>
                <w:szCs w:val="18"/>
                <w:vertAlign w:val="subscript"/>
              </w:rPr>
              <w:t>ИТОГ</w:t>
            </w:r>
            <w:r>
              <w:rPr>
                <w:sz w:val="18"/>
                <w:szCs w:val="18"/>
              </w:rPr>
              <w:tab/>
              <w:t>–</w:t>
              <w:tab/>
              <w:t>рассчитанная итоговая оценка предпочтительности в баллах;</w:t>
            </w:r>
          </w:p>
          <w:p>
            <w:pPr>
              <w:pStyle w:val="Normal"/>
              <w:widowControl w:val="false"/>
              <w:tabs>
                <w:tab w:val="clear" w:pos="720"/>
                <w:tab w:val="left" w:pos="742" w:leader="none"/>
                <w:tab w:val="left" w:pos="1167" w:leader="none"/>
              </w:tabs>
              <w:rPr>
                <w:sz w:val="18"/>
                <w:szCs w:val="18"/>
              </w:rPr>
            </w:pPr>
            <w:r>
              <w:rPr>
                <w:sz w:val="18"/>
                <w:szCs w:val="18"/>
              </w:rPr>
              <w:t>Б</w:t>
            </w:r>
            <w:r>
              <w:rPr>
                <w:sz w:val="18"/>
                <w:szCs w:val="18"/>
                <w:vertAlign w:val="subscript"/>
              </w:rPr>
              <w:t>1 уровень k</w:t>
            </w:r>
            <w:r>
              <w:rPr>
                <w:sz w:val="18"/>
                <w:szCs w:val="18"/>
              </w:rPr>
              <w:tab/>
              <w:t>–</w:t>
              <w:tab/>
              <w:t>оценка предпочтительности по k-тому критерию оценки первого уровня в баллах;</w:t>
            </w:r>
          </w:p>
          <w:p>
            <w:pPr>
              <w:pStyle w:val="2"/>
              <w:widowControl w:val="false"/>
              <w:numPr>
                <w:ilvl w:val="0"/>
                <w:numId w:val="0"/>
              </w:numPr>
              <w:tabs>
                <w:tab w:val="left" w:pos="360" w:leader="none"/>
                <w:tab w:val="left" w:pos="742" w:leader="none"/>
                <w:tab w:val="left" w:pos="1167" w:leader="none"/>
                <w:tab w:val="left" w:pos="1440" w:leader="none"/>
                <w:tab w:val="left" w:pos="2736" w:leader="none"/>
              </w:tabs>
              <w:spacing w:lineRule="auto" w:line="240" w:before="0" w:after="120"/>
              <w:ind w:left="0" w:hanging="0"/>
              <w:contextualSpacing/>
              <w:jc w:val="left"/>
              <w:rPr>
                <w:sz w:val="18"/>
                <w:szCs w:val="18"/>
                <w:lang w:eastAsia="ru-RU"/>
              </w:rPr>
            </w:pPr>
            <w:r>
              <w:rPr>
                <w:sz w:val="18"/>
                <w:szCs w:val="18"/>
              </w:rPr>
              <w:t>В</w:t>
            </w:r>
            <w:r>
              <w:rPr>
                <w:sz w:val="18"/>
                <w:szCs w:val="18"/>
                <w:vertAlign w:val="subscript"/>
              </w:rPr>
              <w:t>1 уровень k</w:t>
            </w:r>
            <w:r>
              <w:rPr>
                <w:sz w:val="18"/>
                <w:szCs w:val="18"/>
              </w:rPr>
              <w:tab/>
              <w:t>–</w:t>
              <w:tab/>
              <w:t xml:space="preserve">значимость k-ого критерия оценки первого уровня, выраженная в диапазоне от 1% до 100% (или от 0,01 до 1,00) – вес k-ого критерия оценки первого уровня. </w:t>
            </w:r>
          </w:p>
          <w:p>
            <w:pPr>
              <w:pStyle w:val="2"/>
              <w:widowControl w:val="false"/>
              <w:numPr>
                <w:ilvl w:val="0"/>
                <w:numId w:val="0"/>
              </w:numPr>
              <w:tabs>
                <w:tab w:val="left" w:pos="360" w:leader="none"/>
                <w:tab w:val="left" w:pos="742" w:leader="none"/>
                <w:tab w:val="left" w:pos="1167" w:leader="none"/>
                <w:tab w:val="left" w:pos="1440" w:leader="none"/>
                <w:tab w:val="left" w:pos="2736" w:leader="none"/>
              </w:tabs>
              <w:spacing w:lineRule="auto" w:line="240" w:before="0" w:after="120"/>
              <w:ind w:left="0" w:hanging="0"/>
              <w:contextualSpacing/>
              <w:jc w:val="left"/>
              <w:rPr>
                <w:sz w:val="18"/>
                <w:szCs w:val="18"/>
                <w:lang w:eastAsia="ru-RU"/>
              </w:rPr>
            </w:pPr>
            <w:r>
              <w:rPr>
                <w:sz w:val="18"/>
                <w:szCs w:val="18"/>
                <w:lang w:eastAsia="ru-RU"/>
              </w:rPr>
            </w:r>
          </w:p>
          <w:p>
            <w:pPr>
              <w:pStyle w:val="2"/>
              <w:widowControl w:val="false"/>
              <w:numPr>
                <w:ilvl w:val="0"/>
                <w:numId w:val="0"/>
              </w:numPr>
              <w:tabs>
                <w:tab w:val="left" w:pos="360" w:leader="none"/>
                <w:tab w:val="left" w:pos="742" w:leader="none"/>
                <w:tab w:val="left" w:pos="1167" w:leader="none"/>
                <w:tab w:val="left" w:pos="1440" w:leader="none"/>
                <w:tab w:val="left" w:pos="2736" w:leader="none"/>
              </w:tabs>
              <w:spacing w:lineRule="auto" w:line="240" w:before="0" w:after="120"/>
              <w:ind w:left="0" w:hanging="0"/>
              <w:contextualSpacing/>
              <w:jc w:val="left"/>
              <w:rPr>
                <w:sz w:val="18"/>
                <w:szCs w:val="18"/>
                <w:lang w:eastAsia="ru-RU"/>
              </w:rPr>
            </w:pPr>
            <w:r>
              <w:rPr>
                <w:i/>
                <w:iCs/>
                <w:sz w:val="18"/>
                <w:szCs w:val="18"/>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pPr>
        <w:pStyle w:val="Style24"/>
        <w:rPr/>
      </w:pPr>
      <w:r>
        <w:rPr/>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p>
    <w:p>
      <w:pPr>
        <w:pStyle w:val="Style24"/>
        <w:rPr/>
      </w:pPr>
      <w:r>
        <w:rP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rPr/>
        <w:fldChar w:fldCharType="begin"/>
      </w:r>
      <w:r>
        <w:rPr/>
        <w:instrText xml:space="preserve"> REF _Ref130985951 \r \h </w:instrText>
      </w:r>
      <w:r>
        <w:rPr/>
        <w:fldChar w:fldCharType="separate"/>
      </w:r>
      <w:r>
        <w:rPr/>
        <w:t>4.13</w:t>
      </w:r>
      <w:r>
        <w:rPr/>
        <w:fldChar w:fldCharType="end"/>
      </w:r>
      <w:r>
        <w:rPr/>
        <w:t>.</w:t>
      </w:r>
    </w:p>
    <w:p>
      <w:pPr>
        <w:sectPr>
          <w:headerReference w:type="default" r:id="rId34"/>
          <w:headerReference w:type="first" r:id="rId35"/>
          <w:footerReference w:type="default" r:id="rId36"/>
          <w:footerReference w:type="first" r:id="rId37"/>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4"/>
        <w:rPr/>
      </w:pPr>
      <w:r>
        <w:rPr/>
        <w:t>Заявки участников (из числа успешно прошедших отборочную стадию) ранжируются по количеству набранных баллов (от наибольшего к наименьшему), присвоенных заявкам по результатам оценки.</w:t>
      </w:r>
    </w:p>
    <w:p>
      <w:pPr>
        <w:pStyle w:val="Style22"/>
        <w:rPr/>
      </w:pPr>
      <w:bookmarkStart w:id="395" w:name="_Toc186224336"/>
      <w:bookmarkStart w:id="396" w:name="Прил09_ОбоснованиеНМЦ"/>
      <w:bookmarkStart w:id="397" w:name="_Ref125360420"/>
      <w:bookmarkStart w:id="398" w:name="_Toc136261769"/>
      <w:bookmarkStart w:id="399" w:name="_Toc136261692"/>
      <w:bookmarkStart w:id="400" w:name="_Toc136249263"/>
      <w:bookmarkStart w:id="401" w:name="_Toc136249260"/>
      <w:bookmarkStart w:id="402" w:name="_Toc136261768"/>
      <w:bookmarkStart w:id="403" w:name="_Toc136261691"/>
      <w:bookmarkStart w:id="404" w:name="_Toc136249262"/>
      <w:bookmarkStart w:id="405" w:name="_Toc136261767"/>
      <w:bookmarkStart w:id="406" w:name="_Toc136261690"/>
      <w:bookmarkStart w:id="407" w:name="_Toc136249261"/>
      <w:bookmarkStart w:id="408" w:name="_Toc136261766"/>
      <w:bookmarkStart w:id="409" w:name="_Toc136261689"/>
      <w:bookmarkEnd w:id="398"/>
      <w:bookmarkEnd w:id="399"/>
      <w:bookmarkEnd w:id="400"/>
      <w:bookmarkEnd w:id="401"/>
      <w:bookmarkEnd w:id="402"/>
      <w:bookmarkEnd w:id="403"/>
      <w:bookmarkEnd w:id="404"/>
      <w:bookmarkEnd w:id="405"/>
      <w:bookmarkEnd w:id="406"/>
      <w:bookmarkEnd w:id="407"/>
      <w:bookmarkEnd w:id="408"/>
      <w:bookmarkEnd w:id="409"/>
      <w:r>
        <w:rPr/>
        <w:t>Приложение № 9 – Обоснование НМЦ</w:t>
      </w:r>
      <w:bookmarkEnd w:id="395"/>
      <w:bookmarkEnd w:id="396"/>
      <w:bookmarkEnd w:id="397"/>
    </w:p>
    <w:p>
      <w:pPr>
        <w:pStyle w:val="Style23"/>
        <w:rPr/>
      </w:pPr>
      <w:bookmarkStart w:id="410" w:name="_Toc186224337"/>
      <w:r>
        <w:rPr/>
        <w:t>Пояснения к Обоснованию НМЦ</w:t>
      </w:r>
      <w:bookmarkEnd w:id="410"/>
    </w:p>
    <w:p>
      <w:pPr>
        <w:pStyle w:val="Style24"/>
        <w:rPr/>
      </w:pPr>
      <w:r>
        <w:rP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pPr>
        <w:pStyle w:val="Style22"/>
        <w:rPr/>
      </w:pPr>
      <w:bookmarkStart w:id="411" w:name="_Toc186224338"/>
      <w:bookmarkStart w:id="412" w:name="Прил10_ЗаявкаНаАккредитацию"/>
      <w:bookmarkEnd w:id="412"/>
      <w:r>
        <w:rPr/>
        <w:t>Приложение № 10 – Форма Заявки на аккредитацию</w:t>
      </w:r>
      <w:bookmarkEnd w:id="411"/>
    </w:p>
    <w:p>
      <w:pPr>
        <w:pStyle w:val="Style23"/>
        <w:rPr/>
      </w:pPr>
      <w:bookmarkStart w:id="413" w:name="_Toc186224339"/>
      <w:r>
        <w:rPr/>
        <w:t>Пояснения к форме Заявки на аккредитацию</w:t>
      </w:r>
      <w:bookmarkEnd w:id="413"/>
    </w:p>
    <w:p>
      <w:pPr>
        <w:pStyle w:val="Style24"/>
        <w:rPr/>
      </w:pPr>
      <w:r>
        <w:rPr/>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pPr>
        <w:pStyle w:val="Style28"/>
        <w:jc w:val="center"/>
        <w:rPr/>
      </w:pPr>
      <w:r>
        <w:rPr/>
        <w:object>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78pt;height:50.25pt;mso-wrap-distance-right:0pt" filled="f" o:ole="">
            <v:imagedata r:id="rId39" o:title=""/>
          </v:shape>
          <o:OLEObject Type="Embed" ProgID="Excel.Sheet.12" ShapeID="ole_rId38" DrawAspect="Icon" ObjectID="_1327477412" r:id="rId38"/>
        </w:object>
      </w:r>
    </w:p>
    <w:sectPr>
      <w:headerReference w:type="default" r:id="rId40"/>
      <w:headerReference w:type="first" r:id="rId41"/>
      <w:footerReference w:type="default" r:id="rId42"/>
      <w:footerReference w:type="first" r:id="rId43"/>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 w:name="Wingdings 3">
    <w:charset w:val="02"/>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24985972"/>
    </w:sdtPr>
    <w:sdtContent>
      <w:p>
        <w:pPr>
          <w:pStyle w:val="Footer"/>
          <w:spacing w:before="120" w:after="0"/>
          <w:rPr/>
        </w:pPr>
        <w:r>
          <w:rPr/>
          <w:fldChar w:fldCharType="begin"/>
        </w:r>
        <w:r>
          <w:rPr/>
          <w:instrText xml:space="preserve"> PAGE </w:instrText>
        </w:r>
        <w:r>
          <w:rPr/>
          <w:fldChar w:fldCharType="separate"/>
        </w:r>
        <w:r>
          <w:rPr/>
          <w:t>12</w:t>
        </w:r>
        <w:r>
          <w:rPr/>
          <w:fldChar w:fldCharType="end"/>
        </w:r>
      </w:p>
    </w:sdtContent>
  </w:sdt>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38483864"/>
    </w:sdtPr>
    <w:sdtContent>
      <w:p>
        <w:pPr>
          <w:pStyle w:val="Footer"/>
          <w:spacing w:before="120" w:after="0"/>
          <w:rPr/>
        </w:pPr>
        <w:r>
          <w:rPr/>
          <w:fldChar w:fldCharType="begin"/>
        </w:r>
        <w:r>
          <w:rPr/>
          <w:instrText xml:space="preserve"> PAGE </w:instrText>
        </w:r>
        <w:r>
          <w:rPr/>
          <w:fldChar w:fldCharType="separate"/>
        </w:r>
        <w:r>
          <w:rPr/>
          <w:t>72</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51628556"/>
    </w:sdtPr>
    <w:sdtContent>
      <w:p>
        <w:pPr>
          <w:pStyle w:val="Footer"/>
          <w:spacing w:before="120" w:after="0"/>
          <w:rPr/>
        </w:pPr>
        <w:r>
          <w:rPr/>
          <w:fldChar w:fldCharType="begin"/>
        </w:r>
        <w:r>
          <w:rPr/>
          <w:instrText xml:space="preserve"> PAGE </w:instrText>
        </w:r>
        <w:r>
          <w:rPr/>
          <w:fldChar w:fldCharType="separate"/>
        </w:r>
        <w:r>
          <w:rPr/>
          <w:t>75</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23103907"/>
    </w:sdtPr>
    <w:sdtContent>
      <w:p>
        <w:pPr>
          <w:pStyle w:val="Footer"/>
          <w:spacing w:before="120" w:after="0"/>
          <w:rPr/>
        </w:pPr>
        <w:r>
          <w:rPr/>
          <w:fldChar w:fldCharType="begin"/>
        </w:r>
        <w:r>
          <w:rPr/>
          <w:instrText xml:space="preserve"> PAGE </w:instrText>
        </w:r>
        <w:r>
          <w:rPr/>
          <w:fldChar w:fldCharType="separate"/>
        </w:r>
        <w:r>
          <w:rPr/>
          <w:t>77</w:t>
        </w:r>
        <w:r>
          <w:rPr/>
          <w:fldChar w:fldCharType="end"/>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99299754"/>
    </w:sdtPr>
    <w:sdtContent>
      <w:p>
        <w:pPr>
          <w:pStyle w:val="Footer"/>
          <w:spacing w:before="120" w:after="0"/>
          <w:rPr/>
        </w:pPr>
        <w:r>
          <w:rPr/>
          <w:fldChar w:fldCharType="begin"/>
        </w:r>
        <w:r>
          <w:rPr/>
          <w:instrText xml:space="preserve"> PAGE </w:instrText>
        </w:r>
        <w:r>
          <w:rPr/>
          <w:fldChar w:fldCharType="separate"/>
        </w:r>
        <w:r>
          <w:rPr/>
          <w:t>24</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24922075"/>
    </w:sdtPr>
    <w:sdtContent>
      <w:p>
        <w:pPr>
          <w:pStyle w:val="Footer"/>
          <w:spacing w:before="120" w:after="0"/>
          <w:rPr/>
        </w:pPr>
        <w:r>
          <w:rPr/>
          <w:fldChar w:fldCharType="begin"/>
        </w:r>
        <w:r>
          <w:rPr/>
          <w:instrText xml:space="preserve"> PAGE </w:instrText>
        </w:r>
        <w:r>
          <w:rPr/>
          <w:fldChar w:fldCharType="separate"/>
        </w:r>
        <w:r>
          <w:rPr/>
          <w:t>52</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87186798"/>
    </w:sdtPr>
    <w:sdtContent>
      <w:p>
        <w:pPr>
          <w:pStyle w:val="Footer"/>
          <w:spacing w:before="120" w:after="0"/>
          <w:rPr/>
        </w:pPr>
        <w:r>
          <w:rPr/>
          <w:fldChar w:fldCharType="begin"/>
        </w:r>
        <w:r>
          <w:rPr/>
          <w:instrText xml:space="preserve"> PAGE </w:instrText>
        </w:r>
        <w:r>
          <w:rPr/>
          <w:fldChar w:fldCharType="separate"/>
        </w:r>
        <w:r>
          <w:rPr/>
          <w:t>59</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48462553"/>
    </w:sdtPr>
    <w:sdtContent>
      <w:p>
        <w:pPr>
          <w:pStyle w:val="Footer"/>
          <w:spacing w:before="120" w:after="0"/>
          <w:rPr/>
        </w:pPr>
        <w:r>
          <w:rPr/>
          <w:fldChar w:fldCharType="begin"/>
        </w:r>
        <w:r>
          <w:rPr/>
          <w:instrText xml:space="preserve"> PAGE </w:instrText>
        </w:r>
        <w:r>
          <w:rPr/>
          <w:fldChar w:fldCharType="separate"/>
        </w:r>
        <w:r>
          <w:rPr/>
          <w:t>65</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30"/>
        <w:spacing w:before="80" w:after="0"/>
        <w:ind w:left="567" w:hanging="567"/>
        <w:jc w:val="both"/>
        <w:rPr/>
      </w:pPr>
      <w:r>
        <w:rPr>
          <w:rStyle w:val="Style12"/>
        </w:rPr>
        <w:footnoteRef/>
      </w:r>
      <w:r>
        <w:rPr/>
        <w:tab/>
        <w:t>Информационной Системой ЭДО ПАО «РусГидро» является «Диадок», с оператором которой ЗАО «ПФ «СКБ» Контур» заключено Соглашение о переходе на юридически значимый документооборот.</w:t>
      </w:r>
    </w:p>
  </w:footnote>
  <w:footnote w:id="3">
    <w:p>
      <w:pPr>
        <w:pStyle w:val="Style30"/>
        <w:spacing w:before="80" w:after="0"/>
        <w:ind w:left="567" w:hanging="567"/>
        <w:jc w:val="both"/>
        <w:rPr/>
      </w:pPr>
      <w:r>
        <w:rPr>
          <w:rStyle w:val="Style12"/>
        </w:rPr>
        <w:footnoteRef/>
      </w:r>
      <w:r>
        <w:rPr/>
        <w:tab/>
        <w:t>Определенные в соответствии с Законом 422-ФЗ.</w:t>
      </w:r>
    </w:p>
  </w:footnote>
  <w:footnote w:id="4">
    <w:p>
      <w:pPr>
        <w:pStyle w:val="Style30"/>
        <w:spacing w:before="80" w:after="0"/>
        <w:ind w:left="567" w:hanging="567"/>
        <w:jc w:val="both"/>
        <w:rPr/>
      </w:pPr>
      <w:r>
        <w:rPr>
          <w:rStyle w:val="Style12"/>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5">
    <w:p>
      <w:pPr>
        <w:pStyle w:val="Style30"/>
        <w:spacing w:before="80" w:after="0"/>
        <w:ind w:left="567" w:hanging="567"/>
        <w:jc w:val="both"/>
        <w:rPr/>
      </w:pPr>
      <w:r>
        <w:rPr>
          <w:rStyle w:val="Style12"/>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4.12</w:t>
      </w:r>
      <w:r>
        <w:rPr/>
        <w:fldChar w:fldCharType="end"/>
      </w:r>
      <w:r>
        <w:rPr/>
        <w:t>), не допускается.</w:t>
      </w:r>
    </w:p>
  </w:footnote>
  <w:footnote w:id="6">
    <w:p>
      <w:pPr>
        <w:pStyle w:val="Style30"/>
        <w:spacing w:before="80" w:after="0"/>
        <w:ind w:left="567" w:hanging="567"/>
        <w:jc w:val="both"/>
        <w:rPr/>
      </w:pPr>
      <w:r>
        <w:rPr>
          <w:rStyle w:val="Style12"/>
        </w:rPr>
        <w:footnoteRef/>
      </w:r>
      <w:r>
        <w:rPr/>
        <w:tab/>
        <w:t>С учетом пункта </w:t>
      </w:r>
      <w:r>
        <w:rPr/>
        <w:fldChar w:fldCharType="begin"/>
      </w:r>
      <w:r>
        <w:rPr/>
        <w:instrText xml:space="preserve"> REF _Ref125365558 \w \h </w:instrText>
      </w:r>
      <w:r>
        <w:rPr/>
        <w:fldChar w:fldCharType="separate"/>
      </w:r>
      <w:r>
        <w:rPr/>
        <w:t>Ошибка: источник перекрёстной ссылки не найден</w:t>
      </w:r>
      <w:r>
        <w:rPr/>
        <w:fldChar w:fldCharType="end"/>
      </w:r>
      <w:r>
        <w:rPr/>
        <w:t>.</w:t>
      </w:r>
    </w:p>
  </w:footnote>
  <w:footnote w:id="7">
    <w:p>
      <w:pPr>
        <w:pStyle w:val="Style30"/>
        <w:spacing w:before="80" w:after="0"/>
        <w:ind w:left="567" w:hanging="567"/>
        <w:jc w:val="both"/>
        <w:rPr/>
      </w:pPr>
      <w:r>
        <w:rPr>
          <w:rStyle w:val="Style12"/>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8">
    <w:p>
      <w:pPr>
        <w:pStyle w:val="Style30"/>
        <w:spacing w:before="80" w:after="0"/>
        <w:ind w:left="567" w:hanging="567"/>
        <w:jc w:val="both"/>
        <w:rPr/>
      </w:pPr>
      <w:r>
        <w:rPr>
          <w:rStyle w:val="Style12"/>
        </w:rPr>
        <w:footnoteRef/>
      </w:r>
      <w:r>
        <w:rP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9">
    <w:p>
      <w:pPr>
        <w:pStyle w:val="Style30"/>
        <w:spacing w:before="80" w:after="0"/>
        <w:ind w:left="567" w:hanging="567"/>
        <w:jc w:val="both"/>
        <w:rPr/>
      </w:pPr>
      <w:r>
        <w:rPr>
          <w:rStyle w:val="Style12"/>
        </w:rPr>
        <w:footnoteRef/>
      </w:r>
      <w:r>
        <w:rP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10">
    <w:p>
      <w:pPr>
        <w:pStyle w:val="Style30"/>
        <w:spacing w:before="80" w:after="0"/>
        <w:ind w:left="567" w:hanging="567"/>
        <w:jc w:val="both"/>
        <w:rPr/>
      </w:pPr>
      <w:r>
        <w:rPr>
          <w:rStyle w:val="Style12"/>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1">
    <w:p>
      <w:pPr>
        <w:pStyle w:val="Style30"/>
        <w:spacing w:before="80" w:after="0"/>
        <w:ind w:left="567" w:hanging="567"/>
        <w:jc w:val="both"/>
        <w:rPr/>
      </w:pPr>
      <w:r>
        <w:rPr>
          <w:rStyle w:val="Style12"/>
        </w:rPr>
        <w:footnoteRef/>
      </w:r>
      <w:r>
        <w:rPr/>
        <w:tab/>
        <w:t>https://minfin.gov.ru/ru/perfomance/tax_relations/policy/bankwarranty/</w:t>
      </w:r>
    </w:p>
  </w:footnote>
  <w:footnote w:id="12">
    <w:p>
      <w:pPr>
        <w:pStyle w:val="Style30"/>
        <w:spacing w:before="80" w:after="0"/>
        <w:ind w:left="567" w:hanging="567"/>
        <w:jc w:val="both"/>
        <w:rPr/>
      </w:pPr>
      <w:r>
        <w:rPr>
          <w:rStyle w:val="Style12"/>
        </w:rPr>
        <w:footnoteRef/>
      </w:r>
      <w:r>
        <w:rPr/>
        <w:tab/>
        <w:t>Коллективный участник предоставляет указанные документы на каждого члена.</w:t>
      </w:r>
    </w:p>
  </w:footnote>
  <w:footnote w:id="13">
    <w:p>
      <w:pPr>
        <w:pStyle w:val="Style30"/>
        <w:spacing w:before="80" w:after="0"/>
        <w:ind w:left="567" w:hanging="567"/>
        <w:jc w:val="both"/>
        <w:rPr/>
      </w:pPr>
      <w:r>
        <w:rPr>
          <w:rStyle w:val="Style12"/>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4">
    <w:p>
      <w:pPr>
        <w:pStyle w:val="Style30"/>
        <w:spacing w:before="80" w:after="0"/>
        <w:ind w:left="567" w:hanging="567"/>
        <w:jc w:val="both"/>
        <w:rPr/>
      </w:pPr>
      <w:r>
        <w:rPr>
          <w:rStyle w:val="Style12"/>
        </w:rPr>
        <w:footnoteRef/>
      </w:r>
      <w:bookmarkStart w:id="414" w:name="_Hlk139028796_Копия_1_Копия_1_Копия_1_Ко"/>
      <w:r>
        <w:rP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bookmarkEnd w:id="414"/>
    </w:p>
  </w:footnote>
  <w:footnote w:id="15">
    <w:p>
      <w:pPr>
        <w:pStyle w:val="Style30"/>
        <w:spacing w:before="80" w:after="0"/>
        <w:ind w:left="567" w:hanging="567"/>
        <w:jc w:val="both"/>
        <w:rPr/>
      </w:pPr>
      <w:r>
        <w:rPr>
          <w:rStyle w:val="Style12"/>
        </w:rPr>
        <w:footnoteRef/>
      </w:r>
      <w:bookmarkStart w:id="415" w:name="_Hlk139028803_Копия_1_Копия_1_Копия_1_Ко"/>
      <w:bookmarkStart w:id="416" w:name="_Hlk139028804_Копия_1_Копия_1_Копия_1_Ко"/>
      <w:r>
        <w:rP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rPr/>
        <w:fldChar w:fldCharType="begin"/>
      </w:r>
      <w:r>
        <w:rPr/>
        <w:instrText xml:space="preserve"> REF _Ref138232981 \r \h </w:instrText>
      </w:r>
      <w:r>
        <w:rPr/>
        <w:fldChar w:fldCharType="separate"/>
      </w:r>
      <w:r>
        <w:rPr/>
        <w:t>5.2</w:t>
      </w:r>
      <w:r>
        <w:rPr/>
        <w:fldChar w:fldCharType="end"/>
      </w:r>
      <w:r>
        <w:rP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415"/>
      <w:bookmarkEnd w:id="416"/>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22"/>
      <w:numFmt w:val="decimal"/>
      <w:lvlText w:val="%1."/>
      <w:lvlJc w:val="left"/>
      <w:pPr>
        <w:tabs>
          <w:tab w:val="num" w:pos="1134"/>
        </w:tabs>
        <w:ind w:left="1134" w:hanging="1134"/>
      </w:pPr>
      <w:rPr/>
    </w:lvl>
    <w:lvl w:ilvl="1">
      <w:start w:val="1"/>
      <w:pStyle w:val="Style23"/>
      <w:numFmt w:val="decimal"/>
      <w:lvlText w:val="%1.%2"/>
      <w:lvlJc w:val="left"/>
      <w:pPr>
        <w:tabs>
          <w:tab w:val="num" w:pos="1134"/>
        </w:tabs>
        <w:ind w:left="1134" w:hanging="1134"/>
      </w:pPr>
      <w:rPr/>
    </w:lvl>
    <w:lvl w:ilvl="2">
      <w:start w:val="1"/>
      <w:pStyle w:val="Style24"/>
      <w:numFmt w:val="decimal"/>
      <w:lvlText w:val="%1.%2.%3"/>
      <w:lvlJc w:val="left"/>
      <w:pPr>
        <w:tabs>
          <w:tab w:val="num" w:pos="1134"/>
        </w:tabs>
        <w:ind w:left="1134" w:hanging="1134"/>
      </w:pPr>
      <w:rPr/>
    </w:lvl>
    <w:lvl w:ilvl="3">
      <w:start w:val="1"/>
      <w:pStyle w:val="Style25"/>
      <w:numFmt w:val="russianLower"/>
      <w:lvlText w:val="%4)"/>
      <w:lvlJc w:val="left"/>
      <w:pPr>
        <w:tabs>
          <w:tab w:val="num" w:pos="1701"/>
        </w:tabs>
        <w:ind w:left="1701" w:hanging="567"/>
      </w:pPr>
      <w:rPr/>
    </w:lvl>
    <w:lvl w:ilvl="4">
      <w:start w:val="1"/>
      <w:pStyle w:val="Style26"/>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5"/>
  </w:num>
  <w:num w:numId="19">
    <w:abstractNumId w:val="5"/>
  </w:num>
  <w:num w:numId="20">
    <w:abstractNumId w:val="5"/>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uiPriority="0" w:semiHidden="1" w:unhideWhenUsed="1"/>
    <w:lsdException w:name="annotation reference" w:locked="0" w:uiPriority="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qFormat/>
    <w:rsid w:val="00917933"/>
    <w:pPr>
      <w:widowControl/>
      <w:suppressAutoHyphens w:val="true"/>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Heading2">
    <w:name w:val="Heading 2"/>
    <w:basedOn w:val="Style20"/>
    <w:next w:val="BodyText"/>
    <w:qFormat/>
    <w:pPr>
      <w:spacing w:before="200" w:after="120"/>
    </w:pPr>
    <w:rPr>
      <w:b/>
      <w:bCs/>
      <w:sz w:val="32"/>
      <w:szCs w:val="32"/>
    </w:rPr>
  </w:style>
  <w:style w:type="character" w:styleId="DefaultParagraphFont" w:default="1">
    <w:name w:val="Default Paragraph Font"/>
    <w:uiPriority w:val="1"/>
    <w:semiHidden/>
    <w:unhideWhenUsed/>
    <w:qFormat/>
    <w:rPr/>
  </w:style>
  <w:style w:type="character" w:styleId="Style8" w:customStyle="1">
    <w:name w:val="Верхний колонтитул Знак"/>
    <w:basedOn w:val="DefaultParagraphFont"/>
    <w:uiPriority w:val="99"/>
    <w:qFormat/>
    <w:rsid w:val="00c95e18"/>
    <w:rPr/>
  </w:style>
  <w:style w:type="character" w:styleId="Style9" w:customStyle="1">
    <w:name w:val="Нижний колонтитул Знак"/>
    <w:basedOn w:val="DefaultParagraphFont"/>
    <w:uiPriority w:val="99"/>
    <w:qFormat/>
    <w:rsid w:val="008364e8"/>
    <w:rPr/>
  </w:style>
  <w:style w:type="character" w:styleId="Style10" w:customStyle="1">
    <w:name w:val="[РГ] Инструкция для организатора"/>
    <w:basedOn w:val="DefaultParagraphFont"/>
    <w:uiPriority w:val="1"/>
    <w:qFormat/>
    <w:rsid w:val="00277346"/>
    <w:rPr>
      <w:i/>
      <w:iCs/>
      <w:shd w:fill="FFFF99" w:val="clear"/>
      <w:lang w:val="ru-RU"/>
    </w:rPr>
  </w:style>
  <w:style w:type="character" w:styleId="Style11" w:customStyle="1">
    <w:name w:val="Текст сноски Знак"/>
    <w:basedOn w:val="DefaultParagraphFont"/>
    <w:uiPriority w:val="99"/>
    <w:semiHidden/>
    <w:qFormat/>
    <w:rsid w:val="006608d1"/>
    <w:rPr>
      <w:sz w:val="20"/>
      <w:szCs w:val="20"/>
    </w:rPr>
  </w:style>
  <w:style w:type="character" w:styleId="Style12">
    <w:name w:val="Символ сноски"/>
    <w:unhideWhenUsed/>
    <w:qFormat/>
    <w:rsid w:val="006608d1"/>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13" w:customStyle="1">
    <w:name w:val="[РГ] Отсылка"/>
    <w:basedOn w:val="DefaultParagraphFont"/>
    <w:uiPriority w:val="1"/>
    <w:qFormat/>
    <w:rsid w:val="00c558e6"/>
    <w:rPr>
      <w:color w:val="000000"/>
      <w:spacing w:val="0"/>
      <w:u w:val="dotted" w:color="4472C4"/>
      <w:shd w:fill="auto" w:val="clear"/>
      <w:lang w:val="ru-RU"/>
    </w:rPr>
  </w:style>
  <w:style w:type="character" w:styleId="Annotationreference">
    <w:name w:val="annotation reference"/>
    <w:basedOn w:val="DefaultParagraphFont"/>
    <w:unhideWhenUsed/>
    <w:qFormat/>
    <w:rsid w:val="007e365e"/>
    <w:rPr>
      <w:sz w:val="16"/>
      <w:szCs w:val="16"/>
    </w:rPr>
  </w:style>
  <w:style w:type="character" w:styleId="Style14" w:customStyle="1">
    <w:name w:val="Текст примечания Знак"/>
    <w:basedOn w:val="DefaultParagraphFont"/>
    <w:link w:val="Annotationtext"/>
    <w:uiPriority w:val="99"/>
    <w:qFormat/>
    <w:rsid w:val="007e365e"/>
    <w:rPr>
      <w:sz w:val="20"/>
      <w:szCs w:val="20"/>
    </w:rPr>
  </w:style>
  <w:style w:type="character" w:styleId="Style15" w:customStyle="1">
    <w:name w:val="Тема примечания Знак"/>
    <w:basedOn w:val="Style14"/>
    <w:link w:val="Annotationsubject"/>
    <w:uiPriority w:val="99"/>
    <w:semiHidden/>
    <w:qFormat/>
    <w:rsid w:val="007e365e"/>
    <w:rPr>
      <w:b/>
      <w:bCs/>
      <w:sz w:val="20"/>
      <w:szCs w:val="20"/>
    </w:rPr>
  </w:style>
  <w:style w:type="character" w:styleId="Style16"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6d25e1"/>
    <w:rPr>
      <w:color w:val="954F72" w:themeColor="followedHyperlink"/>
      <w:u w:val="single"/>
    </w:rPr>
  </w:style>
  <w:style w:type="character" w:styleId="Style17" w:customStyle="1">
    <w:name w:val="Текст выноски Знак"/>
    <w:basedOn w:val="DefaultParagraphFont"/>
    <w:link w:val="BalloonText"/>
    <w:uiPriority w:val="99"/>
    <w:semiHidden/>
    <w:qFormat/>
    <w:rsid w:val="0079507d"/>
    <w:rPr>
      <w:rFonts w:ascii="Segoe UI" w:hAnsi="Segoe UI" w:cs="Segoe UI"/>
      <w:sz w:val="18"/>
      <w:szCs w:val="18"/>
    </w:rPr>
  </w:style>
  <w:style w:type="character" w:styleId="Style18">
    <w:name w:val="Ссылка указателя"/>
    <w:qFormat/>
    <w:rPr/>
  </w:style>
  <w:style w:type="character" w:styleId="Emphasis">
    <w:name w:val="Emphasis"/>
    <w:qFormat/>
    <w:rPr>
      <w:i/>
      <w:iCs/>
    </w:rPr>
  </w:style>
  <w:style w:type="character" w:styleId="Style19">
    <w:name w:val="Символ концевой сноски"/>
    <w:qFormat/>
    <w:rPr>
      <w:vertAlign w:val="superscript"/>
    </w:rPr>
  </w:style>
  <w:style w:type="character" w:styleId="EndnoteReference">
    <w:name w:val="Endnote Reference"/>
    <w:rPr>
      <w:vertAlign w:val="superscript"/>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Style22" w:customStyle="1">
    <w:name w:val="[РГ] Раздел"/>
    <w:basedOn w:val="Normal"/>
    <w:next w:val="Style23"/>
    <w:qFormat/>
    <w:rsid w:val="00c95e18"/>
    <w:pPr>
      <w:keepNext w:val="true"/>
      <w:pageBreakBefore/>
      <w:numPr>
        <w:ilvl w:val="0"/>
        <w:numId w:val="1"/>
      </w:numPr>
      <w:spacing w:before="0" w:after="360"/>
      <w:jc w:val="both"/>
      <w:outlineLvl w:val="0"/>
    </w:pPr>
    <w:rPr>
      <w:b/>
      <w:bCs/>
      <w:caps/>
    </w:rPr>
  </w:style>
  <w:style w:type="paragraph" w:styleId="Style23" w:customStyle="1">
    <w:name w:val="[РГ] Подраздел"/>
    <w:basedOn w:val="Normal"/>
    <w:next w:val="Style24"/>
    <w:qFormat/>
    <w:rsid w:val="00891546"/>
    <w:pPr>
      <w:keepNext w:val="true"/>
      <w:numPr>
        <w:ilvl w:val="1"/>
        <w:numId w:val="1"/>
      </w:numPr>
      <w:spacing w:before="360" w:after="0"/>
      <w:jc w:val="both"/>
      <w:outlineLvl w:val="1"/>
    </w:pPr>
    <w:rPr>
      <w:b/>
      <w:bCs/>
    </w:rPr>
  </w:style>
  <w:style w:type="paragraph" w:styleId="Style24" w:customStyle="1">
    <w:name w:val="[РГ] Пункт"/>
    <w:basedOn w:val="Normal"/>
    <w:qFormat/>
    <w:rsid w:val="00891546"/>
    <w:pPr>
      <w:numPr>
        <w:ilvl w:val="2"/>
        <w:numId w:val="1"/>
      </w:numPr>
      <w:jc w:val="both"/>
      <w:outlineLvl w:val="2"/>
    </w:pPr>
    <w:rPr/>
  </w:style>
  <w:style w:type="paragraph" w:styleId="Style25" w:customStyle="1">
    <w:name w:val="[РГ] Подпункт"/>
    <w:basedOn w:val="Normal"/>
    <w:qFormat/>
    <w:rsid w:val="00891546"/>
    <w:pPr>
      <w:numPr>
        <w:ilvl w:val="3"/>
        <w:numId w:val="1"/>
      </w:numPr>
      <w:jc w:val="both"/>
      <w:outlineLvl w:val="3"/>
    </w:pPr>
    <w:rPr/>
  </w:style>
  <w:style w:type="paragraph" w:styleId="Style26" w:customStyle="1">
    <w:name w:val="[РГ] Перечисление"/>
    <w:basedOn w:val="Normal"/>
    <w:qFormat/>
    <w:rsid w:val="00891546"/>
    <w:pPr>
      <w:numPr>
        <w:ilvl w:val="4"/>
        <w:numId w:val="1"/>
      </w:numPr>
      <w:jc w:val="both"/>
      <w:outlineLvl w:val="4"/>
    </w:pPr>
    <w:rPr/>
  </w:style>
  <w:style w:type="paragraph" w:styleId="Style27" w:customStyle="1">
    <w:name w:val="[РГ] Заголовок"/>
    <w:basedOn w:val="Normal"/>
    <w:next w:val="Style28"/>
    <w:qFormat/>
    <w:rsid w:val="00f87384"/>
    <w:pPr>
      <w:keepNext w:val="true"/>
      <w:pageBreakBefore/>
      <w:spacing w:before="0" w:after="360"/>
      <w:jc w:val="both"/>
    </w:pPr>
    <w:rPr>
      <w:b/>
      <w:bCs/>
      <w:caps/>
    </w:rPr>
  </w:style>
  <w:style w:type="paragraph" w:styleId="Style28" w:customStyle="1">
    <w:name w:val="[РГ] Текст"/>
    <w:basedOn w:val="Normal"/>
    <w:qFormat/>
    <w:rsid w:val="00891546"/>
    <w:pPr>
      <w:jc w:val="both"/>
    </w:pPr>
    <w:rPr/>
  </w:style>
  <w:style w:type="paragraph" w:styleId="Style29">
    <w:name w:val="Колонтитул"/>
    <w:basedOn w:val="Normal"/>
    <w:qFormat/>
    <w:pPr/>
    <w:rPr/>
  </w:style>
  <w:style w:type="paragraph" w:styleId="Header">
    <w:name w:val="Header"/>
    <w:basedOn w:val="Normal"/>
    <w:link w:val="Style8"/>
    <w:uiPriority w:val="99"/>
    <w:unhideWhenUsed/>
    <w:rsid w:val="00c95e18"/>
    <w:pPr>
      <w:spacing w:before="0" w:after="120"/>
      <w:jc w:val="center"/>
    </w:pPr>
    <w:rPr/>
  </w:style>
  <w:style w:type="paragraph" w:styleId="Footer">
    <w:name w:val="Footer"/>
    <w:basedOn w:val="Normal"/>
    <w:link w:val="Style9"/>
    <w:uiPriority w:val="99"/>
    <w:unhideWhenUsed/>
    <w:rsid w:val="008364e8"/>
    <w:pPr>
      <w:jc w:val="right"/>
    </w:pPr>
    <w:rPr/>
  </w:style>
  <w:style w:type="paragraph" w:styleId="FootnoteText">
    <w:name w:val="Footnote Text"/>
    <w:basedOn w:val="Normal"/>
    <w:link w:val="Style11"/>
    <w:uiPriority w:val="99"/>
    <w:semiHidden/>
    <w:unhideWhenUsed/>
    <w:rsid w:val="006608d1"/>
    <w:pPr>
      <w:spacing w:before="0" w:after="0"/>
    </w:pPr>
    <w:rPr>
      <w:sz w:val="20"/>
      <w:szCs w:val="20"/>
    </w:rPr>
  </w:style>
  <w:style w:type="paragraph" w:styleId="Style30"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2c4b1b"/>
    <w:pPr>
      <w:tabs>
        <w:tab w:val="clear" w:pos="720"/>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20"/>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14"/>
    <w:uiPriority w:val="99"/>
    <w:unhideWhenUsed/>
    <w:qFormat/>
    <w:rsid w:val="007e365e"/>
    <w:pPr/>
    <w:rPr>
      <w:sz w:val="20"/>
      <w:szCs w:val="20"/>
    </w:rPr>
  </w:style>
  <w:style w:type="paragraph" w:styleId="Annotationsubject">
    <w:name w:val="annotation subject"/>
    <w:basedOn w:val="Annotationtext"/>
    <w:next w:val="Annotationtext"/>
    <w:link w:val="Style15"/>
    <w:uiPriority w:val="99"/>
    <w:semiHidden/>
    <w:unhideWhenUsed/>
    <w:qFormat/>
    <w:rsid w:val="007e365e"/>
    <w:pPr/>
    <w:rPr>
      <w:b/>
      <w:bCs/>
    </w:rPr>
  </w:style>
  <w:style w:type="paragraph" w:styleId="Style31" w:customStyle="1">
    <w:name w:val="[РГ] Альтернатива / Дополнение"/>
    <w:basedOn w:val="Style28"/>
    <w:next w:val="Style28"/>
    <w:qFormat/>
    <w:rsid w:val="00a932a1"/>
    <w:pPr/>
    <w:rPr>
      <w:i/>
      <w:shd w:fill="CCECFF" w:val="clear"/>
    </w:rPr>
  </w:style>
  <w:style w:type="paragraph" w:styleId="Revision">
    <w:name w:val="Revision"/>
    <w:uiPriority w:val="99"/>
    <w:semiHidden/>
    <w:qFormat/>
    <w:rsid w:val="00537a41"/>
    <w:pPr>
      <w:widowControl/>
      <w:suppressAutoHyphens w:val="true"/>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ListParagraph">
    <w:name w:val="List Paragraph"/>
    <w:basedOn w:val="Normal"/>
    <w:uiPriority w:val="34"/>
    <w:qFormat/>
    <w:rsid w:val="00bb1e37"/>
    <w:pPr>
      <w:spacing w:before="120" w:after="0"/>
      <w:ind w:left="720" w:hanging="0"/>
      <w:contextualSpacing/>
    </w:pPr>
    <w:rPr/>
  </w:style>
  <w:style w:type="paragraph" w:styleId="BalloonText">
    <w:name w:val="Balloon Text"/>
    <w:basedOn w:val="Normal"/>
    <w:link w:val="Style17"/>
    <w:uiPriority w:val="99"/>
    <w:semiHidden/>
    <w:unhideWhenUsed/>
    <w:qFormat/>
    <w:rsid w:val="0079507d"/>
    <w:pPr>
      <w:spacing w:before="0" w:after="0"/>
    </w:pPr>
    <w:rPr>
      <w:rFonts w:ascii="Segoe UI" w:hAnsi="Segoe UI" w:cs="Segoe UI"/>
      <w:sz w:val="18"/>
      <w:szCs w:val="18"/>
    </w:rPr>
  </w:style>
  <w:style w:type="paragraph" w:styleId="Tableheader">
    <w:name w:val="Table_header"/>
    <w:basedOn w:val="Normal"/>
    <w:qFormat/>
    <w:pPr/>
    <w:rPr>
      <w:b/>
      <w:sz w:val="20"/>
      <w:szCs w:val="24"/>
    </w:rPr>
  </w:style>
  <w:style w:type="paragraph" w:styleId="3">
    <w:name w:val="УРОВЕНЬ_Абзац_тип3"/>
    <w:basedOn w:val="ListParagraph"/>
    <w:qFormat/>
    <w:pPr>
      <w:tabs>
        <w:tab w:val="clear" w:pos="720"/>
        <w:tab w:val="left" w:pos="1440" w:leader="none"/>
        <w:tab w:val="left" w:pos="2880" w:leader="none"/>
      </w:tabs>
      <w:spacing w:lineRule="exact" w:line="360" w:before="120" w:after="0"/>
      <w:ind w:left="0" w:hanging="1440"/>
      <w:contextualSpacing w:val="false"/>
      <w:jc w:val="both"/>
    </w:pPr>
    <w:rPr>
      <w:rFonts w:cs="Times New Roman"/>
      <w:szCs w:val="28"/>
    </w:rPr>
  </w:style>
  <w:style w:type="paragraph" w:styleId="2">
    <w:name w:val="УРОВЕНЬ_Абзац_тип2"/>
    <w:basedOn w:val="ListParagraph"/>
    <w:qFormat/>
    <w:pPr>
      <w:tabs>
        <w:tab w:val="clear" w:pos="720"/>
        <w:tab w:val="left" w:pos="360" w:leader="none"/>
        <w:tab w:val="left" w:pos="1440" w:leader="none"/>
        <w:tab w:val="left" w:pos="2736" w:leader="none"/>
      </w:tabs>
      <w:spacing w:lineRule="exact" w:line="360" w:before="120" w:after="0"/>
      <w:ind w:left="1701" w:hanging="1440"/>
      <w:contextualSpacing w:val="false"/>
      <w:jc w:val="both"/>
    </w:pPr>
    <w:rPr>
      <w:rFonts w:cs="Times New Roman"/>
      <w:szCs w:val="28"/>
    </w:rPr>
  </w:style>
  <w:style w:type="paragraph" w:styleId="-">
    <w:name w:val="УРОВЕНЬ_-"/>
    <w:basedOn w:val="ListParagraph"/>
    <w:qFormat/>
    <w:pPr>
      <w:tabs>
        <w:tab w:val="clear" w:pos="720"/>
        <w:tab w:val="left" w:pos="360" w:leader="none"/>
        <w:tab w:val="left" w:pos="1077" w:leader="none"/>
        <w:tab w:val="left" w:pos="1576" w:leader="none"/>
      </w:tabs>
      <w:spacing w:lineRule="exact" w:line="360" w:before="120" w:after="0"/>
      <w:ind w:left="2268" w:hanging="567"/>
      <w:contextualSpacing w:val="false"/>
      <w:jc w:val="both"/>
      <w:outlineLvl w:val="4"/>
    </w:pPr>
    <w:rPr>
      <w:rFonts w:cs="Times New Roman"/>
      <w:szCs w:val="28"/>
    </w:rPr>
  </w:style>
  <w:style w:type="numbering" w:styleId="NoList" w:default="1">
    <w:name w:val="No List"/>
    <w:uiPriority w:val="99"/>
    <w:semiHidden/>
    <w:unhideWhenUsed/>
    <w:qFormat/>
  </w:style>
  <w:style w:type="table" w:default="1" w:styleId="a6">
    <w:name w:val="Normal Table"/>
    <w:uiPriority w:val="99"/>
    <w:semiHidden/>
    <w:unhideWhenUsed/>
    <w:tblPr>
      <w:tblCellMar>
        <w:top w:w="0" w:type="dxa"/>
        <w:left w:w="108" w:type="dxa"/>
        <w:bottom w:w="0" w:type="dxa"/>
        <w:right w:w="108" w:type="dxa"/>
      </w:tblCellMar>
    </w:tblPr>
  </w:style>
  <w:style w:type="table" w:customStyle="1" w:styleId="af5">
    <w:name w:val="[РГ] Таблица"/>
    <w:basedOn w:val="a6"/>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6">
    <w:name w:val="Table Grid"/>
    <w:basedOn w:val="a6"/>
    <w:uiPriority w:val="39"/>
    <w:rsid w:val="006173b0"/>
    <w:pPr>
      <w:spacing w:before="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OFFICE@RUSHYDRO.RU" TargetMode="External"/><Relationship Id="rId4" Type="http://schemas.openxmlformats.org/officeDocument/2006/relationships/hyperlink" Target="mailto:OsadchayaEM@rushydro.ru" TargetMode="External"/><Relationship Id="rId5" Type="http://schemas.openxmlformats.org/officeDocument/2006/relationships/hyperlink" Target="mailto:OsadchayaEM@rushydro.ru"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package" Target="embeddings/oleObject1.docx"/><Relationship Id="rId13" Type="http://schemas.openxmlformats.org/officeDocument/2006/relationships/image" Target="media/image2.wmf"/><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header" Target="header6.xml"/><Relationship Id="rId19" Type="http://schemas.openxmlformats.org/officeDocument/2006/relationships/header" Target="header7.xml"/><Relationship Id="rId20" Type="http://schemas.openxmlformats.org/officeDocument/2006/relationships/footer" Target="footer6.xml"/><Relationship Id="rId21" Type="http://schemas.openxmlformats.org/officeDocument/2006/relationships/footer" Target="footer7.xml"/><Relationship Id="rId22" Type="http://schemas.openxmlformats.org/officeDocument/2006/relationships/package" Target="embeddings/oleObject2.docx"/><Relationship Id="rId23" Type="http://schemas.openxmlformats.org/officeDocument/2006/relationships/image" Target="media/image3.wmf"/><Relationship Id="rId24" Type="http://schemas.openxmlformats.org/officeDocument/2006/relationships/package" Target="embeddings/oleObject3.docx"/><Relationship Id="rId25" Type="http://schemas.openxmlformats.org/officeDocument/2006/relationships/image" Target="media/image4.wmf"/><Relationship Id="rId26" Type="http://schemas.openxmlformats.org/officeDocument/2006/relationships/header" Target="header8.xml"/><Relationship Id="rId27" Type="http://schemas.openxmlformats.org/officeDocument/2006/relationships/header" Target="header9.xml"/><Relationship Id="rId28" Type="http://schemas.openxmlformats.org/officeDocument/2006/relationships/footer" Target="footer8.xml"/><Relationship Id="rId29" Type="http://schemas.openxmlformats.org/officeDocument/2006/relationships/footer" Target="footer9.xml"/><Relationship Id="rId30" Type="http://schemas.openxmlformats.org/officeDocument/2006/relationships/header" Target="header10.xml"/><Relationship Id="rId31" Type="http://schemas.openxmlformats.org/officeDocument/2006/relationships/header" Target="header11.xml"/><Relationship Id="rId32" Type="http://schemas.openxmlformats.org/officeDocument/2006/relationships/footer" Target="footer10.xml"/><Relationship Id="rId33" Type="http://schemas.openxmlformats.org/officeDocument/2006/relationships/footer" Target="footer11.xml"/><Relationship Id="rId34" Type="http://schemas.openxmlformats.org/officeDocument/2006/relationships/header" Target="header12.xml"/><Relationship Id="rId35" Type="http://schemas.openxmlformats.org/officeDocument/2006/relationships/header" Target="header13.xml"/><Relationship Id="rId36" Type="http://schemas.openxmlformats.org/officeDocument/2006/relationships/footer" Target="footer12.xml"/><Relationship Id="rId37" Type="http://schemas.openxmlformats.org/officeDocument/2006/relationships/footer" Target="footer13.xml"/><Relationship Id="rId38" Type="http://schemas.openxmlformats.org/officeDocument/2006/relationships/package" Target="embeddings/oleObject4.xlsx"/><Relationship Id="rId39" Type="http://schemas.openxmlformats.org/officeDocument/2006/relationships/image" Target="media/image5.wmf"/><Relationship Id="rId40" Type="http://schemas.openxmlformats.org/officeDocument/2006/relationships/header" Target="header14.xml"/><Relationship Id="rId41" Type="http://schemas.openxmlformats.org/officeDocument/2006/relationships/header" Target="header15.xml"/><Relationship Id="rId42" Type="http://schemas.openxmlformats.org/officeDocument/2006/relationships/footer" Target="footer14.xml"/><Relationship Id="rId43" Type="http://schemas.openxmlformats.org/officeDocument/2006/relationships/footer" Target="footer15.xml"/><Relationship Id="rId44" Type="http://schemas.openxmlformats.org/officeDocument/2006/relationships/footnotes" Target="footnotes.xml"/><Relationship Id="rId45" Type="http://schemas.openxmlformats.org/officeDocument/2006/relationships/numbering" Target="numbering.xml"/><Relationship Id="rId46" Type="http://schemas.openxmlformats.org/officeDocument/2006/relationships/fontTable" Target="fontTable.xml"/><Relationship Id="rId47" Type="http://schemas.openxmlformats.org/officeDocument/2006/relationships/settings" Target="settings.xml"/><Relationship Id="rId48" Type="http://schemas.openxmlformats.org/officeDocument/2006/relationships/theme" Target="theme/theme1.xml"/><Relationship Id="rId4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5EA78-67BE-4F9F-A3C1-C98635A4A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943</TotalTime>
  <Application>AlterOffice/2025.3.0.0$Linux_X86_64 LibreOffice_project/4ba31b6a4271509a884f95065d0a726e9cb2bdbb</Application>
  <AppVersion>15.0000</AppVersion>
  <Pages>77</Pages>
  <Words>18801</Words>
  <Characters>130479</Characters>
  <CharactersWithSpaces>147712</CharactersWithSpaces>
  <Paragraphs>1094</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2023-06-27T10:22:00Z</dcterms:created>
  <dc:creator>Владимир Щербаков</dc:creator>
  <dc:description/>
  <cp:keywords>Типовая форма</cp:keywords>
  <dc:language>ru-RU</dc:language>
  <cp:lastModifiedBy>osadchayaem@corp.gidroogk.com</cp:lastModifiedBy>
  <cp:lastPrinted>2026-01-15T13:47:29Z</cp:lastPrinted>
  <dcterms:modified xsi:type="dcterms:W3CDTF">2026-07-16T11:23:09Z</dcterms:modified>
  <cp:revision>190</cp:revision>
  <dc:subject>Альбом типовых форм</dc:subject>
  <dc:title>Документация о закупке</dc:title>
</cp:coreProperties>
</file>

<file path=docProps/custom.xml><?xml version="1.0" encoding="utf-8"?>
<Properties xmlns="http://schemas.openxmlformats.org/officeDocument/2006/custom-properties" xmlns:vt="http://schemas.openxmlformats.org/officeDocument/2006/docPropsVTypes"/>
</file>