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4.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header4.xml" ContentType="application/vnd.openxmlformats-officedocument.wordprocessingml.header+xml"/>
  <Override PartName="/customXml/_rels/item1.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itemProps3.xml" ContentType="application/vnd.openxmlformats-officedocument.customXmlProperties+xml"/>
  <Override PartName="/customXml/item3.xml" ContentType="application/xml"/>
  <Override PartName="/customXml/item4.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1.xml" ContentType="application/xml"/>
  <Override PartName="/customXml/item2.xml" ContentType="application/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202</w:t>
      </w:r>
      <w:r>
        <w:rPr>
          <w:bCs/>
          <w:sz w:val="24"/>
          <w:szCs w:val="24"/>
          <w:lang w:val="en-US"/>
        </w:rPr>
        <w:t>6</w:t>
      </w:r>
      <w:bookmarkStart w:id="0" w:name="_GoBack"/>
      <w:bookmarkEnd w:id="0"/>
      <w:r>
        <w:rPr>
          <w:bCs/>
          <w:sz w:val="24"/>
          <w:szCs w:val="24"/>
        </w:rPr>
        <w:t xml:space="preserve">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lang w:eastAsia="en-US"/>
        </w:rPr>
      </w:pPr>
      <w:r>
        <w:rPr>
          <w:sz w:val="24"/>
          <w:szCs w:val="24"/>
        </w:rPr>
        <w:t xml:space="preserve">совместно в дальнейшем именуемые «Стороны», а по отдельности – «Сторона», </w:t>
        <w:br/>
      </w:r>
      <w:r>
        <w:rPr>
          <w:sz w:val="24"/>
          <w:szCs w:val="24"/>
          <w:lang w:eastAsia="en-US"/>
        </w:rPr>
        <w:t>по результатам проведенного Покупателем состязательного отбора по лоту №35-ЭКСП-БПД-2026-БурГЭС 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b/>
          <w:sz w:val="24"/>
          <w:szCs w:val="24"/>
          <w:lang w:eastAsia="en-US"/>
        </w:rPr>
      </w:pPr>
      <w:r>
        <w:rPr>
          <w:b/>
          <w:sz w:val="24"/>
          <w:szCs w:val="24"/>
          <w:lang w:eastAsia="en-US"/>
        </w:rPr>
        <w:t>«Независимая гарантия»</w:t>
      </w:r>
      <w:r>
        <w:rPr>
          <w:sz w:val="24"/>
          <w:szCs w:val="24"/>
        </w:rPr>
        <w:t xml:space="preserve"> – гарантия, предоставляемая субъектами малого и среднего предпринимательства в обеспечение надлежащего исполнения Договоров, заключенных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5 Договора</w:t>
      </w:r>
      <w:r>
        <w:rPr>
          <w:b/>
          <w:sz w:val="24"/>
          <w:szCs w:val="24"/>
          <w:lang w:eastAsia="en-US"/>
        </w:rPr>
        <w:t xml:space="preserve"> </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sz w:val="24"/>
          <w:szCs w:val="24"/>
        </w:rPr>
        <w:t>Товарно-материальные ценности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 - «Бурейская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 676730 Амурская область, Бурейский М.О., п. Талакан, База флота, склад ТМЦ Бурейской ГЭС</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Общий срок поставки Товара:</w:t>
      </w:r>
    </w:p>
    <w:p>
      <w:pPr>
        <w:pStyle w:val="ListParagraph"/>
        <w:numPr>
          <w:ilvl w:val="2"/>
          <w:numId w:val="2"/>
        </w:numPr>
        <w:shd w:val="clear" w:color="auto" w:fill="FFFFFF"/>
        <w:tabs>
          <w:tab w:val="clear" w:pos="709"/>
          <w:tab w:val="left" w:pos="1134" w:leader="none"/>
          <w:tab w:val="left" w:pos="1418" w:leader="none"/>
        </w:tabs>
        <w:ind w:left="1639" w:hanging="930"/>
        <w:jc w:val="both"/>
        <w:rPr>
          <w:bCs/>
          <w:sz w:val="24"/>
          <w:szCs w:val="24"/>
        </w:rPr>
      </w:pPr>
      <w:r>
        <w:rPr>
          <w:bCs/>
          <w:sz w:val="24"/>
          <w:szCs w:val="24"/>
        </w:rPr>
        <w:t>Начало – день, следующий за днем подписания Сторонами договора.</w:t>
      </w:r>
    </w:p>
    <w:p>
      <w:pPr>
        <w:pStyle w:val="Normal"/>
        <w:numPr>
          <w:ilvl w:val="2"/>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Окончание – в течение 1</w:t>
      </w:r>
      <w:r>
        <w:rPr>
          <w:bCs/>
          <w:sz w:val="24"/>
          <w:szCs w:val="24"/>
        </w:rPr>
        <w:t>1</w:t>
      </w:r>
      <w:r>
        <w:rPr>
          <w:bCs/>
          <w:sz w:val="24"/>
          <w:szCs w:val="24"/>
        </w:rPr>
        <w:t xml:space="preserve">0 (Ста </w:t>
      </w:r>
      <w:r>
        <w:rPr>
          <w:bCs/>
          <w:sz w:val="24"/>
          <w:szCs w:val="24"/>
        </w:rPr>
        <w:t>деся</w:t>
      </w:r>
      <w:r>
        <w:rPr>
          <w:bCs/>
          <w:sz w:val="24"/>
          <w:szCs w:val="24"/>
        </w:rPr>
        <w:t>ти) календарных дней с даты подписания договора.</w:t>
      </w:r>
    </w:p>
    <w:p>
      <w:pPr>
        <w:pStyle w:val="Normal"/>
        <w:shd w:val="clear" w:color="auto" w:fill="FFFFFF"/>
        <w:tabs>
          <w:tab w:val="clear" w:pos="709"/>
          <w:tab w:val="left" w:pos="1134" w:leader="none"/>
          <w:tab w:val="left" w:pos="1851" w:leader="none"/>
        </w:tabs>
        <w:ind w:left="709" w:hanging="0"/>
        <w:jc w:val="both"/>
        <w:rPr>
          <w:bCs/>
          <w:sz w:val="24"/>
          <w:szCs w:val="24"/>
        </w:rPr>
      </w:pPr>
      <w:r>
        <w:rPr>
          <w:bCs/>
          <w:sz w:val="24"/>
          <w:szCs w:val="24"/>
        </w:rPr>
      </w:r>
    </w:p>
    <w:p>
      <w:pPr>
        <w:pStyle w:val="Normal"/>
        <w:numPr>
          <w:ilvl w:val="0"/>
          <w:numId w:val="2"/>
        </w:numPr>
        <w:shd w:val="clear" w:color="auto" w:fill="FFFFFF"/>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РФ.</w:t>
      </w:r>
    </w:p>
    <w:p>
      <w:pPr>
        <w:pStyle w:val="Normal"/>
        <w:numPr>
          <w:ilvl w:val="1"/>
          <w:numId w:val="2"/>
        </w:numPr>
        <w:shd w:val="clear" w:color="auto" w:fill="FFFFFF"/>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Независимую гарантию,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1418" w:leader="none"/>
        </w:tabs>
        <w:ind w:left="0" w:firstLine="709"/>
        <w:jc w:val="both"/>
        <w:rPr>
          <w:sz w:val="24"/>
          <w:szCs w:val="24"/>
        </w:rPr>
      </w:pPr>
      <w:r>
        <w:rPr>
          <w:sz w:val="24"/>
          <w:szCs w:val="24"/>
        </w:rPr>
        <w:t>Авансовый платеж в размере 30 (тридцати) процентов от стоимости Товара без учета НДС, кроме того НДС по ставке, установленной статьей 164 НК РФ на дату выплаты авансового платежа,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пунктов 2.4.1, 2.4.4 Договора.</w:t>
      </w:r>
    </w:p>
    <w:p>
      <w:pPr>
        <w:pStyle w:val="ListParagraph"/>
        <w:widowControl/>
        <w:numPr>
          <w:ilvl w:val="2"/>
          <w:numId w:val="2"/>
        </w:numPr>
        <w:shd w:val="clear" w:color="auto" w:fill="FFFFFF"/>
        <w:tabs>
          <w:tab w:val="clear" w:pos="709"/>
          <w:tab w:val="left" w:pos="1418" w:leader="none"/>
        </w:tabs>
        <w:ind w:left="0" w:firstLine="709"/>
        <w:jc w:val="both"/>
        <w:rPr>
          <w:sz w:val="24"/>
          <w:szCs w:val="24"/>
        </w:rPr>
      </w:pPr>
      <w:r>
        <w:rPr>
          <w:sz w:val="24"/>
          <w:szCs w:val="24"/>
        </w:rPr>
        <w:t>Окончательный платеж в размере 70 (семидесяти) процентов от стоимости Товара без учета НДС, кроме того НДС по ставке, установленной статьей 164 НК РФ на дату подписания Сторонами накладной ТОРГ-12 выплачивается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2.4.4 Договора.</w:t>
      </w:r>
    </w:p>
    <w:p>
      <w:pPr>
        <w:pStyle w:val="ListParagraph"/>
        <w:widowControl/>
        <w:numPr>
          <w:ilvl w:val="2"/>
          <w:numId w:val="2"/>
        </w:numPr>
        <w:shd w:val="clear" w:color="auto" w:fill="FFFFFF"/>
        <w:tabs>
          <w:tab w:val="clear" w:pos="709"/>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1"/>
      <w:r>
        <w:rPr>
          <w:bCs/>
          <w:sz w:val="24"/>
          <w:szCs w:val="24"/>
        </w:rPr>
        <w:t xml:space="preserve">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numPr>
          <w:ilvl w:val="0"/>
          <w:numId w:val="2"/>
        </w:numPr>
        <w:shd w:val="clear" w:color="auto" w:fill="FFFFFF"/>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bookmarkStart w:id="2" w:name="_Ref361408232"/>
      <w:r>
        <w:rPr>
          <w:sz w:val="24"/>
          <w:szCs w:val="24"/>
        </w:rPr>
        <w:t>сертификат качества в 1 экз.;</w:t>
      </w:r>
    </w:p>
    <w:p>
      <w:pPr>
        <w:pStyle w:val="Normal"/>
        <w:numPr>
          <w:ilvl w:val="0"/>
          <w:numId w:val="4"/>
        </w:numPr>
        <w:tabs>
          <w:tab w:val="clear" w:pos="709"/>
          <w:tab w:val="left" w:pos="1418" w:leader="none"/>
        </w:tabs>
        <w:ind w:left="0" w:firstLine="709"/>
        <w:jc w:val="both"/>
        <w:rPr>
          <w:sz w:val="24"/>
          <w:szCs w:val="24"/>
        </w:rPr>
      </w:pPr>
      <w:r>
        <w:rPr>
          <w:sz w:val="24"/>
          <w:szCs w:val="24"/>
        </w:rPr>
        <w:t>технический паспорт на русском языке в 1 экз.;</w:t>
      </w:r>
    </w:p>
    <w:p>
      <w:pPr>
        <w:pStyle w:val="Normal"/>
        <w:numPr>
          <w:ilvl w:val="0"/>
          <w:numId w:val="4"/>
        </w:numPr>
        <w:tabs>
          <w:tab w:val="clear" w:pos="709"/>
          <w:tab w:val="left" w:pos="1418" w:leader="none"/>
        </w:tabs>
        <w:ind w:left="0" w:firstLine="709"/>
        <w:jc w:val="both"/>
        <w:rPr>
          <w:sz w:val="24"/>
          <w:szCs w:val="24"/>
        </w:rPr>
      </w:pPr>
      <w:r>
        <w:rPr>
          <w:sz w:val="24"/>
          <w:szCs w:val="24"/>
        </w:rPr>
        <w:t>инструкция по эксплуатации на русском языке в 1 экз.;</w:t>
      </w:r>
    </w:p>
    <w:p>
      <w:pPr>
        <w:pStyle w:val="Normal"/>
        <w:numPr>
          <w:ilvl w:val="0"/>
          <w:numId w:val="4"/>
        </w:numPr>
        <w:tabs>
          <w:tab w:val="clear" w:pos="709"/>
          <w:tab w:val="left" w:pos="1418" w:leader="none"/>
        </w:tabs>
        <w:ind w:left="0" w:firstLine="709"/>
        <w:jc w:val="both"/>
        <w:rPr>
          <w:sz w:val="24"/>
          <w:szCs w:val="24"/>
        </w:rPr>
      </w:pPr>
      <w:r>
        <w:rPr>
          <w:sz w:val="24"/>
          <w:szCs w:val="24"/>
        </w:rPr>
        <w:t>упаковочный лист в 1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1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накладная ТОРГ-12 или УПД в 2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счет-фактура в 1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3"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3"/>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и разгрузка Товара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4" w:name="_Ref361396594"/>
      <w:r>
        <w:rPr>
          <w:sz w:val="24"/>
          <w:szCs w:val="24"/>
        </w:rPr>
        <w:t xml:space="preserve">Датой поставки Товара является дата подписания Сторонами накладной </w:t>
        <w:br/>
        <w:t>ТОРГ-12.</w:t>
      </w:r>
      <w:bookmarkEnd w:id="4"/>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tabs>
          <w:tab w:val="clear" w:pos="709"/>
          <w:tab w:val="left" w:pos="1418" w:leader="none"/>
        </w:tabs>
        <w:ind w:left="0" w:firstLine="709"/>
        <w:jc w:val="both"/>
        <w:rPr>
          <w:sz w:val="24"/>
          <w:szCs w:val="24"/>
        </w:rPr>
      </w:pPr>
      <w:bookmarkStart w:id="5"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5"/>
      <w:r>
        <w:rPr>
          <w:sz w:val="24"/>
          <w:szCs w:val="24"/>
        </w:rPr>
        <w:t xml:space="preserve"> </w:t>
      </w:r>
    </w:p>
    <w:p>
      <w:pPr>
        <w:pStyle w:val="ListParagraph"/>
        <w:widowControl/>
        <w:numPr>
          <w:ilvl w:val="1"/>
          <w:numId w:val="2"/>
        </w:numPr>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его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ind w:left="357" w:hanging="357"/>
        <w:jc w:val="center"/>
        <w:rPr>
          <w:b/>
          <w:sz w:val="24"/>
          <w:szCs w:val="24"/>
        </w:rPr>
      </w:pPr>
      <w:r>
        <w:rPr>
          <w:b/>
          <w:sz w:val="24"/>
          <w:szCs w:val="24"/>
        </w:rPr>
        <w:t>Гарантийный срок</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Гарантийный срок на Товар, поставленный по Договору, равен сроку, установленному заводом-изготовителем,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6" w:name="OLE_LINK6"/>
      <w:bookmarkStart w:id="7" w:name="OLE_LINK5"/>
      <w:r>
        <w:rPr>
          <w:sz w:val="24"/>
          <w:szCs w:val="24"/>
        </w:rPr>
        <w:t>Покупателем в соответствии с пунктом 4.3 Договора</w:t>
      </w:r>
      <w:bookmarkEnd w:id="6"/>
      <w:bookmarkEnd w:id="7"/>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Независимые гарантии</w:t>
      </w:r>
    </w:p>
    <w:p>
      <w:pPr>
        <w:pStyle w:val="ListParagraph"/>
        <w:numPr>
          <w:ilvl w:val="1"/>
          <w:numId w:val="2"/>
        </w:numPr>
        <w:ind w:left="0" w:firstLine="709"/>
        <w:jc w:val="both"/>
        <w:rPr>
          <w:sz w:val="24"/>
        </w:rPr>
      </w:pPr>
      <w:r>
        <w:rPr>
          <w:sz w:val="24"/>
        </w:rPr>
        <w:t>Независимая гарантия должна соответствовать следующим требованиям:</w:t>
      </w:r>
    </w:p>
    <w:p>
      <w:pPr>
        <w:pStyle w:val="ListParagraph"/>
        <w:widowControl/>
        <w:numPr>
          <w:ilvl w:val="0"/>
          <w:numId w:val="11"/>
        </w:numPr>
        <w:tabs>
          <w:tab w:val="clear" w:pos="709"/>
          <w:tab w:val="left" w:pos="1134" w:leader="none"/>
        </w:tabs>
        <w:ind w:left="0" w:firstLine="709"/>
        <w:jc w:val="both"/>
        <w:rPr>
          <w:sz w:val="24"/>
        </w:rPr>
      </w:pPr>
      <w:r>
        <w:rPr>
          <w:sz w:val="24"/>
        </w:rPr>
        <w:t>Независимая гарантия не может быть отозвана выдавшим ее гарантом;</w:t>
      </w:r>
    </w:p>
    <w:p>
      <w:pPr>
        <w:pStyle w:val="ListParagraph"/>
        <w:widowControl/>
        <w:numPr>
          <w:ilvl w:val="0"/>
          <w:numId w:val="11"/>
        </w:numPr>
        <w:tabs>
          <w:tab w:val="clear" w:pos="709"/>
          <w:tab w:val="left" w:pos="1134" w:leader="none"/>
        </w:tabs>
        <w:ind w:left="0" w:firstLine="709"/>
        <w:jc w:val="both"/>
        <w:rPr>
          <w:sz w:val="24"/>
        </w:rPr>
      </w:pPr>
      <w:r>
        <w:rPr>
          <w:sz w:val="24"/>
        </w:rPr>
        <w:t>бенефициар по Независимой гарантии – Покупатель, принципал – Поставщик;</w:t>
      </w:r>
    </w:p>
    <w:p>
      <w:pPr>
        <w:pStyle w:val="ListParagraph"/>
        <w:widowControl/>
        <w:numPr>
          <w:ilvl w:val="0"/>
          <w:numId w:val="11"/>
        </w:numPr>
        <w:tabs>
          <w:tab w:val="clear" w:pos="709"/>
          <w:tab w:val="left" w:pos="1134" w:leader="none"/>
        </w:tabs>
        <w:ind w:left="0" w:firstLine="709"/>
        <w:jc w:val="both"/>
        <w:rPr>
          <w:sz w:val="24"/>
        </w:rPr>
      </w:pPr>
      <w:r>
        <w:rPr>
          <w:sz w:val="24"/>
        </w:rPr>
        <w:t>сумма Независимой гарантии должна быть выражена в валюте расчетов по Договору;</w:t>
      </w:r>
    </w:p>
    <w:p>
      <w:pPr>
        <w:pStyle w:val="Normal"/>
        <w:widowControl/>
        <w:numPr>
          <w:ilvl w:val="0"/>
          <w:numId w:val="11"/>
        </w:numPr>
        <w:tabs>
          <w:tab w:val="clear" w:pos="709"/>
          <w:tab w:val="left" w:pos="1134" w:leader="none"/>
        </w:tabs>
        <w:spacing w:lineRule="auto" w:line="259"/>
        <w:ind w:left="0" w:firstLine="709"/>
        <w:jc w:val="both"/>
        <w:rPr>
          <w:sz w:val="24"/>
        </w:rPr>
      </w:pPr>
      <w:r>
        <w:rPr>
          <w:bCs/>
          <w:sz w:val="24"/>
          <w:szCs w:val="24"/>
        </w:rPr>
        <w:t>сумма Независимой гарантии – не менее 100 (ста)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(незачтенных) авансовых платежей;</w:t>
      </w:r>
    </w:p>
    <w:p>
      <w:pPr>
        <w:pStyle w:val="Normal"/>
        <w:widowControl/>
        <w:numPr>
          <w:ilvl w:val="0"/>
          <w:numId w:val="11"/>
        </w:numPr>
        <w:tabs>
          <w:tab w:val="clear" w:pos="709"/>
          <w:tab w:val="left" w:pos="1134" w:leader="none"/>
        </w:tabs>
        <w:spacing w:lineRule="auto" w:line="259"/>
        <w:ind w:left="0" w:firstLine="709"/>
        <w:jc w:val="both"/>
        <w:rPr>
          <w:bCs/>
          <w:sz w:val="24"/>
          <w:szCs w:val="24"/>
        </w:rPr>
      </w:pPr>
      <w:r>
        <w:rPr>
          <w:sz w:val="24"/>
        </w:rPr>
        <w:t xml:space="preserve">срок окончания Независимой гарантии – не ранее 70 (семидесяти) календарных дней после наступления даты </w:t>
      </w:r>
      <w:r>
        <w:rPr>
          <w:bCs/>
          <w:sz w:val="24"/>
          <w:szCs w:val="24"/>
        </w:rPr>
        <w:t>поставки Товара</w:t>
      </w:r>
      <w:r>
        <w:rPr>
          <w:sz w:val="24"/>
        </w:rPr>
        <w:t>.</w:t>
      </w:r>
    </w:p>
    <w:p>
      <w:pPr>
        <w:pStyle w:val="Normal"/>
        <w:ind w:firstLine="709"/>
        <w:jc w:val="both"/>
        <w:rPr>
          <w:bCs/>
          <w:sz w:val="24"/>
          <w:szCs w:val="24"/>
        </w:rPr>
      </w:pPr>
      <w:r>
        <w:rPr>
          <w:bCs/>
          <w:sz w:val="24"/>
          <w:szCs w:val="24"/>
        </w:rPr>
        <w:t>Сумма Независимой гарантии по согласованию с Покупателем может быть уменьшена пропорционально сумме выполненных Поставщиком обязательств по Договору / соответствующему этапу Договора при условии подтверждения их выполнения.</w:t>
      </w:r>
    </w:p>
    <w:p>
      <w:pPr>
        <w:pStyle w:val="Normal"/>
        <w:shd w:val="clear" w:color="auto" w:fill="FFFFFF"/>
        <w:tabs>
          <w:tab w:val="clear" w:pos="709"/>
          <w:tab w:val="left" w:pos="1419" w:leader="none"/>
        </w:tabs>
        <w:ind w:firstLine="709"/>
        <w:jc w:val="both"/>
        <w:rPr>
          <w:bCs/>
          <w:sz w:val="24"/>
          <w:szCs w:val="24"/>
        </w:rPr>
      </w:pPr>
      <w:r>
        <w:rPr>
          <w:bCs/>
          <w:sz w:val="24"/>
          <w:szCs w:val="24"/>
        </w:rPr>
        <w:t>В случае увеличения Цены Договора и, как следствие, суммы авансового платежа и/или продления срока выполнения Поставщиком обязательств, возникших из Договора или в связи с ним, Независимая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
        </w:numPr>
        <w:ind w:left="0" w:firstLine="709"/>
        <w:jc w:val="both"/>
        <w:rPr>
          <w:bCs/>
          <w:sz w:val="24"/>
          <w:szCs w:val="24"/>
        </w:rPr>
      </w:pPr>
      <w:r>
        <w:rPr>
          <w:bCs/>
          <w:sz w:val="24"/>
          <w:szCs w:val="24"/>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содержать следующие дополнительные требования:</w:t>
      </w:r>
    </w:p>
    <w:p>
      <w:pPr>
        <w:pStyle w:val="Normal"/>
        <w:ind w:firstLine="709"/>
        <w:jc w:val="both"/>
        <w:rPr>
          <w:bCs/>
          <w:sz w:val="24"/>
          <w:szCs w:val="24"/>
        </w:rPr>
      </w:pPr>
      <w:r>
        <w:rPr>
          <w:bCs/>
          <w:sz w:val="24"/>
          <w:szCs w:val="24"/>
        </w:rPr>
        <w:t>а) условие о праве бенефициара предъявлять до окончания срока действия Независимой гарантии в случае неисполнения или ненадлежащего исполнения Поставщиком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Поставщиком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pPr>
        <w:pStyle w:val="Normal"/>
        <w:shd w:val="clear" w:color="auto" w:fill="FFFFFF"/>
        <w:tabs>
          <w:tab w:val="clear" w:pos="709"/>
          <w:tab w:val="left" w:pos="1419" w:leader="none"/>
        </w:tabs>
        <w:ind w:firstLine="709"/>
        <w:jc w:val="both"/>
        <w:rPr>
          <w:bCs/>
          <w:sz w:val="24"/>
          <w:szCs w:val="24"/>
        </w:rPr>
      </w:pPr>
      <w:r>
        <w:rPr>
          <w:bCs/>
          <w:sz w:val="24"/>
          <w:szCs w:val="24"/>
        </w:rPr>
        <w:t>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pPr>
        <w:pStyle w:val="ListParagraph"/>
        <w:numPr>
          <w:ilvl w:val="1"/>
          <w:numId w:val="2"/>
        </w:numPr>
        <w:shd w:val="clear" w:color="auto" w:fill="FFFFFF"/>
        <w:ind w:left="0" w:firstLine="709"/>
        <w:jc w:val="both"/>
        <w:rPr>
          <w:b/>
          <w:sz w:val="24"/>
          <w:szCs w:val="24"/>
        </w:rPr>
      </w:pPr>
      <w:r>
        <w:rPr>
          <w:sz w:val="24"/>
          <w:szCs w:val="24"/>
        </w:rPr>
        <w:t>Выбор формы направления требования, указанного в подпунктах «а» и «б» пункта 5.2. Договора, осуществляется бенефициаром самостоятельно.</w:t>
      </w:r>
    </w:p>
    <w:p>
      <w:pPr>
        <w:pStyle w:val="ListParagraph"/>
        <w:numPr>
          <w:ilvl w:val="1"/>
          <w:numId w:val="2"/>
        </w:numPr>
        <w:ind w:left="0" w:firstLine="709"/>
        <w:jc w:val="both"/>
        <w:rPr>
          <w:bCs/>
          <w:sz w:val="24"/>
          <w:szCs w:val="24"/>
        </w:rPr>
      </w:pPr>
      <w:r>
        <w:rPr>
          <w:bCs/>
          <w:sz w:val="24"/>
          <w:szCs w:val="24"/>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pPr>
        <w:pStyle w:val="Normal"/>
        <w:widowControl/>
        <w:numPr>
          <w:ilvl w:val="0"/>
          <w:numId w:val="11"/>
        </w:numPr>
        <w:tabs>
          <w:tab w:val="clear" w:pos="709"/>
          <w:tab w:val="left" w:pos="1134" w:leader="none"/>
        </w:tabs>
        <w:spacing w:lineRule="auto" w:line="259"/>
        <w:ind w:left="0" w:firstLine="709"/>
        <w:jc w:val="both"/>
        <w:rPr>
          <w:bCs/>
          <w:sz w:val="24"/>
          <w:szCs w:val="24"/>
        </w:rPr>
      </w:pPr>
      <w:r>
        <w:rPr>
          <w:bCs/>
          <w:sz w:val="24"/>
          <w:szCs w:val="24"/>
        </w:rPr>
        <w:t>расчет суммы, включаемой в требование об уплате денежной суммы по Независимой гарантии;</w:t>
      </w:r>
    </w:p>
    <w:p>
      <w:pPr>
        <w:pStyle w:val="Normal"/>
        <w:widowControl/>
        <w:numPr>
          <w:ilvl w:val="0"/>
          <w:numId w:val="11"/>
        </w:numPr>
        <w:tabs>
          <w:tab w:val="clear" w:pos="709"/>
          <w:tab w:val="left" w:pos="1134" w:leader="none"/>
        </w:tabs>
        <w:spacing w:lineRule="auto" w:line="259"/>
        <w:ind w:left="0" w:firstLine="709"/>
        <w:jc w:val="both"/>
        <w:rPr>
          <w:bCs/>
          <w:sz w:val="24"/>
          <w:szCs w:val="24"/>
        </w:rPr>
      </w:pPr>
      <w:r>
        <w:rPr>
          <w:bCs/>
          <w:sz w:val="24"/>
          <w:szCs w:val="24"/>
        </w:rPr>
        <w:t>документ, содержащий указание на нарушения принципалом обязательств, предусмотренных Договором;</w:t>
      </w:r>
    </w:p>
    <w:p>
      <w:pPr>
        <w:pStyle w:val="ListParagraph"/>
        <w:numPr>
          <w:ilvl w:val="0"/>
          <w:numId w:val="15"/>
        </w:numPr>
        <w:ind w:left="0" w:firstLine="709"/>
        <w:jc w:val="both"/>
        <w:rPr>
          <w:bCs/>
          <w:sz w:val="24"/>
          <w:szCs w:val="24"/>
        </w:rPr>
      </w:pPr>
      <w:r>
        <w:rPr>
          <w:bCs/>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Normal"/>
        <w:shd w:val="clear" w:color="auto" w:fill="FFFFFF"/>
        <w:tabs>
          <w:tab w:val="clear" w:pos="709"/>
          <w:tab w:val="left" w:pos="1419" w:leader="none"/>
        </w:tabs>
        <w:ind w:firstLine="709"/>
        <w:jc w:val="both"/>
        <w:rPr>
          <w:b/>
          <w:sz w:val="24"/>
          <w:szCs w:val="24"/>
        </w:rPr>
      </w:pPr>
      <w:r>
        <w:rPr>
          <w:sz w:val="24"/>
          <w:szCs w:val="24"/>
        </w:rPr>
        <w:t>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pPr>
        <w:pStyle w:val="ListParagraph"/>
        <w:numPr>
          <w:ilvl w:val="1"/>
          <w:numId w:val="2"/>
        </w:numPr>
        <w:shd w:val="clear" w:color="auto" w:fill="FFFFFF"/>
        <w:ind w:left="0" w:firstLine="709"/>
        <w:jc w:val="both"/>
        <w:rPr>
          <w:b/>
          <w:sz w:val="24"/>
          <w:szCs w:val="24"/>
        </w:rPr>
      </w:pPr>
      <w:r>
        <w:rPr>
          <w:sz w:val="24"/>
          <w:szCs w:val="24"/>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pPr>
        <w:pStyle w:val="ListParagraph"/>
        <w:numPr>
          <w:ilvl w:val="1"/>
          <w:numId w:val="2"/>
        </w:numPr>
        <w:tabs>
          <w:tab w:val="clear" w:pos="709"/>
          <w:tab w:val="left" w:pos="1134" w:leader="none"/>
        </w:tabs>
        <w:ind w:left="0" w:firstLine="709"/>
        <w:jc w:val="both"/>
        <w:rPr>
          <w:bCs/>
          <w:sz w:val="24"/>
          <w:szCs w:val="24"/>
        </w:rPr>
      </w:pPr>
      <w:r>
        <w:rPr>
          <w:bCs/>
          <w:sz w:val="24"/>
          <w:szCs w:val="24"/>
        </w:rPr>
        <w:t>Требование об уплате денежной суммы по Независимой гарантии по Договору может содержать указание на существо допущенных Поставщиком нарушений, в том числе в следующих случаях (включая, но не ограничиваясь):</w:t>
      </w:r>
    </w:p>
    <w:p>
      <w:pPr>
        <w:pStyle w:val="ListParagraph"/>
        <w:widowControl/>
        <w:numPr>
          <w:ilvl w:val="0"/>
          <w:numId w:val="12"/>
        </w:numPr>
        <w:tabs>
          <w:tab w:val="clear" w:pos="709"/>
          <w:tab w:val="left" w:pos="1134" w:leader="none"/>
          <w:tab w:val="left" w:pos="1419"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ListParagraph"/>
        <w:widowControl/>
        <w:numPr>
          <w:ilvl w:val="0"/>
          <w:numId w:val="12"/>
        </w:numPr>
        <w:tabs>
          <w:tab w:val="clear" w:pos="709"/>
          <w:tab w:val="left" w:pos="1134" w:leader="none"/>
          <w:tab w:val="left" w:pos="1419"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ListParagraph"/>
        <w:widowControl/>
        <w:numPr>
          <w:ilvl w:val="0"/>
          <w:numId w:val="12"/>
        </w:numPr>
        <w:tabs>
          <w:tab w:val="clear" w:pos="709"/>
          <w:tab w:val="left" w:pos="1134" w:leader="none"/>
          <w:tab w:val="left" w:pos="1419" w:leader="none"/>
        </w:tabs>
        <w:ind w:left="0" w:firstLine="709"/>
        <w:jc w:val="both"/>
        <w:rPr>
          <w:bCs/>
          <w:sz w:val="24"/>
          <w:szCs w:val="24"/>
        </w:rPr>
      </w:pPr>
      <w:r>
        <w:rPr>
          <w:bCs/>
          <w:sz w:val="24"/>
          <w:szCs w:val="24"/>
        </w:rPr>
        <w:t>нарушения Поставщиком сроков поставки Товара более, чем на 60 (шестьдесят) календарных дней;</w:t>
      </w:r>
    </w:p>
    <w:p>
      <w:pPr>
        <w:pStyle w:val="ListParagraph"/>
        <w:widowControl/>
        <w:numPr>
          <w:ilvl w:val="0"/>
          <w:numId w:val="12"/>
        </w:numPr>
        <w:tabs>
          <w:tab w:val="clear" w:pos="709"/>
          <w:tab w:val="left" w:pos="1134" w:leader="none"/>
          <w:tab w:val="left" w:pos="1419" w:leader="none"/>
        </w:tabs>
        <w:ind w:left="0" w:firstLine="709"/>
        <w:jc w:val="both"/>
        <w:rPr>
          <w:bCs/>
          <w:sz w:val="24"/>
          <w:szCs w:val="24"/>
        </w:rPr>
      </w:pPr>
      <w:r>
        <w:rPr>
          <w:bCs/>
          <w:sz w:val="24"/>
          <w:szCs w:val="24"/>
        </w:rPr>
        <w:t>утраты Поставщиком специальных разрешений (в том числе отзыв, прекращение (приостановление) действие допусков, разрешений) и / или лицензий, предоставляющих Поставщику возможность надлежащего исполнения обязательств по Договору;</w:t>
      </w:r>
    </w:p>
    <w:p>
      <w:pPr>
        <w:pStyle w:val="ListParagraph"/>
        <w:widowControl/>
        <w:numPr>
          <w:ilvl w:val="0"/>
          <w:numId w:val="12"/>
        </w:numPr>
        <w:tabs>
          <w:tab w:val="clear" w:pos="709"/>
          <w:tab w:val="left" w:pos="1134" w:leader="none"/>
          <w:tab w:val="left" w:pos="1419" w:leader="none"/>
        </w:tabs>
        <w:ind w:left="0" w:firstLine="709"/>
        <w:jc w:val="both"/>
        <w:rPr>
          <w:bCs/>
          <w:sz w:val="24"/>
          <w:szCs w:val="24"/>
        </w:rPr>
      </w:pPr>
      <w:r>
        <w:rPr>
          <w:bCs/>
          <w:sz w:val="24"/>
          <w:szCs w:val="24"/>
        </w:rPr>
        <w:t>введения арбитражным судом процедуры несостоятельности (банкротства) в отношении Поставщика;</w:t>
      </w:r>
    </w:p>
    <w:p>
      <w:pPr>
        <w:pStyle w:val="ListParagraph"/>
        <w:widowControl/>
        <w:numPr>
          <w:ilvl w:val="0"/>
          <w:numId w:val="12"/>
        </w:numPr>
        <w:tabs>
          <w:tab w:val="clear" w:pos="709"/>
          <w:tab w:val="left" w:pos="1134" w:leader="none"/>
          <w:tab w:val="left" w:pos="1419" w:leader="none"/>
        </w:tabs>
        <w:ind w:left="0" w:firstLine="709"/>
        <w:jc w:val="both"/>
        <w:rPr>
          <w:bCs/>
          <w:sz w:val="24"/>
          <w:szCs w:val="24"/>
        </w:rPr>
      </w:pPr>
      <w:r>
        <w:rPr>
          <w:bCs/>
          <w:sz w:val="24"/>
          <w:szCs w:val="24"/>
        </w:rPr>
        <w:t>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Договоре, и имеющих существенное значение для его заключения и исполнения;</w:t>
      </w:r>
    </w:p>
    <w:p>
      <w:pPr>
        <w:pStyle w:val="ListParagraph"/>
        <w:widowControl/>
        <w:numPr>
          <w:ilvl w:val="0"/>
          <w:numId w:val="12"/>
        </w:numPr>
        <w:tabs>
          <w:tab w:val="clear" w:pos="709"/>
          <w:tab w:val="left" w:pos="1134" w:leader="none"/>
          <w:tab w:val="left" w:pos="1419" w:leader="none"/>
        </w:tabs>
        <w:ind w:left="0" w:firstLine="709"/>
        <w:jc w:val="both"/>
        <w:rPr>
          <w:bCs/>
          <w:sz w:val="24"/>
          <w:szCs w:val="24"/>
        </w:rPr>
      </w:pPr>
      <w:r>
        <w:rPr>
          <w:bCs/>
          <w:sz w:val="24"/>
          <w:szCs w:val="24"/>
        </w:rPr>
        <w:t>признания Договора недействительным по причинам отсутствия необходимых корпоративных одобрений у Поставщика;</w:t>
      </w:r>
    </w:p>
    <w:p>
      <w:pPr>
        <w:pStyle w:val="ListParagraph"/>
        <w:numPr>
          <w:ilvl w:val="0"/>
          <w:numId w:val="12"/>
        </w:numPr>
        <w:shd w:val="clear" w:color="auto" w:fill="FFFFFF"/>
        <w:tabs>
          <w:tab w:val="clear" w:pos="709"/>
          <w:tab w:val="left" w:pos="1419" w:leader="none"/>
        </w:tabs>
        <w:ind w:left="0" w:firstLine="709"/>
        <w:jc w:val="both"/>
        <w:rPr>
          <w:b/>
          <w:sz w:val="24"/>
          <w:szCs w:val="24"/>
        </w:rPr>
      </w:pPr>
      <w:r>
        <w:rPr>
          <w:bCs/>
          <w:sz w:val="24"/>
          <w:szCs w:val="24"/>
        </w:rPr>
        <w:t>непредоставления Поставщиком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Независимой гарантии в части увеличения срока ее действия на новый период в случаях, если срок исполнения обязательств Поставщика по Договору превышает срок действия Независимой гарантии либо срок исполнения обязательств продлен.</w:t>
      </w:r>
    </w:p>
    <w:p>
      <w:pPr>
        <w:pStyle w:val="ListParagraph"/>
        <w:numPr>
          <w:ilvl w:val="1"/>
          <w:numId w:val="2"/>
        </w:numPr>
        <w:shd w:val="clear" w:color="auto" w:fill="FFFFFF"/>
        <w:ind w:left="0" w:firstLine="709"/>
        <w:jc w:val="both"/>
        <w:rPr>
          <w:b/>
          <w:sz w:val="24"/>
          <w:szCs w:val="24"/>
        </w:rPr>
      </w:pPr>
      <w:r>
        <w:rPr>
          <w:bCs/>
          <w:sz w:val="24"/>
          <w:szCs w:val="24"/>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pPr>
        <w:pStyle w:val="ListParagraph"/>
        <w:numPr>
          <w:ilvl w:val="1"/>
          <w:numId w:val="2"/>
        </w:numPr>
        <w:shd w:val="clear" w:color="auto" w:fill="FFFFFF"/>
        <w:ind w:left="0" w:firstLine="709"/>
        <w:jc w:val="both"/>
        <w:rPr>
          <w:b/>
          <w:sz w:val="24"/>
          <w:szCs w:val="24"/>
        </w:rPr>
      </w:pPr>
      <w:r>
        <w:rPr>
          <w:sz w:val="24"/>
          <w:szCs w:val="24"/>
        </w:rPr>
        <w:t>Текст Независимой гарантии должен содержать перечень Документов к требованию.</w:t>
      </w:r>
    </w:p>
    <w:p>
      <w:pPr>
        <w:pStyle w:val="ListParagraph"/>
        <w:numPr>
          <w:ilvl w:val="1"/>
          <w:numId w:val="2"/>
        </w:numPr>
        <w:shd w:val="clear" w:color="auto" w:fill="FFFFFF"/>
        <w:ind w:left="0" w:firstLine="709"/>
        <w:jc w:val="both"/>
        <w:rPr>
          <w:b/>
          <w:sz w:val="24"/>
          <w:szCs w:val="24"/>
        </w:rPr>
      </w:pPr>
      <w:r>
        <w:rPr>
          <w:sz w:val="24"/>
          <w:szCs w:val="24"/>
        </w:rPr>
        <w:t>Текст Независимой гарантии должен содержать следующие условия:</w:t>
      </w:r>
    </w:p>
    <w:p>
      <w:pPr>
        <w:pStyle w:val="ListParagraph"/>
        <w:numPr>
          <w:ilvl w:val="2"/>
          <w:numId w:val="2"/>
        </w:numPr>
        <w:shd w:val="clear" w:color="auto" w:fill="FFFFFF"/>
        <w:ind w:left="0" w:firstLine="709"/>
        <w:jc w:val="both"/>
        <w:rPr>
          <w:b/>
          <w:sz w:val="24"/>
          <w:szCs w:val="24"/>
        </w:rPr>
      </w:pPr>
      <w:r>
        <w:rPr>
          <w:sz w:val="24"/>
          <w:szCs w:val="24"/>
        </w:rPr>
        <w:t>Гарант обязан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pPr>
        <w:pStyle w:val="ListParagraph"/>
        <w:numPr>
          <w:ilvl w:val="2"/>
          <w:numId w:val="2"/>
        </w:numPr>
        <w:shd w:val="clear" w:color="auto" w:fill="FFFFFF"/>
        <w:ind w:left="0" w:firstLine="709"/>
        <w:jc w:val="both"/>
        <w:rPr>
          <w:b/>
          <w:sz w:val="24"/>
          <w:szCs w:val="24"/>
        </w:rPr>
      </w:pPr>
      <w:r>
        <w:rPr>
          <w:sz w:val="24"/>
          <w:szCs w:val="24"/>
        </w:rPr>
        <w:t>Бенефициар вправе передавать право требования по Независимой гарантии в случае перемены Покупателя по Договору при осуществлении закупки с предварительным извещением об этом гаранта.</w:t>
      </w:r>
    </w:p>
    <w:p>
      <w:pPr>
        <w:pStyle w:val="ListParagraph"/>
        <w:numPr>
          <w:ilvl w:val="2"/>
          <w:numId w:val="2"/>
        </w:numPr>
        <w:shd w:val="clear" w:color="auto" w:fill="FFFFFF"/>
        <w:ind w:left="0" w:firstLine="709"/>
        <w:jc w:val="both"/>
        <w:rPr>
          <w:b/>
          <w:sz w:val="24"/>
          <w:szCs w:val="24"/>
        </w:rPr>
      </w:pPr>
      <w:r>
        <w:rPr>
          <w:sz w:val="24"/>
          <w:szCs w:val="24"/>
        </w:rPr>
        <w:t>Расходы, возникающие в связи с перечислением гарантом денежных средств по Независимой гарантии, несет гарант.</w:t>
      </w:r>
    </w:p>
    <w:p>
      <w:pPr>
        <w:pStyle w:val="ListParagraph"/>
        <w:numPr>
          <w:ilvl w:val="2"/>
          <w:numId w:val="2"/>
        </w:numPr>
        <w:shd w:val="clear" w:color="auto" w:fill="FFFFFF"/>
        <w:ind w:left="0" w:firstLine="709"/>
        <w:jc w:val="both"/>
        <w:rPr>
          <w:b/>
          <w:sz w:val="24"/>
          <w:szCs w:val="24"/>
        </w:rPr>
      </w:pPr>
      <w:r>
        <w:rPr>
          <w:sz w:val="24"/>
          <w:szCs w:val="24"/>
        </w:rPr>
        <w:t>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pPr>
        <w:pStyle w:val="ListParagraph"/>
        <w:numPr>
          <w:ilvl w:val="2"/>
          <w:numId w:val="2"/>
        </w:numPr>
        <w:shd w:val="clear" w:color="auto" w:fill="FFFFFF"/>
        <w:ind w:left="0" w:firstLine="709"/>
        <w:jc w:val="both"/>
        <w:rPr>
          <w:b/>
          <w:sz w:val="24"/>
          <w:szCs w:val="24"/>
        </w:rPr>
      </w:pPr>
      <w:r>
        <w:rPr>
          <w:sz w:val="24"/>
          <w:szCs w:val="24"/>
        </w:rPr>
        <w:t>Споры, возникающие в связи с исполнением обязательств по Независимой гарантии, в Арбитражном суде г. Москвы.</w:t>
      </w:r>
    </w:p>
    <w:p>
      <w:pPr>
        <w:pStyle w:val="ListParagraph"/>
        <w:numPr>
          <w:ilvl w:val="2"/>
          <w:numId w:val="2"/>
        </w:numPr>
        <w:shd w:val="clear" w:color="auto" w:fill="FFFFFF"/>
        <w:ind w:left="0" w:firstLine="709"/>
        <w:jc w:val="both"/>
        <w:rPr>
          <w:b/>
          <w:sz w:val="24"/>
          <w:szCs w:val="24"/>
        </w:rPr>
      </w:pPr>
      <w:r>
        <w:rPr>
          <w:sz w:val="24"/>
          <w:szCs w:val="24"/>
        </w:rPr>
        <w:t>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pPr>
        <w:pStyle w:val="ListParagraph"/>
        <w:numPr>
          <w:ilvl w:val="2"/>
          <w:numId w:val="2"/>
        </w:numPr>
        <w:shd w:val="clear" w:color="auto" w:fill="FFFFFF"/>
        <w:ind w:left="0" w:firstLine="709"/>
        <w:jc w:val="both"/>
        <w:rPr>
          <w:b/>
          <w:sz w:val="24"/>
          <w:szCs w:val="24"/>
        </w:rPr>
      </w:pPr>
      <w:r>
        <w:rPr>
          <w:sz w:val="24"/>
          <w:szCs w:val="24"/>
        </w:rPr>
        <w:t>Гарант обязан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ListParagraph"/>
        <w:numPr>
          <w:ilvl w:val="1"/>
          <w:numId w:val="2"/>
        </w:numPr>
        <w:ind w:left="0" w:firstLine="709"/>
        <w:jc w:val="both"/>
        <w:rPr>
          <w:bCs/>
          <w:sz w:val="24"/>
          <w:szCs w:val="24"/>
        </w:rPr>
      </w:pPr>
      <w:r>
        <w:rPr>
          <w:bCs/>
          <w:sz w:val="24"/>
          <w:szCs w:val="24"/>
        </w:rPr>
        <w:t>Независимая гарантия не должна содержать условия:</w:t>
      </w:r>
    </w:p>
    <w:p>
      <w:pPr>
        <w:pStyle w:val="ListParagraph"/>
        <w:widowControl/>
        <w:numPr>
          <w:ilvl w:val="0"/>
          <w:numId w:val="13"/>
        </w:numPr>
        <w:ind w:left="0" w:firstLine="709"/>
        <w:jc w:val="both"/>
        <w:rPr>
          <w:bCs/>
          <w:sz w:val="24"/>
          <w:szCs w:val="24"/>
        </w:rPr>
      </w:pPr>
      <w:r>
        <w:rPr>
          <w:bCs/>
          <w:sz w:val="24"/>
          <w:szCs w:val="24"/>
        </w:rPr>
        <w:t>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pPr>
        <w:pStyle w:val="ListParagraph"/>
        <w:widowControl/>
        <w:numPr>
          <w:ilvl w:val="0"/>
          <w:numId w:val="13"/>
        </w:numPr>
        <w:ind w:left="0" w:firstLine="709"/>
        <w:jc w:val="both"/>
        <w:rPr>
          <w:bCs/>
          <w:sz w:val="24"/>
          <w:szCs w:val="24"/>
        </w:rPr>
      </w:pPr>
      <w:r>
        <w:rPr>
          <w:bCs/>
          <w:sz w:val="24"/>
          <w:szCs w:val="24"/>
        </w:rPr>
        <w:t>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Поставщиком условий Договора или о расторжении Договора;</w:t>
      </w:r>
    </w:p>
    <w:p>
      <w:pPr>
        <w:pStyle w:val="ListParagraph"/>
        <w:widowControl/>
        <w:numPr>
          <w:ilvl w:val="0"/>
          <w:numId w:val="13"/>
        </w:numPr>
        <w:ind w:left="0" w:firstLine="709"/>
        <w:jc w:val="both"/>
        <w:rPr>
          <w:bCs/>
          <w:sz w:val="24"/>
          <w:szCs w:val="24"/>
        </w:rPr>
      </w:pPr>
      <w:r>
        <w:rPr>
          <w:bCs/>
          <w:sz w:val="24"/>
          <w:szCs w:val="24"/>
        </w:rPr>
        <w:t>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ListParagraph"/>
        <w:numPr>
          <w:ilvl w:val="0"/>
          <w:numId w:val="13"/>
        </w:numPr>
        <w:shd w:val="clear" w:color="auto" w:fill="FFFFFF"/>
        <w:ind w:left="0" w:firstLine="709"/>
        <w:jc w:val="both"/>
        <w:rPr>
          <w:b/>
          <w:sz w:val="24"/>
          <w:szCs w:val="24"/>
        </w:rPr>
      </w:pPr>
      <w:r>
        <w:rPr>
          <w:bCs/>
          <w:sz w:val="24"/>
          <w:szCs w:val="24"/>
        </w:rPr>
        <w:t>о предоставлении бенефициаром гаранту судебных актов, подтверждающих неисполнение Поставщиком обязательств, обеспечиваемых Независимой гарантией.</w:t>
      </w:r>
    </w:p>
    <w:p>
      <w:pPr>
        <w:pStyle w:val="ListParagraph"/>
        <w:numPr>
          <w:ilvl w:val="1"/>
          <w:numId w:val="2"/>
        </w:numPr>
        <w:shd w:val="clear" w:color="auto" w:fill="FFFFFF"/>
        <w:ind w:left="0" w:firstLine="709"/>
        <w:jc w:val="both"/>
        <w:rPr>
          <w:b/>
          <w:sz w:val="24"/>
          <w:szCs w:val="24"/>
        </w:rPr>
      </w:pPr>
      <w:r>
        <w:rPr>
          <w:sz w:val="24"/>
          <w:szCs w:val="24"/>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ListParagraph"/>
        <w:numPr>
          <w:ilvl w:val="1"/>
          <w:numId w:val="2"/>
        </w:numPr>
        <w:shd w:val="clear" w:color="auto" w:fill="FFFFFF"/>
        <w:ind w:left="0" w:firstLine="709"/>
        <w:jc w:val="both"/>
        <w:rPr>
          <w:b/>
          <w:sz w:val="24"/>
          <w:szCs w:val="24"/>
        </w:rPr>
      </w:pPr>
      <w:r>
        <w:rPr>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уплатить бенефициару неустойку (пени) в размере 0,1 (ноль целых и одна десятая) процента денежной суммы, подлежащей уплате по Независимой гарантии.</w:t>
      </w:r>
    </w:p>
    <w:p>
      <w:pPr>
        <w:pStyle w:val="ListParagraph"/>
        <w:numPr>
          <w:ilvl w:val="1"/>
          <w:numId w:val="2"/>
        </w:numPr>
        <w:shd w:val="clear" w:color="auto" w:fill="FFFFFF"/>
        <w:ind w:left="0" w:firstLine="709"/>
        <w:jc w:val="both"/>
        <w:rPr>
          <w:b/>
          <w:sz w:val="24"/>
          <w:szCs w:val="24"/>
        </w:rPr>
      </w:pPr>
      <w:r>
        <w:rPr>
          <w:sz w:val="24"/>
          <w:szCs w:val="24"/>
        </w:rPr>
        <w:t>Несоответствие Независимой гарантии, предоставленной Поставщиком, вышеперечисленным требованиям, является основанием для отказа в принятии ее бенефициаром.</w:t>
      </w:r>
    </w:p>
    <w:p>
      <w:pPr>
        <w:pStyle w:val="ListParagraph"/>
        <w:numPr>
          <w:ilvl w:val="1"/>
          <w:numId w:val="2"/>
        </w:numPr>
        <w:shd w:val="clear" w:color="auto" w:fill="FFFFFF"/>
        <w:ind w:left="0" w:firstLine="709"/>
        <w:jc w:val="both"/>
        <w:rPr>
          <w:b/>
          <w:sz w:val="24"/>
          <w:szCs w:val="24"/>
        </w:rPr>
      </w:pPr>
      <w:r>
        <w:rPr>
          <w:sz w:val="24"/>
          <w:szCs w:val="24"/>
        </w:rPr>
        <w:t>Независимая гарантия не должна содержать условий или требований, противоречащих изложенному или делающих изложенное неисполнимым.</w:t>
      </w:r>
    </w:p>
    <w:p>
      <w:pPr>
        <w:pStyle w:val="ListParagraph"/>
        <w:numPr>
          <w:ilvl w:val="1"/>
          <w:numId w:val="2"/>
        </w:numPr>
        <w:ind w:left="0" w:firstLine="709"/>
        <w:jc w:val="both"/>
        <w:rPr>
          <w:bCs/>
          <w:sz w:val="24"/>
          <w:szCs w:val="24"/>
        </w:rPr>
      </w:pPr>
      <w:r>
        <w:rPr>
          <w:bCs/>
          <w:sz w:val="24"/>
          <w:szCs w:val="24"/>
        </w:rPr>
        <w:t xml:space="preserve">В случаях: </w:t>
      </w:r>
    </w:p>
    <w:p>
      <w:pPr>
        <w:pStyle w:val="ListParagraph"/>
        <w:widowControl/>
        <w:numPr>
          <w:ilvl w:val="0"/>
          <w:numId w:val="14"/>
        </w:numPr>
        <w:shd w:val="clear" w:color="auto" w:fill="FFFFFF"/>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(если применимо), или</w:t>
      </w:r>
    </w:p>
    <w:p>
      <w:pPr>
        <w:pStyle w:val="ListParagraph"/>
        <w:widowControl/>
        <w:numPr>
          <w:ilvl w:val="0"/>
          <w:numId w:val="14"/>
        </w:numPr>
        <w:shd w:val="clear" w:color="auto" w:fill="FFFFFF"/>
        <w:ind w:left="0" w:firstLine="709"/>
        <w:jc w:val="both"/>
        <w:rPr>
          <w:bCs/>
          <w:sz w:val="24"/>
          <w:szCs w:val="24"/>
        </w:rPr>
      </w:pPr>
      <w:r>
        <w:rPr>
          <w:bCs/>
          <w:sz w:val="24"/>
          <w:szCs w:val="24"/>
        </w:rPr>
        <w:t xml:space="preserve">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pPr>
        <w:pStyle w:val="ListParagraph"/>
        <w:shd w:val="clear" w:color="auto" w:fill="FFFFFF"/>
        <w:tabs>
          <w:tab w:val="clear" w:pos="709"/>
          <w:tab w:val="left" w:pos="1134" w:leader="none"/>
        </w:tabs>
        <w:ind w:left="0" w:firstLine="709"/>
        <w:jc w:val="both"/>
        <w:rPr>
          <w:bCs/>
          <w:sz w:val="24"/>
          <w:szCs w:val="24"/>
        </w:rPr>
      </w:pPr>
      <w:r>
        <w:rPr>
          <w:bCs/>
          <w:sz w:val="24"/>
          <w:szCs w:val="24"/>
        </w:rPr>
        <w:t>Поставщик обязан предоставить Покупателю новую Независимую гарантию, согласованную с Покупателем,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Покупателя с требованием о замене Независимой гарантии.</w:t>
      </w:r>
    </w:p>
    <w:p>
      <w:pPr>
        <w:pStyle w:val="ListParagraph"/>
        <w:shd w:val="clear" w:color="auto" w:fill="FFFFFF"/>
        <w:ind w:left="0" w:firstLine="709"/>
        <w:jc w:val="both"/>
        <w:rPr>
          <w:b/>
          <w:sz w:val="24"/>
          <w:szCs w:val="24"/>
        </w:rPr>
      </w:pPr>
      <w:r>
        <w:rPr>
          <w:bCs/>
          <w:sz w:val="24"/>
          <w:szCs w:val="24"/>
        </w:rPr>
        <w:t>В случае непредставления Поставщиком в установленный срок новой Независимой гарантии Покупатель вправе удерживать сумму неотработанного аванса при выплате каждого платежа, причитающегося Поставщику, до полного зачета неотработанного аванса</w:t>
      </w:r>
      <w:r>
        <w:rPr>
          <w:sz w:val="24"/>
          <w:szCs w:val="24"/>
        </w:rPr>
        <w:t>.</w:t>
      </w:r>
    </w:p>
    <w:p>
      <w:pPr>
        <w:pStyle w:val="ListParagraph"/>
        <w:numPr>
          <w:ilvl w:val="1"/>
          <w:numId w:val="2"/>
        </w:numPr>
        <w:shd w:val="clear" w:color="auto" w:fill="FFFFFF"/>
        <w:ind w:left="0" w:firstLine="709"/>
        <w:jc w:val="both"/>
        <w:rPr>
          <w:b/>
          <w:sz w:val="24"/>
          <w:szCs w:val="24"/>
        </w:rPr>
      </w:pPr>
      <w:r>
        <w:rPr>
          <w:sz w:val="24"/>
          <w:szCs w:val="24"/>
        </w:rPr>
        <w:t>Во всех случаях, предусмотренных Договором, Поставщик вправе представить Покупателю вместо новой Независимой гарантии изменения к ранее выданной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Покупателем.</w:t>
      </w:r>
    </w:p>
    <w:p>
      <w:pPr>
        <w:pStyle w:val="ListParagraph"/>
        <w:numPr>
          <w:ilvl w:val="1"/>
          <w:numId w:val="2"/>
        </w:numPr>
        <w:shd w:val="clear" w:color="auto" w:fill="FFFFFF"/>
        <w:ind w:left="0" w:firstLine="709"/>
        <w:jc w:val="both"/>
        <w:rPr>
          <w:b/>
          <w:sz w:val="24"/>
          <w:szCs w:val="24"/>
        </w:rPr>
      </w:pPr>
      <w:r>
        <w:rPr>
          <w:sz w:val="24"/>
          <w:szCs w:val="24"/>
        </w:rPr>
        <w:t>Положения пункта 2.4.1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Поставщику, составляет 5 000 000 (пять миллионов) рублей и более без учета НДС.</w:t>
      </w:r>
    </w:p>
    <w:p>
      <w:pPr>
        <w:pStyle w:val="ListParagraph"/>
        <w:shd w:val="clear" w:color="auto" w:fill="FFFFFF"/>
        <w:tabs>
          <w:tab w:val="clear" w:pos="709"/>
          <w:tab w:val="left" w:pos="1419" w:leader="none"/>
        </w:tabs>
        <w:ind w:left="709" w:hanging="0"/>
        <w:jc w:val="both"/>
        <w:rPr>
          <w:b/>
          <w:sz w:val="24"/>
          <w:szCs w:val="24"/>
        </w:rPr>
      </w:pPr>
      <w:r>
        <w:rPr>
          <w:b/>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9"/>
          <w:tab w:val="left" w:pos="1134"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6"/>
        </w:numPr>
        <w:tabs>
          <w:tab w:val="clear" w:pos="709"/>
          <w:tab w:val="left" w:pos="1276" w:leader="none"/>
        </w:tabs>
        <w:suppressAutoHyphens w:val="true"/>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6"/>
        </w:numPr>
        <w:suppressAutoHyphens w:val="true"/>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6"/>
        </w:numPr>
        <w:suppressAutoHyphens w:val="true"/>
        <w:ind w:left="0" w:firstLine="709"/>
        <w:jc w:val="both"/>
        <w:rPr>
          <w:bCs/>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6"/>
        </w:numPr>
        <w:tabs>
          <w:tab w:val="clear" w:pos="709"/>
          <w:tab w:val="left" w:pos="1276" w:leader="none"/>
        </w:tabs>
        <w:suppressAutoHyphens w:val="true"/>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16"/>
        </w:numPr>
        <w:tabs>
          <w:tab w:val="clear" w:pos="709"/>
          <w:tab w:val="left" w:pos="1276" w:leader="none"/>
        </w:tabs>
        <w:suppressAutoHyphens w:val="true"/>
        <w:ind w:left="0" w:firstLine="709"/>
        <w:jc w:val="both"/>
        <w:rPr>
          <w:rFonts w:eastAsia="Calibri"/>
          <w:bCs/>
          <w:sz w:val="24"/>
          <w:szCs w:val="24"/>
        </w:rPr>
      </w:pPr>
      <w:r>
        <w:rPr>
          <w:rFonts w:eastAsia="Calibri"/>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2 к Договору. </w:t>
      </w:r>
    </w:p>
    <w:p>
      <w:pPr>
        <w:pStyle w:val="ListParagraph"/>
        <w:widowControl/>
        <w:numPr>
          <w:ilvl w:val="1"/>
          <w:numId w:val="16"/>
        </w:numPr>
        <w:tabs>
          <w:tab w:val="clear" w:pos="709"/>
          <w:tab w:val="left" w:pos="1276" w:leader="none"/>
        </w:tabs>
        <w:suppressAutoHyphens w:val="true"/>
        <w:ind w:left="0" w:firstLine="709"/>
        <w:jc w:val="both"/>
        <w:rPr>
          <w:bCs/>
          <w:sz w:val="24"/>
          <w:szCs w:val="24"/>
        </w:rPr>
      </w:pPr>
      <w:r>
        <w:rPr>
          <w:rFonts w:eastAsia="Calibri"/>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по такому основанию сумм налога на добавленную стоимость, пеней и налоговых санкций, Поставщик</w:t>
      </w:r>
      <w:r>
        <w:rPr>
          <w:bCs/>
          <w:sz w:val="24"/>
          <w:szCs w:val="24"/>
        </w:rPr>
        <w:t xml:space="preserve">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6"/>
        </w:numPr>
        <w:tabs>
          <w:tab w:val="clear" w:pos="709"/>
          <w:tab w:val="left" w:pos="1276" w:leader="none"/>
        </w:tabs>
        <w:suppressAutoHyphens w:val="true"/>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Независимых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три сотых) процента от Цены Договора за каждый день просрочки.</w:t>
      </w:r>
    </w:p>
    <w:p>
      <w:pPr>
        <w:pStyle w:val="ListParagraph"/>
        <w:widowControl/>
        <w:numPr>
          <w:ilvl w:val="1"/>
          <w:numId w:val="16"/>
        </w:numPr>
        <w:shd w:val="clear" w:color="auto" w:fill="FFFFFF"/>
        <w:suppressAutoHyphens w:val="true"/>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6"/>
        </w:numPr>
        <w:shd w:val="clear" w:color="auto" w:fill="FFFFFF"/>
        <w:suppressAutoHyphens w:val="true"/>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6"/>
        </w:numPr>
        <w:shd w:val="clear" w:color="auto" w:fill="FFFFFF"/>
        <w:suppressAutoHyphens w:val="true"/>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6"/>
        </w:numPr>
        <w:shd w:val="clear" w:color="auto" w:fill="FFFFFF"/>
        <w:suppressAutoHyphens w:val="true"/>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6"/>
        </w:numPr>
        <w:shd w:val="clear" w:color="auto" w:fill="FFFFFF"/>
        <w:suppressAutoHyphens w:val="true"/>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8"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8"/>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9"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9"/>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10"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10"/>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за исключением споров из Независимой гарантии, подсудность которых предусмотрена пунктом 5.9.5.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s>
        <w:ind w:left="0" w:firstLine="709"/>
        <w:jc w:val="both"/>
        <w:rPr>
          <w:bCs/>
          <w:sz w:val="24"/>
          <w:szCs w:val="24"/>
        </w:rPr>
      </w:pPr>
      <w:r>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0" w:leader="none"/>
          <w:tab w:val="left" w:pos="56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0" w:leader="none"/>
          <w:tab w:val="left" w:pos="56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snapToGrid w:val="false"/>
        <w:ind w:left="0" w:firstLine="709"/>
        <w:jc w:val="both"/>
        <w:rPr>
          <w:sz w:val="24"/>
          <w:szCs w:val="24"/>
        </w:rPr>
      </w:pPr>
      <w:r>
        <w:rPr>
          <w:sz w:val="24"/>
          <w:szCs w:val="24"/>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tabs>
          <w:tab w:val="clear" w:pos="709"/>
          <w:tab w:val="left" w:pos="0" w:leader="none"/>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1" w:name="_Ref361338004"/>
      <w:r>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11"/>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2" w:name="sub_1"/>
      <w:r>
        <w:rPr>
          <w:rFonts w:eastAsia="Calibri"/>
          <w:sz w:val="24"/>
          <w:szCs w:val="24"/>
          <w:lang w:eastAsia="en-US"/>
        </w:rPr>
        <w:t>Приложение № 1 – Спецификация.</w:t>
      </w:r>
      <w:bookmarkEnd w:id="12"/>
    </w:p>
    <w:p>
      <w:pPr>
        <w:pStyle w:val="Normal"/>
        <w:ind w:firstLine="709"/>
        <w:jc w:val="both"/>
        <w:rPr>
          <w:bCs/>
          <w:sz w:val="24"/>
          <w:szCs w:val="24"/>
        </w:rPr>
      </w:pPr>
      <w:r>
        <w:rPr>
          <w:bCs/>
          <w:sz w:val="24"/>
          <w:szCs w:val="24"/>
        </w:rPr>
        <w:t xml:space="preserve">Приложение № 2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84"/>
        <w:gridCol w:w="144"/>
        <w:gridCol w:w="4642"/>
        <w:gridCol w:w="320"/>
      </w:tblGrid>
      <w:tr>
        <w:trPr/>
        <w:tc>
          <w:tcPr>
            <w:tcW w:w="4928" w:type="dxa"/>
            <w:gridSpan w:val="2"/>
            <w:tcBorders/>
            <w:shd w:color="auto" w:fill="auto" w:val="clear"/>
          </w:tcPr>
          <w:p>
            <w:pPr>
              <w:pStyle w:val="Normal"/>
              <w:widowControl w:val="false"/>
              <w:rPr>
                <w:sz w:val="24"/>
                <w:szCs w:val="24"/>
              </w:rPr>
            </w:pPr>
            <w:r>
              <w:rPr>
                <w:sz w:val="24"/>
                <w:szCs w:val="24"/>
              </w:rPr>
              <w:t>ПОКУПАТЕЛЬ:</w:t>
            </w:r>
          </w:p>
        </w:tc>
        <w:tc>
          <w:tcPr>
            <w:tcW w:w="4962" w:type="dxa"/>
            <w:gridSpan w:val="2"/>
            <w:tcBorders/>
            <w:shd w:color="auto" w:fill="auto" w:val="clear"/>
          </w:tcPr>
          <w:p>
            <w:pPr>
              <w:pStyle w:val="Normal"/>
              <w:widowControl w:val="false"/>
              <w:rPr>
                <w:sz w:val="24"/>
                <w:szCs w:val="24"/>
              </w:rPr>
            </w:pPr>
            <w:r>
              <w:rPr>
                <w:sz w:val="24"/>
                <w:szCs w:val="24"/>
              </w:rPr>
              <w:t>ПОСТАВЩИК:</w:t>
            </w:r>
          </w:p>
        </w:tc>
      </w:tr>
      <w:tr>
        <w:trPr/>
        <w:tc>
          <w:tcPr>
            <w:tcW w:w="4928" w:type="dxa"/>
            <w:gridSpan w:val="2"/>
            <w:tcBorders/>
            <w:shd w:color="auto" w:fill="auto"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5"/>
                <w:szCs w:val="25"/>
              </w:rPr>
            </w:pPr>
            <w:r>
              <w:rPr>
                <w:sz w:val="25"/>
                <w:szCs w:val="25"/>
              </w:rPr>
              <w:t xml:space="preserve">660049, Красноярский край, </w:t>
            </w:r>
          </w:p>
          <w:p>
            <w:pPr>
              <w:pStyle w:val="Normal"/>
              <w:widowControl w:val="false"/>
              <w:rPr>
                <w:sz w:val="25"/>
                <w:szCs w:val="25"/>
              </w:rPr>
            </w:pPr>
            <w:r>
              <w:rPr>
                <w:sz w:val="25"/>
                <w:szCs w:val="25"/>
              </w:rPr>
              <w:t xml:space="preserve">г.о. г. Красноярск, г. Красноярск, </w:t>
            </w:r>
          </w:p>
          <w:p>
            <w:pPr>
              <w:pStyle w:val="Normal"/>
              <w:widowControl w:val="false"/>
              <w:rPr>
                <w:sz w:val="24"/>
                <w:szCs w:val="24"/>
              </w:rPr>
            </w:pPr>
            <w:r>
              <w:rPr>
                <w:sz w:val="25"/>
                <w:szCs w:val="25"/>
              </w:rPr>
              <w:t>ул. Перенсона. зд. 2А, помещ. 1</w:t>
            </w:r>
          </w:p>
          <w:p>
            <w:pPr>
              <w:pStyle w:val="Normal"/>
              <w:widowControl w:val="false"/>
              <w:rPr>
                <w:sz w:val="24"/>
                <w:szCs w:val="24"/>
              </w:rPr>
            </w:pPr>
            <w:r>
              <w:rPr>
                <w:sz w:val="24"/>
                <w:szCs w:val="24"/>
              </w:rPr>
              <w:t>Почтовый адрес: 676730, Амурская область, п. Талакан, а/я 52</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281302001</w:t>
            </w:r>
          </w:p>
          <w:p>
            <w:pPr>
              <w:pStyle w:val="Normal"/>
              <w:widowControl w:val="false"/>
              <w:rPr>
                <w:sz w:val="24"/>
                <w:szCs w:val="24"/>
              </w:rPr>
            </w:pPr>
            <w:r>
              <w:rPr>
                <w:sz w:val="24"/>
                <w:szCs w:val="24"/>
              </w:rPr>
            </w:r>
          </w:p>
          <w:p>
            <w:pPr>
              <w:pStyle w:val="Normal"/>
              <w:widowControl w:val="false"/>
              <w:spacing w:before="0" w:after="0"/>
              <w:contextualSpacing/>
              <w:rPr>
                <w:sz w:val="24"/>
                <w:szCs w:val="24"/>
              </w:rPr>
            </w:pPr>
            <w:r>
              <w:rPr>
                <w:sz w:val="24"/>
                <w:szCs w:val="24"/>
              </w:rPr>
              <w:t>Филиал ПАО ВТБ в г. Хабаровске</w:t>
            </w:r>
          </w:p>
          <w:p>
            <w:pPr>
              <w:pStyle w:val="Normal"/>
              <w:widowControl w:val="false"/>
              <w:spacing w:before="0" w:after="0"/>
              <w:contextualSpacing/>
              <w:rPr>
                <w:sz w:val="24"/>
                <w:szCs w:val="24"/>
              </w:rPr>
            </w:pPr>
            <w:r>
              <w:rPr>
                <w:sz w:val="24"/>
                <w:szCs w:val="24"/>
              </w:rPr>
              <w:t>Расчетный счет: 40702810709020001302</w:t>
            </w:r>
          </w:p>
          <w:p>
            <w:pPr>
              <w:pStyle w:val="Normal"/>
              <w:widowControl w:val="false"/>
              <w:spacing w:before="0" w:after="0"/>
              <w:contextualSpacing/>
              <w:rPr>
                <w:sz w:val="24"/>
                <w:szCs w:val="24"/>
              </w:rPr>
            </w:pPr>
            <w:r>
              <w:rPr>
                <w:sz w:val="24"/>
                <w:szCs w:val="24"/>
              </w:rPr>
              <w:t>Корреспондентский счет: 30101810400000000727</w:t>
            </w:r>
          </w:p>
          <w:p>
            <w:pPr>
              <w:pStyle w:val="Normal"/>
              <w:widowControl w:val="false"/>
              <w:spacing w:before="0" w:after="0"/>
              <w:contextualSpacing/>
              <w:rPr>
                <w:sz w:val="24"/>
                <w:szCs w:val="24"/>
              </w:rPr>
            </w:pPr>
            <w:r>
              <w:rPr>
                <w:sz w:val="24"/>
                <w:szCs w:val="24"/>
              </w:rPr>
              <w:t>БИК 040813727</w:t>
            </w:r>
          </w:p>
          <w:p>
            <w:pPr>
              <w:pStyle w:val="Normal"/>
              <w:widowControl w:val="false"/>
              <w:spacing w:before="0" w:after="0"/>
              <w:contextualSpacing/>
              <w:rPr>
                <w:rFonts w:eastAsia="Arial Unicode MS"/>
                <w:sz w:val="24"/>
                <w:szCs w:val="24"/>
              </w:rPr>
            </w:pPr>
            <w:r>
              <w:rPr>
                <w:rFonts w:eastAsia="Arial Unicode MS"/>
                <w:sz w:val="24"/>
                <w:szCs w:val="24"/>
              </w:rPr>
            </w:r>
          </w:p>
          <w:p>
            <w:pPr>
              <w:pStyle w:val="Normal"/>
              <w:widowControl w:val="false"/>
              <w:spacing w:before="0" w:after="0"/>
              <w:contextualSpacing/>
              <w:rPr>
                <w:rFonts w:eastAsia="Arial Unicode MS"/>
                <w:sz w:val="24"/>
                <w:szCs w:val="24"/>
              </w:rPr>
            </w:pPr>
            <w:r>
              <w:rPr>
                <w:rFonts w:eastAsia="Arial Unicode MS"/>
                <w:sz w:val="24"/>
                <w:szCs w:val="24"/>
              </w:rPr>
              <w:t>Грузополучатель:</w:t>
            </w:r>
          </w:p>
          <w:p>
            <w:pPr>
              <w:pStyle w:val="Normal"/>
              <w:widowControl w:val="false"/>
              <w:spacing w:before="0" w:after="0"/>
              <w:ind w:right="-108" w:hanging="0"/>
              <w:contextualSpacing/>
              <w:rPr>
                <w:sz w:val="24"/>
                <w:szCs w:val="24"/>
              </w:rPr>
            </w:pPr>
            <w:r>
              <w:rPr>
                <w:sz w:val="24"/>
                <w:szCs w:val="24"/>
              </w:rPr>
              <w:t>Филиал ПАО «РусГидро» - «Бурейская ГЭС», 676730, Амурская область, п. Талакан</w:t>
            </w:r>
          </w:p>
          <w:p>
            <w:pPr>
              <w:pStyle w:val="Normal"/>
              <w:widowControl w:val="false"/>
              <w:rPr>
                <w:sz w:val="24"/>
                <w:szCs w:val="24"/>
              </w:rPr>
            </w:pPr>
            <w:r>
              <w:rPr>
                <w:sz w:val="24"/>
                <w:szCs w:val="24"/>
              </w:rPr>
            </w:r>
          </w:p>
        </w:tc>
        <w:tc>
          <w:tcPr>
            <w:tcW w:w="4962" w:type="dxa"/>
            <w:gridSpan w:val="2"/>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4" w:type="dxa"/>
            <w:tcBorders/>
            <w:shd w:color="auto" w:fill="auto" w:val="clear"/>
          </w:tcPr>
          <w:p>
            <w:pPr>
              <w:pStyle w:val="Normal"/>
              <w:widowControl w:val="false"/>
              <w:rPr>
                <w:sz w:val="24"/>
                <w:szCs w:val="24"/>
              </w:rPr>
            </w:pPr>
            <w:r>
              <w:rPr>
                <w:sz w:val="24"/>
                <w:szCs w:val="24"/>
              </w:rPr>
              <w:t xml:space="preserve">_______________ / _______________ </w:t>
            </w:r>
          </w:p>
          <w:p>
            <w:pPr>
              <w:pStyle w:val="Normal"/>
              <w:widowControl w:val="false"/>
              <w:rPr>
                <w:sz w:val="24"/>
                <w:szCs w:val="24"/>
              </w:rPr>
            </w:pPr>
            <w:r>
              <w:rPr>
                <w:sz w:val="24"/>
                <w:szCs w:val="24"/>
              </w:rPr>
            </w:r>
          </w:p>
        </w:tc>
        <w:tc>
          <w:tcPr>
            <w:tcW w:w="4786" w:type="dxa"/>
            <w:gridSpan w:val="2"/>
            <w:tcBorders/>
            <w:shd w:color="auto" w:fill="auto" w:val="clear"/>
          </w:tcPr>
          <w:p>
            <w:pPr>
              <w:pStyle w:val="Normal"/>
              <w:widowControl w:val="false"/>
              <w:rPr>
                <w:sz w:val="24"/>
                <w:szCs w:val="24"/>
              </w:rPr>
            </w:pPr>
            <w:r>
              <w:rPr>
                <w:sz w:val="24"/>
                <w:szCs w:val="24"/>
              </w:rPr>
              <w:t xml:space="preserve">_______________ / _______________ </w:t>
            </w:r>
          </w:p>
        </w:tc>
        <w:tc>
          <w:tcPr>
            <w:tcW w:w="320" w:type="dxa"/>
            <w:tcBorders/>
          </w:tcPr>
          <w:p>
            <w:pPr>
              <w:pStyle w:val="Normal"/>
              <w:widowControl w:val="false"/>
              <w:rPr/>
            </w:pPr>
            <w:r>
              <w:rPr/>
            </w:r>
          </w:p>
        </w:tc>
      </w:tr>
    </w:tbl>
    <w:p>
      <w:pPr>
        <w:sectPr>
          <w:headerReference w:type="first" r:id="rId5"/>
          <w:footerReference w:type="default" r:id="rId6"/>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suppressAutoHyphens w:val="true"/>
        <w:ind w:left="10490" w:right="96" w:hanging="0"/>
        <w:rPr>
          <w:sz w:val="22"/>
          <w:szCs w:val="22"/>
        </w:rPr>
      </w:pPr>
      <w:r>
        <w:rPr>
          <w:sz w:val="22"/>
          <w:szCs w:val="22"/>
        </w:rPr>
        <w:t>Приложение № 1</w:t>
      </w:r>
    </w:p>
    <w:p>
      <w:pPr>
        <w:pStyle w:val="Normal"/>
        <w:suppressAutoHyphens w:val="true"/>
        <w:ind w:left="10490" w:right="96" w:hanging="0"/>
        <w:rPr>
          <w:sz w:val="22"/>
          <w:szCs w:val="22"/>
        </w:rPr>
      </w:pPr>
      <w:r>
        <w:rPr>
          <w:sz w:val="22"/>
          <w:szCs w:val="22"/>
        </w:rPr>
        <w:t>к Договору поставки</w:t>
      </w:r>
    </w:p>
    <w:p>
      <w:pPr>
        <w:pStyle w:val="Normal"/>
        <w:suppressAutoHyphens w:val="true"/>
        <w:ind w:left="10490" w:right="96" w:hanging="0"/>
        <w:rPr>
          <w:sz w:val="22"/>
          <w:szCs w:val="22"/>
        </w:rPr>
      </w:pPr>
      <w:r>
        <w:rPr>
          <w:sz w:val="22"/>
          <w:szCs w:val="22"/>
        </w:rPr>
        <w:t>от «____» __________ 202</w:t>
      </w:r>
      <w:r>
        <w:rPr>
          <w:sz w:val="22"/>
          <w:szCs w:val="22"/>
          <w:lang w:val="en-US"/>
        </w:rPr>
        <w:t>6</w:t>
      </w:r>
      <w:r>
        <w:rPr>
          <w:sz w:val="22"/>
          <w:szCs w:val="22"/>
        </w:rPr>
        <w:t xml:space="preserve"> г.</w:t>
      </w:r>
    </w:p>
    <w:p>
      <w:pPr>
        <w:pStyle w:val="Normal"/>
        <w:ind w:left="10490" w:hanging="0"/>
        <w:rPr>
          <w:bCs/>
          <w:sz w:val="24"/>
          <w:szCs w:val="24"/>
        </w:rPr>
      </w:pPr>
      <w:r>
        <w:rPr>
          <w:sz w:val="24"/>
          <w:szCs w:val="24"/>
        </w:rPr>
        <w:t xml:space="preserve">№ </w:t>
      </w:r>
      <w:r>
        <w:rPr>
          <w:sz w:val="24"/>
          <w:szCs w:val="24"/>
        </w:rPr>
        <w:t>____________________</w:t>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1487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760"/>
        <w:gridCol w:w="3555"/>
        <w:gridCol w:w="1906"/>
        <w:gridCol w:w="1177"/>
        <w:gridCol w:w="1177"/>
        <w:gridCol w:w="1373"/>
        <w:gridCol w:w="1642"/>
        <w:gridCol w:w="1644"/>
        <w:gridCol w:w="1641"/>
      </w:tblGrid>
      <w:tr>
        <w:trPr>
          <w:trHeight w:val="819" w:hRule="atLeast"/>
        </w:trPr>
        <w:tc>
          <w:tcPr>
            <w:tcW w:w="7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 </w:t>
            </w:r>
            <w:r>
              <w:rPr/>
              <w:t>п/п</w:t>
            </w:r>
          </w:p>
        </w:tc>
        <w:tc>
          <w:tcPr>
            <w:tcW w:w="3555" w:type="dxa"/>
            <w:tcBorders>
              <w:top w:val="single" w:sz="4" w:space="0" w:color="000000"/>
              <w:bottom w:val="single" w:sz="4" w:space="0" w:color="000000"/>
            </w:tcBorders>
            <w:shd w:color="auto" w:fill="auto" w:val="clear"/>
            <w:vAlign w:val="center"/>
          </w:tcPr>
          <w:p>
            <w:pPr>
              <w:pStyle w:val="Normal"/>
              <w:widowControl w:val="false"/>
              <w:jc w:val="center"/>
              <w:rPr/>
            </w:pPr>
            <w:r>
              <w:rPr/>
              <w:t>Наименование МТР</w:t>
            </w:r>
          </w:p>
        </w:tc>
        <w:tc>
          <w:tcPr>
            <w:tcW w:w="19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Страна происхождения товара</w:t>
            </w:r>
          </w:p>
        </w:tc>
        <w:tc>
          <w:tcPr>
            <w:tcW w:w="1177"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Ед. изм.</w:t>
            </w:r>
          </w:p>
        </w:tc>
        <w:tc>
          <w:tcPr>
            <w:tcW w:w="1177"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Кол-во</w:t>
            </w:r>
          </w:p>
        </w:tc>
        <w:tc>
          <w:tcPr>
            <w:tcW w:w="1373" w:type="dxa"/>
            <w:tcBorders>
              <w:top w:val="single" w:sz="4" w:space="0" w:color="000000"/>
              <w:bottom w:val="single" w:sz="4" w:space="0" w:color="000000"/>
              <w:right w:val="single" w:sz="4" w:space="0" w:color="000000"/>
            </w:tcBorders>
            <w:shd w:color="000000" w:fill="FFFFFF" w:val="clear"/>
            <w:vAlign w:val="center"/>
          </w:tcPr>
          <w:p>
            <w:pPr>
              <w:pStyle w:val="Normal"/>
              <w:widowControl w:val="false"/>
              <w:jc w:val="center"/>
              <w:rPr/>
            </w:pPr>
            <w:r>
              <w:rPr/>
              <w:t xml:space="preserve">Цена, руб. (без НДС) </w:t>
            </w:r>
          </w:p>
        </w:tc>
        <w:tc>
          <w:tcPr>
            <w:tcW w:w="16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Сумма без НДС (руб.)</w:t>
            </w:r>
          </w:p>
        </w:tc>
        <w:tc>
          <w:tcPr>
            <w:tcW w:w="164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Сумма НДС (20%), (руб.)</w:t>
            </w:r>
          </w:p>
        </w:tc>
        <w:tc>
          <w:tcPr>
            <w:tcW w:w="164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Сумма с НДС (руб.)</w:t>
            </w:r>
          </w:p>
        </w:tc>
      </w:tr>
      <w:tr>
        <w:trPr>
          <w:trHeight w:val="2035" w:hRule="atLeast"/>
        </w:trPr>
        <w:tc>
          <w:tcPr>
            <w:tcW w:w="760" w:type="dxa"/>
            <w:tcBorders>
              <w:top w:val="single" w:sz="4" w:space="0" w:color="002060"/>
              <w:left w:val="single" w:sz="8" w:space="0" w:color="002060"/>
              <w:bottom w:val="single" w:sz="4" w:space="0" w:color="002060"/>
              <w:right w:val="single" w:sz="4" w:space="0" w:color="002060"/>
            </w:tcBorders>
            <w:shd w:color="auto" w:fill="auto" w:val="clear"/>
            <w:vAlign w:val="center"/>
          </w:tcPr>
          <w:p>
            <w:pPr>
              <w:pStyle w:val="Normal"/>
              <w:widowControl w:val="false"/>
              <w:jc w:val="center"/>
              <w:rPr/>
            </w:pPr>
            <w:r>
              <w:rPr/>
            </w:r>
          </w:p>
        </w:tc>
        <w:tc>
          <w:tcPr>
            <w:tcW w:w="3555" w:type="dxa"/>
            <w:tcBorders>
              <w:top w:val="single" w:sz="4" w:space="0" w:color="002060"/>
              <w:bottom w:val="single" w:sz="4" w:space="0" w:color="002060"/>
              <w:right w:val="single" w:sz="4" w:space="0" w:color="002060"/>
            </w:tcBorders>
            <w:shd w:color="auto" w:fill="auto" w:val="clear"/>
          </w:tcPr>
          <w:p>
            <w:pPr>
              <w:pStyle w:val="Normal"/>
              <w:widowControl w:val="false"/>
              <w:rPr>
                <w:rFonts w:ascii="Calibri" w:hAnsi="Calibri" w:cs="Calibri"/>
              </w:rPr>
            </w:pPr>
            <w:r>
              <w:rPr>
                <w:rFonts w:cs="Calibri" w:ascii="Calibri" w:hAnsi="Calibri"/>
              </w:rPr>
            </w:r>
          </w:p>
        </w:tc>
        <w:tc>
          <w:tcPr>
            <w:tcW w:w="1906" w:type="dxa"/>
            <w:tcBorders>
              <w:top w:val="single" w:sz="4" w:space="0" w:color="002060"/>
              <w:bottom w:val="single" w:sz="4" w:space="0" w:color="002060"/>
              <w:right w:val="single" w:sz="4" w:space="0" w:color="002060"/>
            </w:tcBorders>
            <w:shd w:color="auto" w:fill="auto" w:val="clear"/>
          </w:tcPr>
          <w:p>
            <w:pPr>
              <w:pStyle w:val="Normal"/>
              <w:widowControl w:val="false"/>
              <w:rPr>
                <w:rFonts w:ascii="Calibri" w:hAnsi="Calibri" w:cs="Calibri"/>
              </w:rPr>
            </w:pPr>
            <w:r>
              <w:rPr>
                <w:rFonts w:cs="Calibri" w:ascii="Calibri" w:hAnsi="Calibri"/>
              </w:rPr>
            </w:r>
          </w:p>
        </w:tc>
        <w:tc>
          <w:tcPr>
            <w:tcW w:w="1177" w:type="dxa"/>
            <w:tcBorders>
              <w:top w:val="single" w:sz="4" w:space="0" w:color="002060"/>
              <w:bottom w:val="single" w:sz="4" w:space="0" w:color="002060"/>
              <w:right w:val="single" w:sz="4" w:space="0" w:color="002060"/>
            </w:tcBorders>
            <w:shd w:color="auto" w:fill="auto" w:val="clear"/>
            <w:vAlign w:val="center"/>
          </w:tcPr>
          <w:p>
            <w:pPr>
              <w:pStyle w:val="Normal"/>
              <w:widowControl w:val="false"/>
              <w:jc w:val="center"/>
              <w:rPr/>
            </w:pPr>
            <w:r>
              <w:rPr/>
            </w:r>
          </w:p>
        </w:tc>
        <w:tc>
          <w:tcPr>
            <w:tcW w:w="1177" w:type="dxa"/>
            <w:tcBorders>
              <w:top w:val="single" w:sz="4" w:space="0" w:color="002060"/>
              <w:bottom w:val="single" w:sz="4" w:space="0" w:color="002060"/>
              <w:right w:val="single" w:sz="4" w:space="0" w:color="002060"/>
            </w:tcBorders>
            <w:shd w:color="auto" w:fill="auto" w:val="clear"/>
            <w:vAlign w:val="center"/>
          </w:tcPr>
          <w:p>
            <w:pPr>
              <w:pStyle w:val="Normal"/>
              <w:widowControl w:val="false"/>
              <w:jc w:val="center"/>
              <w:rPr/>
            </w:pPr>
            <w:r>
              <w:rPr/>
            </w:r>
          </w:p>
        </w:tc>
        <w:tc>
          <w:tcPr>
            <w:tcW w:w="1373" w:type="dxa"/>
            <w:tcBorders>
              <w:left w:val="single" w:sz="4" w:space="0" w:color="000000"/>
              <w:right w:val="single" w:sz="4" w:space="0" w:color="000000"/>
            </w:tcBorders>
            <w:shd w:color="auto" w:fill="auto" w:val="clear"/>
            <w:vAlign w:val="center"/>
          </w:tcPr>
          <w:p>
            <w:pPr>
              <w:pStyle w:val="Normal"/>
              <w:widowControl w:val="false"/>
              <w:jc w:val="right"/>
              <w:rPr>
                <w:color w:val="000000"/>
              </w:rPr>
            </w:pPr>
            <w:r>
              <w:rPr>
                <w:color w:val="000000"/>
              </w:rPr>
            </w:r>
          </w:p>
        </w:tc>
        <w:tc>
          <w:tcPr>
            <w:tcW w:w="1642" w:type="dxa"/>
            <w:tcBorders>
              <w:bottom w:val="single" w:sz="4" w:space="0" w:color="000000"/>
              <w:right w:val="single" w:sz="4" w:space="0" w:color="000000"/>
            </w:tcBorders>
            <w:shd w:color="auto" w:fill="auto" w:val="clear"/>
            <w:vAlign w:val="center"/>
          </w:tcPr>
          <w:p>
            <w:pPr>
              <w:pStyle w:val="Normal"/>
              <w:widowControl w:val="false"/>
              <w:jc w:val="right"/>
              <w:rPr>
                <w:color w:val="000000"/>
              </w:rPr>
            </w:pPr>
            <w:r>
              <w:rPr>
                <w:color w:val="000000"/>
              </w:rPr>
            </w:r>
          </w:p>
        </w:tc>
        <w:tc>
          <w:tcPr>
            <w:tcW w:w="1644" w:type="dxa"/>
            <w:tcBorders>
              <w:bottom w:val="single" w:sz="4" w:space="0" w:color="000000"/>
              <w:right w:val="single" w:sz="4" w:space="0" w:color="000000"/>
            </w:tcBorders>
            <w:shd w:color="auto" w:fill="auto" w:val="clear"/>
            <w:vAlign w:val="center"/>
          </w:tcPr>
          <w:p>
            <w:pPr>
              <w:pStyle w:val="Normal"/>
              <w:widowControl w:val="false"/>
              <w:jc w:val="right"/>
              <w:rPr>
                <w:color w:val="000000"/>
              </w:rPr>
            </w:pPr>
            <w:r>
              <w:rPr>
                <w:color w:val="000000"/>
              </w:rPr>
            </w:r>
          </w:p>
        </w:tc>
        <w:tc>
          <w:tcPr>
            <w:tcW w:w="164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right"/>
              <w:rPr>
                <w:color w:val="000000"/>
              </w:rPr>
            </w:pPr>
            <w:r>
              <w:rPr>
                <w:color w:val="000000"/>
              </w:rPr>
            </w:r>
          </w:p>
        </w:tc>
      </w:tr>
      <w:tr>
        <w:trPr>
          <w:trHeight w:val="297" w:hRule="atLeast"/>
        </w:trPr>
        <w:tc>
          <w:tcPr>
            <w:tcW w:w="4315" w:type="dxa"/>
            <w:gridSpan w:val="2"/>
            <w:tcBorders>
              <w:top w:val="single" w:sz="4" w:space="0" w:color="000000"/>
              <w:left w:val="single" w:sz="4" w:space="0" w:color="000000"/>
              <w:bottom w:val="single" w:sz="4" w:space="0" w:color="000000"/>
            </w:tcBorders>
            <w:shd w:color="000000" w:fill="A9D08E" w:val="clear"/>
            <w:vAlign w:val="bottom"/>
          </w:tcPr>
          <w:p>
            <w:pPr>
              <w:pStyle w:val="Normal"/>
              <w:widowControl w:val="false"/>
              <w:rPr>
                <w:b/>
                <w:bCs/>
                <w:color w:val="000000"/>
              </w:rPr>
            </w:pPr>
            <w:r>
              <w:rPr>
                <w:b/>
                <w:bCs/>
                <w:color w:val="000000"/>
              </w:rPr>
              <w:t xml:space="preserve">Итого </w:t>
            </w:r>
          </w:p>
        </w:tc>
        <w:tc>
          <w:tcPr>
            <w:tcW w:w="1906" w:type="dxa"/>
            <w:tcBorders>
              <w:top w:val="single" w:sz="4" w:space="0" w:color="000000"/>
              <w:left w:val="single" w:sz="4" w:space="0" w:color="000000"/>
              <w:bottom w:val="single" w:sz="4" w:space="0" w:color="000000"/>
              <w:right w:val="single" w:sz="4" w:space="0" w:color="000000"/>
            </w:tcBorders>
            <w:shd w:color="000000" w:fill="A9D08E" w:val="clear"/>
            <w:vAlign w:val="bottom"/>
          </w:tcPr>
          <w:p>
            <w:pPr>
              <w:pStyle w:val="Normal"/>
              <w:widowControl w:val="false"/>
              <w:rPr>
                <w:rFonts w:ascii="Calibri" w:hAnsi="Calibri" w:cs="Calibri"/>
                <w:b/>
                <w:bCs/>
                <w:color w:val="000000"/>
              </w:rPr>
            </w:pPr>
            <w:r>
              <w:rPr>
                <w:rFonts w:cs="Calibri" w:ascii="Calibri" w:hAnsi="Calibri"/>
                <w:b/>
                <w:bCs/>
                <w:color w:val="000000"/>
              </w:rPr>
              <w:t> </w:t>
            </w:r>
          </w:p>
        </w:tc>
        <w:tc>
          <w:tcPr>
            <w:tcW w:w="1177" w:type="dxa"/>
            <w:tcBorders>
              <w:top w:val="single" w:sz="4" w:space="0" w:color="000000"/>
              <w:bottom w:val="single" w:sz="4" w:space="0" w:color="000000"/>
              <w:right w:val="single" w:sz="4" w:space="0" w:color="000000"/>
            </w:tcBorders>
            <w:shd w:color="000000" w:fill="A9D08E" w:val="clear"/>
            <w:vAlign w:val="bottom"/>
          </w:tcPr>
          <w:p>
            <w:pPr>
              <w:pStyle w:val="Normal"/>
              <w:widowControl w:val="false"/>
              <w:rPr>
                <w:rFonts w:ascii="Calibri" w:hAnsi="Calibri" w:cs="Calibri"/>
                <w:b/>
                <w:bCs/>
                <w:color w:val="000000"/>
              </w:rPr>
            </w:pPr>
            <w:r>
              <w:rPr>
                <w:rFonts w:cs="Calibri" w:ascii="Calibri" w:hAnsi="Calibri"/>
                <w:b/>
                <w:bCs/>
                <w:color w:val="000000"/>
              </w:rPr>
              <w:t> </w:t>
            </w:r>
          </w:p>
        </w:tc>
        <w:tc>
          <w:tcPr>
            <w:tcW w:w="1177" w:type="dxa"/>
            <w:tcBorders>
              <w:top w:val="single" w:sz="4" w:space="0" w:color="000000"/>
              <w:bottom w:val="single" w:sz="4" w:space="0" w:color="000000"/>
              <w:right w:val="single" w:sz="4" w:space="0" w:color="000000"/>
            </w:tcBorders>
            <w:shd w:color="000000" w:fill="A9D08E" w:val="clear"/>
            <w:vAlign w:val="bottom"/>
          </w:tcPr>
          <w:p>
            <w:pPr>
              <w:pStyle w:val="Normal"/>
              <w:widowControl w:val="false"/>
              <w:rPr>
                <w:b/>
                <w:bCs/>
                <w:color w:val="000000"/>
              </w:rPr>
            </w:pPr>
            <w:r>
              <w:rPr>
                <w:b/>
                <w:bCs/>
                <w:color w:val="000000"/>
              </w:rPr>
              <w:t> </w:t>
            </w:r>
          </w:p>
        </w:tc>
        <w:tc>
          <w:tcPr>
            <w:tcW w:w="1373" w:type="dxa"/>
            <w:tcBorders>
              <w:top w:val="single" w:sz="4" w:space="0" w:color="000000"/>
              <w:bottom w:val="single" w:sz="4" w:space="0" w:color="000000"/>
              <w:right w:val="single" w:sz="4" w:space="0" w:color="000000"/>
            </w:tcBorders>
            <w:shd w:color="000000" w:fill="A9D08E" w:val="clear"/>
            <w:vAlign w:val="bottom"/>
          </w:tcPr>
          <w:p>
            <w:pPr>
              <w:pStyle w:val="Normal"/>
              <w:widowControl w:val="false"/>
              <w:rPr>
                <w:b/>
                <w:bCs/>
                <w:color w:val="000000"/>
              </w:rPr>
            </w:pPr>
            <w:r>
              <w:rPr>
                <w:b/>
                <w:bCs/>
                <w:color w:val="000000"/>
              </w:rPr>
              <w:t> </w:t>
            </w:r>
          </w:p>
        </w:tc>
        <w:tc>
          <w:tcPr>
            <w:tcW w:w="1642" w:type="dxa"/>
            <w:tcBorders>
              <w:bottom w:val="single" w:sz="4" w:space="0" w:color="000000"/>
              <w:right w:val="single" w:sz="4" w:space="0" w:color="000000"/>
            </w:tcBorders>
            <w:shd w:color="000000" w:fill="A9D08E" w:val="clear"/>
            <w:vAlign w:val="bottom"/>
          </w:tcPr>
          <w:p>
            <w:pPr>
              <w:pStyle w:val="Normal"/>
              <w:widowControl w:val="false"/>
              <w:jc w:val="right"/>
              <w:rPr>
                <w:color w:val="000000"/>
              </w:rPr>
            </w:pPr>
            <w:r>
              <w:rPr>
                <w:color w:val="000000"/>
              </w:rPr>
            </w:r>
          </w:p>
        </w:tc>
        <w:tc>
          <w:tcPr>
            <w:tcW w:w="1644" w:type="dxa"/>
            <w:tcBorders>
              <w:bottom w:val="single" w:sz="4" w:space="0" w:color="000000"/>
              <w:right w:val="single" w:sz="4" w:space="0" w:color="000000"/>
            </w:tcBorders>
            <w:shd w:color="000000" w:fill="A9D08E" w:val="clear"/>
            <w:vAlign w:val="bottom"/>
          </w:tcPr>
          <w:p>
            <w:pPr>
              <w:pStyle w:val="Normal"/>
              <w:widowControl w:val="false"/>
              <w:jc w:val="right"/>
              <w:rPr>
                <w:color w:val="000000"/>
              </w:rPr>
            </w:pPr>
            <w:r>
              <w:rPr>
                <w:color w:val="000000"/>
              </w:rPr>
            </w:r>
          </w:p>
        </w:tc>
        <w:tc>
          <w:tcPr>
            <w:tcW w:w="1641" w:type="dxa"/>
            <w:tcBorders>
              <w:top w:val="single" w:sz="4" w:space="0" w:color="000000"/>
              <w:bottom w:val="single" w:sz="4" w:space="0" w:color="000000"/>
              <w:right w:val="single" w:sz="4" w:space="0" w:color="000000"/>
            </w:tcBorders>
            <w:shd w:color="000000" w:fill="A9D08E" w:val="clear"/>
            <w:vAlign w:val="bottom"/>
          </w:tcPr>
          <w:p>
            <w:pPr>
              <w:pStyle w:val="Normal"/>
              <w:widowControl w:val="false"/>
              <w:jc w:val="right"/>
              <w:rPr>
                <w:color w:val="000000"/>
              </w:rPr>
            </w:pPr>
            <w:r>
              <w:rPr>
                <w:color w:val="000000"/>
              </w:rPr>
            </w:r>
          </w:p>
        </w:tc>
      </w:tr>
    </w:tbl>
    <w:p>
      <w:pPr>
        <w:pStyle w:val="Normal"/>
        <w:rPr>
          <w:i/>
          <w:i/>
          <w:sz w:val="24"/>
          <w:szCs w:val="24"/>
          <w:highlight w:val="yellow"/>
        </w:rPr>
      </w:pPr>
      <w:r>
        <w:rPr>
          <w:i/>
          <w:sz w:val="24"/>
          <w:szCs w:val="24"/>
          <w:highlight w:val="yellow"/>
        </w:rPr>
      </w:r>
    </w:p>
    <w:p>
      <w:pPr>
        <w:pStyle w:val="Normal"/>
        <w:rPr>
          <w:i/>
          <w:i/>
          <w:sz w:val="22"/>
          <w:szCs w:val="22"/>
        </w:rPr>
      </w:pPr>
      <w:r>
        <w:rPr>
          <w:i/>
          <w:sz w:val="22"/>
          <w:szCs w:val="22"/>
        </w:rPr>
      </w:r>
    </w:p>
    <w:p>
      <w:pPr>
        <w:pStyle w:val="Normal"/>
        <w:rPr>
          <w:i/>
          <w:i/>
          <w:sz w:val="22"/>
          <w:szCs w:val="22"/>
        </w:rPr>
      </w:pPr>
      <w:r>
        <w:rPr>
          <w:i/>
          <w:sz w:val="22"/>
          <w:szCs w:val="22"/>
        </w:rPr>
      </w:r>
    </w:p>
    <w:tbl>
      <w:tblPr>
        <w:tblW w:w="1457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7285"/>
        <w:gridCol w:w="7284"/>
      </w:tblGrid>
      <w:tr>
        <w:trPr>
          <w:trHeight w:val="269" w:hRule="atLeast"/>
        </w:trPr>
        <w:tc>
          <w:tcPr>
            <w:tcW w:w="7285" w:type="dxa"/>
            <w:tcBorders/>
          </w:tcPr>
          <w:p>
            <w:pPr>
              <w:pStyle w:val="Normal"/>
              <w:widowControl w:val="false"/>
              <w:rPr>
                <w:b/>
                <w:sz w:val="24"/>
              </w:rPr>
            </w:pPr>
            <w:r>
              <w:rPr>
                <w:b/>
                <w:sz w:val="24"/>
              </w:rPr>
              <w:t>От Покупателя:</w:t>
            </w:r>
          </w:p>
        </w:tc>
        <w:tc>
          <w:tcPr>
            <w:tcW w:w="7284" w:type="dxa"/>
            <w:tcBorders/>
          </w:tcPr>
          <w:p>
            <w:pPr>
              <w:pStyle w:val="Normal"/>
              <w:widowControl w:val="false"/>
              <w:rPr>
                <w:b/>
                <w:sz w:val="24"/>
              </w:rPr>
            </w:pPr>
            <w:r>
              <w:rPr>
                <w:b/>
                <w:sz w:val="24"/>
              </w:rPr>
              <w:t>От Поставщика:</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suppressAutoHyphens w:val="true"/>
        <w:spacing w:lineRule="auto" w:line="259"/>
        <w:rPr>
          <w:rFonts w:eastAsia="Calibri"/>
          <w:b/>
          <w:sz w:val="24"/>
          <w:szCs w:val="24"/>
          <w:lang w:eastAsia="en-US"/>
        </w:rPr>
      </w:pPr>
      <w:r>
        <w:rPr>
          <w:rFonts w:eastAsia="Calibri"/>
          <w:b/>
          <w:sz w:val="24"/>
          <w:szCs w:val="24"/>
          <w:lang w:eastAsia="en-US"/>
        </w:rPr>
      </w:r>
    </w:p>
    <w:p>
      <w:pPr>
        <w:pStyle w:val="Normal"/>
        <w:widowControl/>
        <w:suppressAutoHyphens w:val="true"/>
        <w:spacing w:lineRule="auto" w:line="259"/>
        <w:rPr>
          <w:rFonts w:eastAsia="Calibri"/>
          <w:b/>
          <w:sz w:val="24"/>
          <w:szCs w:val="24"/>
          <w:lang w:eastAsia="en-US"/>
        </w:rPr>
      </w:pPr>
      <w:r>
        <w:rPr>
          <w:rFonts w:eastAsia="Calibri"/>
          <w:b/>
          <w:sz w:val="24"/>
          <w:szCs w:val="24"/>
          <w:lang w:eastAsia="en-US"/>
        </w:rPr>
      </w:r>
    </w:p>
    <w:p>
      <w:pPr>
        <w:pStyle w:val="Normal"/>
        <w:widowControl/>
        <w:suppressAutoHyphens w:val="true"/>
        <w:spacing w:lineRule="auto" w:line="259"/>
        <w:jc w:val="center"/>
        <w:rPr>
          <w:rFonts w:eastAsia="Calibri"/>
          <w:b/>
          <w:sz w:val="24"/>
          <w:szCs w:val="24"/>
          <w:lang w:eastAsia="en-US"/>
        </w:rPr>
      </w:pPr>
      <w:r>
        <w:rPr>
          <w:rFonts w:eastAsia="Calibri"/>
          <w:b/>
          <w:sz w:val="24"/>
          <w:szCs w:val="24"/>
          <w:lang w:eastAsia="en-US"/>
        </w:rPr>
      </w:r>
    </w:p>
    <w:p>
      <w:pPr>
        <w:pStyle w:val="Normal"/>
        <w:widowControl/>
        <w:suppressAutoHyphens w:val="true"/>
        <w:spacing w:lineRule="auto" w:line="259"/>
        <w:jc w:val="center"/>
        <w:rPr>
          <w:rFonts w:eastAsia="Calibri"/>
          <w:b/>
          <w:sz w:val="24"/>
          <w:szCs w:val="24"/>
          <w:lang w:eastAsia="en-US"/>
        </w:rPr>
      </w:pPr>
      <w:r>
        <w:rPr>
          <w:rFonts w:eastAsia="Calibri"/>
          <w:b/>
          <w:sz w:val="24"/>
          <w:szCs w:val="24"/>
          <w:lang w:eastAsia="en-US"/>
        </w:rPr>
      </w:r>
    </w:p>
    <w:p>
      <w:pPr>
        <w:sectPr>
          <w:headerReference w:type="default" r:id="rId7"/>
          <w:headerReference w:type="first" r:id="rId8"/>
          <w:footerReference w:type="default" r:id="rId9"/>
          <w:footerReference w:type="first" r:id="rId10"/>
          <w:type w:val="nextPage"/>
          <w:pgSz w:orient="landscape" w:w="16838" w:h="11906"/>
          <w:pgMar w:left="1134" w:right="1134" w:gutter="0" w:header="0" w:top="1418" w:footer="709" w:bottom="851"/>
          <w:pgNumType w:fmt="decimal"/>
          <w:formProt w:val="false"/>
          <w:textDirection w:val="lrTb"/>
          <w:docGrid w:type="default" w:linePitch="360" w:charSpace="0"/>
        </w:sectPr>
        <w:pStyle w:val="Normal"/>
        <w:widowControl/>
        <w:suppressAutoHyphens w:val="true"/>
        <w:spacing w:lineRule="auto" w:line="259"/>
        <w:jc w:val="center"/>
        <w:rPr>
          <w:rFonts w:eastAsia="Calibri"/>
          <w:b/>
          <w:sz w:val="24"/>
          <w:szCs w:val="24"/>
          <w:lang w:eastAsia="en-US"/>
        </w:rPr>
      </w:pPr>
      <w:r>
        <w:rPr>
          <w:rFonts w:eastAsia="Calibri"/>
          <w:b/>
          <w:sz w:val="24"/>
          <w:szCs w:val="24"/>
          <w:lang w:eastAsia="en-US"/>
        </w:rPr>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202</w:t>
      </w:r>
      <w:r>
        <w:rPr>
          <w:sz w:val="22"/>
          <w:szCs w:val="22"/>
          <w:lang w:val="en-US"/>
        </w:rPr>
        <w:t>6</w:t>
      </w:r>
      <w:r>
        <w:rPr>
          <w:sz w:val="22"/>
          <w:szCs w:val="22"/>
        </w:rPr>
        <w:t xml:space="preserve"> г. </w:t>
      </w:r>
    </w:p>
    <w:p>
      <w:pPr>
        <w:pStyle w:val="Normal"/>
        <w:ind w:firstLine="5103"/>
        <w:rPr>
          <w:bCs/>
          <w:sz w:val="24"/>
          <w:szCs w:val="24"/>
        </w:rPr>
      </w:pPr>
      <w:r>
        <w:rPr>
          <w:sz w:val="24"/>
          <w:szCs w:val="24"/>
        </w:rPr>
        <w:t xml:space="preserve">№ </w:t>
      </w:r>
      <w:r>
        <w:rPr>
          <w:sz w:val="24"/>
          <w:szCs w:val="24"/>
        </w:rPr>
        <w:t>____________________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suppressAutoHyphens w:val="true"/>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От Покупателя:</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От Поставщика:</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pStyle w:val="Normal"/>
        <w:rPr>
          <w:b/>
          <w:bCs/>
          <w:sz w:val="24"/>
          <w:szCs w:val="24"/>
        </w:rPr>
      </w:pPr>
      <w:r>
        <w:rPr>
          <w:b/>
          <w:bCs/>
          <w:sz w:val="24"/>
          <w:szCs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11"/>
      <w:footerReference w:type="default" r:id="rId12"/>
      <w:footerReference w:type="first" r:id="rId13"/>
      <w:type w:val="nextPage"/>
      <w:pgSz w:w="11906" w:h="16838"/>
      <w:pgMar w:left="1418" w:right="85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23</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2.2.2.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1">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3">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4">
    <w:lvl w:ilvl="0">
      <w:start w:val="1"/>
      <w:numFmt w:val="bullet"/>
      <w:lvlText w:val=""/>
      <w:lvlJc w:val="left"/>
      <w:pPr>
        <w:tabs>
          <w:tab w:val="num" w:pos="0"/>
        </w:tabs>
        <w:ind w:left="2571" w:hanging="360"/>
      </w:pPr>
      <w:rPr>
        <w:rFonts w:ascii="Symbol" w:hAnsi="Symbol" w:cs="Symbol" w:hint="default"/>
      </w:rPr>
    </w:lvl>
    <w:lvl w:ilvl="1">
      <w:start w:val="1"/>
      <w:numFmt w:val="bullet"/>
      <w:lvlText w:val="o"/>
      <w:lvlJc w:val="left"/>
      <w:pPr>
        <w:tabs>
          <w:tab w:val="num" w:pos="0"/>
        </w:tabs>
        <w:ind w:left="3291" w:hanging="360"/>
      </w:pPr>
      <w:rPr>
        <w:rFonts w:ascii="Courier New" w:hAnsi="Courier New" w:cs="Courier New" w:hint="default"/>
      </w:rPr>
    </w:lvl>
    <w:lvl w:ilvl="2">
      <w:start w:val="1"/>
      <w:numFmt w:val="bullet"/>
      <w:lvlText w:val=""/>
      <w:lvlJc w:val="left"/>
      <w:pPr>
        <w:tabs>
          <w:tab w:val="num" w:pos="0"/>
        </w:tabs>
        <w:ind w:left="4011" w:hanging="360"/>
      </w:pPr>
      <w:rPr>
        <w:rFonts w:ascii="Wingdings" w:hAnsi="Wingdings" w:cs="Wingdings" w:hint="default"/>
      </w:rPr>
    </w:lvl>
    <w:lvl w:ilvl="3">
      <w:start w:val="1"/>
      <w:numFmt w:val="bullet"/>
      <w:lvlText w:val=""/>
      <w:lvlJc w:val="left"/>
      <w:pPr>
        <w:tabs>
          <w:tab w:val="num" w:pos="0"/>
        </w:tabs>
        <w:ind w:left="4731" w:hanging="360"/>
      </w:pPr>
      <w:rPr>
        <w:rFonts w:ascii="Symbol" w:hAnsi="Symbol" w:cs="Symbol" w:hint="default"/>
      </w:rPr>
    </w:lvl>
    <w:lvl w:ilvl="4">
      <w:start w:val="1"/>
      <w:numFmt w:val="bullet"/>
      <w:lvlText w:val="o"/>
      <w:lvlJc w:val="left"/>
      <w:pPr>
        <w:tabs>
          <w:tab w:val="num" w:pos="0"/>
        </w:tabs>
        <w:ind w:left="5451" w:hanging="360"/>
      </w:pPr>
      <w:rPr>
        <w:rFonts w:ascii="Courier New" w:hAnsi="Courier New" w:cs="Courier New" w:hint="default"/>
      </w:rPr>
    </w:lvl>
    <w:lvl w:ilvl="5">
      <w:start w:val="1"/>
      <w:numFmt w:val="bullet"/>
      <w:lvlText w:val=""/>
      <w:lvlJc w:val="left"/>
      <w:pPr>
        <w:tabs>
          <w:tab w:val="num" w:pos="0"/>
        </w:tabs>
        <w:ind w:left="6171" w:hanging="360"/>
      </w:pPr>
      <w:rPr>
        <w:rFonts w:ascii="Wingdings" w:hAnsi="Wingdings" w:cs="Wingdings" w:hint="default"/>
      </w:rPr>
    </w:lvl>
    <w:lvl w:ilvl="6">
      <w:start w:val="1"/>
      <w:numFmt w:val="bullet"/>
      <w:lvlText w:val=""/>
      <w:lvlJc w:val="left"/>
      <w:pPr>
        <w:tabs>
          <w:tab w:val="num" w:pos="0"/>
        </w:tabs>
        <w:ind w:left="6891" w:hanging="360"/>
      </w:pPr>
      <w:rPr>
        <w:rFonts w:ascii="Symbol" w:hAnsi="Symbol" w:cs="Symbol" w:hint="default"/>
      </w:rPr>
    </w:lvl>
    <w:lvl w:ilvl="7">
      <w:start w:val="1"/>
      <w:numFmt w:val="bullet"/>
      <w:lvlText w:val="o"/>
      <w:lvlJc w:val="left"/>
      <w:pPr>
        <w:tabs>
          <w:tab w:val="num" w:pos="0"/>
        </w:tabs>
        <w:ind w:left="7611" w:hanging="360"/>
      </w:pPr>
      <w:rPr>
        <w:rFonts w:ascii="Courier New" w:hAnsi="Courier New" w:cs="Courier New" w:hint="default"/>
      </w:rPr>
    </w:lvl>
    <w:lvl w:ilvl="8">
      <w:start w:val="1"/>
      <w:numFmt w:val="bullet"/>
      <w:lvlText w:val=""/>
      <w:lvlJc w:val="left"/>
      <w:pPr>
        <w:tabs>
          <w:tab w:val="num" w:pos="0"/>
        </w:tabs>
        <w:ind w:left="8331"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Title">
    <w:name w:val="Title"/>
    <w:basedOn w:val="Normal"/>
    <w:link w:val="Style7"/>
    <w:qFormat/>
    <w:rsid w:val="00886f70"/>
    <w:pPr>
      <w:jc w:val="center"/>
    </w:pPr>
    <w:rPr>
      <w:b/>
      <w:bCs/>
      <w:sz w:val="24"/>
      <w:szCs w:val="24"/>
    </w:rPr>
  </w:style>
  <w:style w:type="paragraph" w:styleId="Style22"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6"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paragraph" w:styleId="Header">
    <w:name w:val="Header"/>
    <w:basedOn w:val="Normal"/>
    <w:link w:val="Style18"/>
    <w:rsid w:val="00886f70"/>
    <w:pPr>
      <w:tabs>
        <w:tab w:val="clear" w:pos="709"/>
        <w:tab w:val="center" w:pos="4677" w:leader="none"/>
        <w:tab w:val="right" w:pos="9355" w:leader="none"/>
      </w:tabs>
    </w:pPr>
    <w:rPr/>
  </w:style>
  <w:style w:type="paragraph" w:styleId="Style27"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paragraph" w:styleId="ConsPlusNormal" w:customStyle="1">
    <w:name w:val="ConsPlusNormal"/>
    <w:qFormat/>
    <w:rsid w:val="00886f70"/>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886f7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3.xml><?xml version="1.0" encoding="utf-8"?>
<ds:datastoreItem xmlns:ds="http://schemas.openxmlformats.org/officeDocument/2006/customXml" ds:itemID="{95CAEEA5-E2B6-4B76-A826-4F29FF9531A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2EE1502-6227-466A-8ED5-FB03476F5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Application>AlterOffice/3.4.0.9$Linux_X86_64 LibreOffice_project/b8daf9e823b1a5463a2f48435ddc2e8696e7d4fc</Application>
  <AppVersion>15.0000</AppVersion>
  <Pages>23</Pages>
  <Words>8545</Words>
  <Characters>60779</Characters>
  <CharactersWithSpaces>68960</CharactersWithSpaces>
  <Paragraphs>369</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2024-12-12T07:09:00Z</dcterms:created>
  <dc:creator>Быстрова Дарья Андреевна</dc:creator>
  <dc:description/>
  <dc:language>ru-RU</dc:language>
  <cp:lastModifiedBy>Юлия Викторовна Воронина</cp:lastModifiedBy>
  <dcterms:modified xsi:type="dcterms:W3CDTF">2026-07-01T14:46:11Z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