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3.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footer1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15.xml" ContentType="application/vnd.openxmlformats-officedocument.wordprocessingml.header+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spacing w:before="120" w:after="0"/>
        <w:ind w:left="4536" w:hanging="0"/>
        <w:jc w:val="right"/>
        <w:rPr/>
      </w:pPr>
      <w:r>
        <w:rPr/>
      </w:r>
    </w:p>
    <w:p>
      <w:pPr>
        <w:pStyle w:val="Style28"/>
        <w:ind w:hanging="0"/>
        <w:jc w:val="left"/>
        <w:rPr/>
      </w:pPr>
      <w:r>
        <w:rPr/>
        <w:drawing>
          <wp:inline distT="0" distB="0" distL="0" distR="0">
            <wp:extent cx="6261100" cy="10058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261100" cy="1005840"/>
                    </a:xfrm>
                    <a:prstGeom prst="rect">
                      <a:avLst/>
                    </a:prstGeom>
                  </pic:spPr>
                </pic:pic>
              </a:graphicData>
            </a:graphic>
          </wp:inline>
        </w:drawing>
      </w:r>
    </w:p>
    <w:p>
      <w:pPr>
        <w:pStyle w:val="Style28"/>
        <w:ind w:left="4536" w:hanging="0"/>
        <w:jc w:val="left"/>
        <w:rPr/>
      </w:pPr>
      <w:r>
        <w:rPr/>
      </w:r>
    </w:p>
    <w:p>
      <w:pPr>
        <w:pStyle w:val="Style28"/>
        <w:ind w:left="4536" w:hanging="0"/>
        <w:jc w:val="right"/>
        <w:rPr/>
      </w:pPr>
      <w:r>
        <w:rPr/>
      </w:r>
    </w:p>
    <w:p>
      <w:pPr>
        <w:pStyle w:val="Style28"/>
        <w:ind w:left="4536" w:hanging="0"/>
        <w:jc w:val="right"/>
        <w:rPr/>
      </w:pPr>
      <w:r>
        <w:rPr/>
      </w:r>
    </w:p>
    <w:p>
      <w:pPr>
        <w:pStyle w:val="Style28"/>
        <w:ind w:left="4536" w:hanging="0"/>
        <w:jc w:val="right"/>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rStyle w:val="Style10"/>
        </w:rPr>
      </w:pPr>
      <w:r>
        <w:rPr/>
        <w:t>Состязательный отбор в электронной форме, участниками которого могут быть только субъекты МСП на право заключения договора на </w:t>
      </w:r>
    </w:p>
    <w:p>
      <w:pPr>
        <w:pStyle w:val="Normal"/>
        <w:widowControl w:val="false"/>
        <w:spacing w:lineRule="auto" w:line="240" w:before="60" w:after="60"/>
        <w:ind w:left="-108" w:right="-108" w:hanging="0"/>
        <w:jc w:val="center"/>
        <w:rPr/>
      </w:pPr>
      <w:r>
        <w:rPr>
          <w:rStyle w:val="Style10"/>
          <w:rFonts w:eastAsia="Calibri" w:cs="" w:cstheme="minorBidi" w:eastAsiaTheme="minorHAnsi"/>
          <w:i w:val="false"/>
          <w:iCs w:val="false"/>
          <w:color w:val="000000"/>
          <w:kern w:val="0"/>
          <w:sz w:val="28"/>
          <w:szCs w:val="28"/>
          <w:shd w:fill="FFFFFF" w:val="clear"/>
          <w:lang w:val="ru-RU" w:eastAsia="en-US" w:bidi="ar-SA"/>
        </w:rPr>
        <w:t>«</w:t>
      </w:r>
      <w:r>
        <w:rPr>
          <w:rStyle w:val="Style10"/>
          <w:rFonts w:eastAsia="Calibri" w:cs="" w:cstheme="minorBidi" w:eastAsiaTheme="minorHAnsi"/>
          <w:i/>
          <w:iCs w:val="false"/>
          <w:color w:val="000000"/>
          <w:kern w:val="0"/>
          <w:sz w:val="28"/>
          <w:szCs w:val="28"/>
          <w:shd w:fill="FFFFFF" w:val="clear"/>
          <w:lang w:val="ru-RU" w:eastAsia="en-US" w:bidi="ar-SA"/>
        </w:rPr>
        <w:t>ОКПД2 43.99.40. Текущий ремонт водосливной грани плотины Бурейской ГЭС</w:t>
      </w:r>
      <w:r>
        <w:rPr>
          <w:rStyle w:val="Style10"/>
          <w:rFonts w:eastAsia="Calibri" w:cs="" w:cstheme="minorBidi" w:eastAsiaTheme="minorHAnsi"/>
          <w:i w:val="false"/>
          <w:iCs w:val="false"/>
          <w:color w:val="000000"/>
          <w:kern w:val="0"/>
          <w:sz w:val="28"/>
          <w:szCs w:val="28"/>
          <w:shd w:fill="FFFFFF" w:val="clear"/>
          <w:lang w:val="ru-RU" w:eastAsia="en-US" w:bidi="ar-SA"/>
        </w:rPr>
        <w:t>»</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keepNext w:val="true"/>
        <w:spacing w:before="240" w:after="0"/>
        <w:jc w:val="center"/>
        <w:rPr/>
      </w:pPr>
      <w:r>
        <w:rPr/>
        <w:t>(Лот № 4-РЕМ</w:t>
      </w:r>
      <w:r>
        <w:rPr>
          <w:i w:val="false"/>
          <w:iCs w:val="false"/>
          <w:sz w:val="26"/>
          <w:szCs w:val="26"/>
          <w:lang w:eastAsia="en-US"/>
        </w:rPr>
        <w:t>-2026-БурГЭС</w:t>
      </w:r>
      <w:r>
        <w:rPr/>
        <w:t>)</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8"/>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8"/>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8"/>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8"/>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8"/>
                <w:vanish w:val="false"/>
              </w:rPr>
              <w:t>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8"/>
                <w:vanish w:val="false"/>
              </w:rPr>
              <w:t>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8"/>
                <w:vanish w:val="false"/>
              </w:rPr>
              <w:t>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8"/>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8"/>
                <w:vanish w:val="false"/>
              </w:rPr>
              <w:t>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_Toc186224275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8"/>
                <w:vanish w:val="false"/>
              </w:rPr>
              <w:t>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8"/>
                <w:vanish w:val="false"/>
              </w:rPr>
              <w:t>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8"/>
                <w:vanish w:val="false"/>
              </w:rPr>
              <w:t>2.3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Обжалование</w:t>
            </w:r>
            <w:r>
              <w:rPr>
                <w:webHidden/>
              </w:rPr>
              <w:fldChar w:fldCharType="begin"/>
            </w:r>
            <w:r>
              <w:rPr>
                <w:webHidden/>
              </w:rPr>
              <w:instrText xml:space="preserve">PAGEREF _Toc186224278 \h</w:instrText>
            </w:r>
            <w:r>
              <w:rPr>
                <w:webHidden/>
              </w:rPr>
              <w:fldChar w:fldCharType="separate"/>
            </w:r>
            <w:r>
              <w:rPr>
                <w:rStyle w:val="Style18"/>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8"/>
                <w:vanish w:val="false"/>
              </w:rPr>
              <w:t>2.4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8"/>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8"/>
                <w:vanish w:val="false"/>
              </w:rPr>
              <w:t>2.5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Прочие положения</w:t>
            </w:r>
            <w:r>
              <w:rPr>
                <w:webHidden/>
              </w:rPr>
              <w:fldChar w:fldCharType="begin"/>
            </w:r>
            <w:r>
              <w:rPr>
                <w:webHidden/>
              </w:rPr>
              <w:instrText xml:space="preserve">PAGEREF _Toc186224280 \h</w:instrText>
            </w:r>
            <w:r>
              <w:rPr>
                <w:webHidden/>
              </w:rPr>
              <w:fldChar w:fldCharType="separate"/>
            </w:r>
            <w:r>
              <w:rPr>
                <w:rStyle w:val="Style18"/>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8"/>
                <w:vanish w:val="false"/>
              </w:rPr>
              <w:t>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8"/>
                <w:vanish w:val="false"/>
              </w:rPr>
              <w:t>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8"/>
                <w:vanish w:val="false"/>
              </w:rPr>
              <w:t>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8"/>
                <w:vanish w:val="false"/>
              </w:rPr>
              <w:t>3.3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8"/>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8"/>
                <w:vanish w:val="false"/>
              </w:rPr>
              <w:t>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8"/>
                <w:vanish w:val="false"/>
              </w:rPr>
              <w:t>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8"/>
                <w:vanish w:val="false"/>
              </w:rPr>
              <w:t>4.2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8"/>
                <w:vanish w:val="false"/>
              </w:rPr>
              <w:t>4.3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Подготовка заявки</w:t>
            </w:r>
            <w:r>
              <w:rPr>
                <w:webHidden/>
              </w:rPr>
              <w:fldChar w:fldCharType="begin"/>
            </w:r>
            <w:r>
              <w:rPr>
                <w:webHidden/>
              </w:rPr>
              <w:instrText xml:space="preserve">PAGEREF _Toc186224288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8"/>
                <w:vanish w:val="false"/>
              </w:rPr>
              <w:t>4.4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8"/>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8"/>
                <w:vanish w:val="false"/>
              </w:rPr>
              <w:t>4.5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8"/>
                <w:vanish w:val="false"/>
              </w:rPr>
              <w:t>4.6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8"/>
                <w:vanish w:val="false"/>
              </w:rPr>
              <w:t>4.7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8"/>
                <w:vanish w:val="false"/>
              </w:rPr>
              <w:t>4.8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8"/>
                <w:vanish w:val="false"/>
              </w:rPr>
              <w:t>4.9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8"/>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8"/>
                <w:vanish w:val="false"/>
              </w:rPr>
              <w:t>4.10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8"/>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8"/>
                <w:vanish w:val="false"/>
              </w:rPr>
              <w:t>4.11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Переторжка</w:t>
            </w:r>
            <w:r>
              <w:rPr>
                <w:webHidden/>
              </w:rPr>
              <w:fldChar w:fldCharType="begin"/>
            </w:r>
            <w:r>
              <w:rPr>
                <w:webHidden/>
              </w:rPr>
              <w:instrText xml:space="preserve">PAGEREF _Toc186224296 \h</w:instrText>
            </w:r>
            <w:r>
              <w:rPr>
                <w:webHidden/>
              </w:rPr>
              <w:fldChar w:fldCharType="separate"/>
            </w:r>
            <w:r>
              <w:rPr>
                <w:rStyle w:val="Style18"/>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8"/>
                <w:vanish w:val="false"/>
              </w:rPr>
              <w:t>4.12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8"/>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8"/>
                <w:vanish w:val="false"/>
              </w:rPr>
              <w:t>4.13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8"/>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8"/>
                <w:vanish w:val="false"/>
              </w:rPr>
              <w:t>4.14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8"/>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8"/>
                <w:vanish w:val="false"/>
              </w:rPr>
              <w:t>4.15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8"/>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8"/>
                <w:vanish w:val="false"/>
              </w:rPr>
              <w:t>4.16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8"/>
                <w:vanish w:val="false"/>
              </w:rPr>
              <w:t>4.17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8"/>
                <w:vanish w:val="false"/>
              </w:rPr>
              <w:t>4.18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8"/>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8"/>
                <w:vanish w:val="false"/>
              </w:rPr>
              <w:t>4.19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8"/>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8"/>
                <w:vanish w:val="false"/>
              </w:rPr>
              <w:t>4.20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8"/>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8"/>
                <w:vanish w:val="false"/>
              </w:rPr>
              <w:t>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8"/>
                <w:vanish w:val="false"/>
              </w:rPr>
              <w:t>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_Toc186224307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8"/>
                <w:vanish w:val="false"/>
              </w:rPr>
              <w:t>5.2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Заключение Договора</w:t>
            </w:r>
            <w:r>
              <w:rPr>
                <w:webHidden/>
              </w:rPr>
              <w:fldChar w:fldCharType="begin"/>
            </w:r>
            <w:r>
              <w:rPr>
                <w:webHidden/>
              </w:rPr>
              <w:instrText xml:space="preserve">PAGEREF _Toc186224308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8"/>
                <w:vanish w:val="false"/>
              </w:rPr>
              <w:t>5.3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8"/>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8"/>
                <w:vanish w:val="false"/>
              </w:rPr>
              <w:t>5.4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8"/>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8"/>
                <w:vanish w:val="false"/>
              </w:rPr>
              <w:t>6.</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8"/>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8"/>
                <w:vanish w:val="false"/>
              </w:rPr>
              <w:t>6.1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8"/>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8"/>
                <w:vanish w:val="false"/>
              </w:rPr>
              <w:t>7.</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8"/>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8"/>
                <w:vanish w:val="false"/>
              </w:rPr>
              <w:t>7.1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8"/>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8"/>
                <w:vanish w:val="false"/>
              </w:rPr>
              <w:t>8.</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8"/>
                <w:vanish w:val="false"/>
              </w:rPr>
              <w:t>8.1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8"/>
                <w:vanish w:val="false"/>
              </w:rPr>
              <w:t>8.2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8"/>
                <w:vanish w:val="false"/>
              </w:rPr>
              <w:t>8.3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8"/>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8"/>
                <w:vanish w:val="false"/>
              </w:rPr>
              <w:t>8.4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8"/>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8"/>
                <w:vanish w:val="false"/>
              </w:rPr>
              <w:t>8.5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8"/>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8"/>
                <w:vanish w:val="false"/>
              </w:rPr>
              <w:t>8.6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8"/>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8"/>
                <w:vanish w:val="false"/>
              </w:rPr>
              <w:t>9.</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8"/>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8"/>
                <w:vanish w:val="false"/>
              </w:rPr>
              <w:t>9.1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8"/>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8"/>
                <w:vanish w:val="false"/>
              </w:rPr>
              <w:t>10.</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8"/>
                <w:vanish w:val="false"/>
              </w:rPr>
              <w:t>10.1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8"/>
                <w:vanish w:val="false"/>
              </w:rPr>
              <w:t>10.2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8"/>
                <w:vanish w:val="false"/>
              </w:rPr>
              <w:t>10.3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8"/>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8"/>
                <w:vanish w:val="false"/>
              </w:rPr>
              <w:t>11.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8"/>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8"/>
                <w:vanish w:val="false"/>
              </w:rPr>
              <w:t>11.1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Состав заявки</w:t>
            </w:r>
            <w:r>
              <w:rPr>
                <w:webHidden/>
              </w:rPr>
              <w:fldChar w:fldCharType="begin"/>
            </w:r>
            <w:r>
              <w:rPr>
                <w:webHidden/>
              </w:rPr>
              <w:instrText xml:space="preserve">PAGEREF _Toc186224329 \h</w:instrText>
            </w:r>
            <w:r>
              <w:rPr>
                <w:webHidden/>
              </w:rPr>
              <w:fldChar w:fldCharType="separate"/>
            </w:r>
            <w:r>
              <w:rPr>
                <w:rStyle w:val="Style18"/>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8"/>
                <w:vanish w:val="false"/>
              </w:rPr>
              <w:t>12.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8"/>
                <w:vanish w:val="false"/>
              </w:rPr>
              <w:t>12.1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8"/>
                <w:vanish w:val="false"/>
              </w:rPr>
              <w:t>12.2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8"/>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8"/>
                <w:vanish w:val="false"/>
              </w:rPr>
              <w:t>13.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8"/>
                <w:vanish w:val="false"/>
              </w:rPr>
              <w:t>13.1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8"/>
                <w:vanish w:val="false"/>
              </w:rPr>
              <w:t>13.2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8"/>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8"/>
                <w:vanish w:val="false"/>
              </w:rPr>
              <w:t>14.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8"/>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8"/>
                <w:vanish w:val="false"/>
              </w:rPr>
              <w:t>14.1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8"/>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8"/>
                <w:vanish w:val="false"/>
              </w:rPr>
              <w:t>15.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8"/>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8"/>
                <w:vanish w:val="false"/>
              </w:rPr>
              <w:t>15.1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8"/>
                <w:vanish w:val="false"/>
              </w:rPr>
              <w:tab/>
              <w:t>91</w:t>
            </w:r>
            <w:r>
              <w:rPr>
                <w:webHidden/>
              </w:rPr>
              <w:fldChar w:fldCharType="end"/>
            </w:r>
          </w:hyperlink>
          <w:r>
            <w:rPr>
              <w:rStyle w:val="Style18"/>
              <w:vanish w:val="false"/>
            </w:rPr>
            <w:fldChar w:fldCharType="end"/>
          </w:r>
        </w:p>
      </w:sdtContent>
    </w:sdt>
    <w:p>
      <w:pPr>
        <w:pStyle w:val="Style28"/>
        <w:jc w:val="both"/>
        <w:rPr/>
      </w:pPr>
      <w:r>
        <w:rPr/>
      </w:r>
    </w:p>
    <w:p>
      <w:pPr>
        <w:pStyle w:val="Style28"/>
        <w:keepNext w:val="true"/>
        <w:spacing w:before="60" w:after="0"/>
        <w:rPr>
          <w:rStyle w:val="Style16"/>
        </w:rPr>
      </w:pPr>
      <w:r>
        <w:rPr>
          <w:rStyle w:val="Style16"/>
        </w:rPr>
        <w:t xml:space="preserve">[Примечание (дополнительные удобства работы с Документацией о закупке; Microsoft Word | </w:t>
      </w:r>
      <w:r>
        <w:rPr>
          <w:rStyle w:val="Style16"/>
          <w:color w:val="4472C4" w:themeColor="accent1"/>
        </w:rPr>
        <w:t>AlterOffice AText – отмечены отличия для данного текстового редактора</w:t>
      </w:r>
      <w:r>
        <w:rPr>
          <w:rStyle w:val="Style16"/>
        </w:rPr>
        <w:t>):</w:t>
      </w:r>
    </w:p>
    <w:p>
      <w:pPr>
        <w:pStyle w:val="Style28"/>
        <w:numPr>
          <w:ilvl w:val="0"/>
          <w:numId w:val="11"/>
        </w:numPr>
        <w:spacing w:before="60" w:after="0"/>
        <w:ind w:left="284" w:hanging="284"/>
        <w:rPr>
          <w:rStyle w:val="Style16"/>
        </w:rPr>
      </w:pPr>
      <w:r>
        <w:rPr>
          <w:rStyle w:val="Style16"/>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6"/>
          <w:color w:val="4472C4" w:themeColor="accent1"/>
        </w:rPr>
        <w:t>включается на вкладке «Вид» опцией «Навигатор»</w:t>
      </w:r>
      <w:r>
        <w:rPr>
          <w:rStyle w:val="Style16"/>
        </w:rPr>
        <w:t>;</w:t>
      </w:r>
    </w:p>
    <w:p>
      <w:pPr>
        <w:pStyle w:val="Style28"/>
        <w:numPr>
          <w:ilvl w:val="0"/>
          <w:numId w:val="11"/>
        </w:numPr>
        <w:spacing w:before="60" w:after="0"/>
        <w:ind w:left="284" w:hanging="284"/>
        <w:rPr>
          <w:rStyle w:val="Style16"/>
        </w:rPr>
      </w:pPr>
      <w:r>
        <w:rPr>
          <w:rStyle w:val="Style16"/>
        </w:rPr>
        <w:t>переход по перекрестным и другим ссылкам осуществляется левым кликом мыши с</w:t>
      </w:r>
      <w:r>
        <w:rPr>
          <w:rStyle w:val="Style16"/>
          <w:lang w:val="en-US"/>
        </w:rPr>
        <w:t> </w:t>
      </w:r>
      <w:r>
        <w:rPr>
          <w:rStyle w:val="Style16"/>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6"/>
          <w:color w:val="4472C4" w:themeColor="accent1"/>
        </w:rPr>
        <w:t>(обратный переход функционально не реализован в AlterOffice AText, пользуйтесь функциональностью «Навигатор»)</w:t>
      </w:r>
      <w:r>
        <w:rPr>
          <w:rStyle w:val="Style16"/>
        </w:rPr>
        <w:t>;</w:t>
      </w:r>
    </w:p>
    <w:p>
      <w:pPr>
        <w:pStyle w:val="Style28"/>
        <w:numPr>
          <w:ilvl w:val="0"/>
          <w:numId w:val="11"/>
        </w:numPr>
        <w:spacing w:before="60" w:after="0"/>
        <w:ind w:left="284" w:hanging="284"/>
        <w:rPr>
          <w:rStyle w:val="Style16"/>
        </w:rPr>
      </w:pPr>
      <w:r>
        <w:rPr>
          <w:rStyle w:val="Style16"/>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6"/>
          <w:lang w:val="en-US"/>
        </w:rPr>
        <w:t> </w:t>
      </w:r>
      <w:r>
        <w:rPr>
          <w:rStyle w:val="Style16"/>
        </w:rPr>
        <w:t>тексте;</w:t>
      </w:r>
    </w:p>
    <w:p>
      <w:pPr>
        <w:pStyle w:val="Style28"/>
        <w:numPr>
          <w:ilvl w:val="0"/>
          <w:numId w:val="11"/>
        </w:numPr>
        <w:spacing w:before="60" w:after="0"/>
        <w:ind w:left="284" w:hanging="284"/>
        <w:rPr>
          <w:rStyle w:val="Style16"/>
        </w:rPr>
      </w:pPr>
      <w:r>
        <w:rPr>
          <w:rStyle w:val="Style16"/>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6"/>
        </w:rPr>
        <w:t>.]</w:t>
      </w:r>
    </w:p>
    <w:p>
      <w:pPr>
        <w:pStyle w:val="Style27"/>
        <w:numPr>
          <w:ilvl w:val="0"/>
          <w:numId w:val="0"/>
        </w:numPr>
        <w:ind w:left="0" w:hanging="0"/>
        <w:outlineLvl w:val="0"/>
        <w:rPr/>
      </w:pPr>
      <w:bookmarkStart w:id="0" w:name="_Toc186224270"/>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186224271"/>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28"/>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2"/>
        <w:rPr/>
      </w:pPr>
      <w:bookmarkStart w:id="2" w:name="_Ref125359988"/>
      <w:bookmarkStart w:id="3" w:name="_Toc186224272"/>
      <w:r>
        <w:rPr/>
        <w:t>Основные сведения о закупке</w:t>
      </w:r>
      <w:bookmarkEnd w:id="2"/>
      <w:bookmarkEnd w:id="3"/>
    </w:p>
    <w:p>
      <w:pPr>
        <w:pStyle w:val="Style23"/>
        <w:rPr/>
      </w:pPr>
      <w:bookmarkStart w:id="4" w:name="_Toc186224273"/>
      <w:r>
        <w:rPr/>
        <w:t>Статус настоящего раздела</w:t>
      </w:r>
      <w:bookmarkEnd w:id="4"/>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3"/>
          </w:rPr>
          <w:t>Технических требованиях (Приложение № 1)</w:t>
        </w:r>
      </w:hyperlink>
      <w:r>
        <w:rPr>
          <w:rStyle w:val="Style13"/>
        </w:rPr>
        <w:t>,</w:t>
      </w:r>
      <w:r>
        <w:rPr/>
        <w:t xml:space="preserve"> в </w:t>
      </w:r>
      <w:hyperlink w:anchor="Прил02_ПроектДоговора">
        <w:r>
          <w:rPr>
            <w:rStyle w:val="Style13"/>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3"/>
        <w:spacing w:before="360" w:after="120"/>
        <w:rPr/>
      </w:pPr>
      <w:bookmarkStart w:id="6" w:name="_Ref125359973"/>
      <w:bookmarkStart w:id="7" w:name="_Ref127270076"/>
      <w:bookmarkStart w:id="8" w:name="_Toc186224274"/>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836"/>
        <w:gridCol w:w="3242"/>
        <w:gridCol w:w="5676"/>
      </w:tblGrid>
      <w:tr>
        <w:trPr>
          <w:cnfStyle w:val="100000000000" w:firstRow="1" w:lastRow="0" w:firstColumn="0" w:lastColumn="0" w:oddVBand="0" w:evenVBand="0" w:oddHBand="0" w:evenHBand="0" w:firstRowFirstColumn="0" w:firstRowLastColumn="0" w:lastRowFirstColumn="0" w:lastRowLastColumn="0"/>
        </w:trPr>
        <w:tc>
          <w:tcPr>
            <w:tcW w:w="83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28"/>
              <w:widowControl w:val="false"/>
              <w:suppressAutoHyphens w:val="true"/>
              <w:spacing w:before="60" w:after="60"/>
              <w:rPr>
                <w:i w:val="false"/>
                <w:i w:val="false"/>
                <w:iCs w:val="false"/>
                <w:sz w:val="24"/>
                <w:szCs w:val="24"/>
              </w:rPr>
            </w:pPr>
            <w:r>
              <w:rPr>
                <w:rFonts w:eastAsia="Calibri" w:cs=""/>
                <w:i w:val="false"/>
                <w:iCs w:val="false"/>
                <w:kern w:val="0"/>
                <w:sz w:val="24"/>
                <w:szCs w:val="24"/>
                <w:lang w:val="ru-RU" w:eastAsia="en-US" w:bidi="ar-SA"/>
              </w:rPr>
              <w:t>Лот № 4-РЕМ-2026-БурГЭС «ОКПД2 43.99.40. Текущий ремонт водосливной грани плотины Бурейской ГЭС»</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3"/>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Электронная (торговая) площадка: Электронная (торговая) площадка: АО «Российский аукционный дом» https://tender.lot-online.ru</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3"/>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676" w:type="dxa"/>
            <w:tcBorders/>
          </w:tcPr>
          <w:p>
            <w:pPr>
              <w:pStyle w:val="Tableheader"/>
              <w:widowControl w:val="false"/>
              <w:suppressAutoHyphens w:val="true"/>
              <w:spacing w:before="120" w:after="60"/>
              <w:jc w:val="left"/>
              <w:rPr>
                <w:b w:val="false"/>
                <w:sz w:val="26"/>
                <w:szCs w:val="26"/>
              </w:rPr>
            </w:pPr>
            <w:r>
              <w:rPr>
                <w:rStyle w:val="Style10"/>
                <w:rFonts w:eastAsia="Calibri" w:cs=""/>
                <w:b w:val="false"/>
                <w:i w:val="false"/>
                <w:iCs w:val="false"/>
                <w:color w:val="000000"/>
                <w:kern w:val="0"/>
                <w:sz w:val="26"/>
                <w:szCs w:val="26"/>
                <w:shd w:fill="FFFFFF" w:val="clear"/>
                <w:lang w:val="ru-RU" w:eastAsia="en-US" w:bidi="ar-SA"/>
              </w:rPr>
              <w:t>Наименование (полное и сокращенное): Публичное акционерное общество «Федеральная гидрогенерирующая компания – РусГидро»; ПАО «РусГидро»</w:t>
            </w:r>
          </w:p>
          <w:p>
            <w:pPr>
              <w:pStyle w:val="Tableheader"/>
              <w:widowControl w:val="false"/>
              <w:suppressAutoHyphens w:val="true"/>
              <w:spacing w:before="120" w:after="60"/>
              <w:jc w:val="left"/>
              <w:rPr>
                <w:b w:val="false"/>
                <w:sz w:val="26"/>
                <w:szCs w:val="26"/>
              </w:rPr>
            </w:pPr>
            <w:r>
              <w:rPr>
                <w:rStyle w:val="Style10"/>
                <w:rFonts w:eastAsia="Calibri" w:cs=""/>
                <w:b w:val="false"/>
                <w:i w:val="false"/>
                <w:iCs w:val="false"/>
                <w:color w:val="000000"/>
                <w:kern w:val="0"/>
                <w:sz w:val="26"/>
                <w:szCs w:val="26"/>
                <w:shd w:fill="FFFFFF" w:val="clear"/>
                <w:lang w:val="ru-RU" w:eastAsia="en-US" w:bidi="ar-SA"/>
              </w:rPr>
              <w:t>Место нахождения: 660049, Россия, Красноярский край,  г.о. город Красноярск, ул. Перенсона, зд. 2А, помещ.1</w:t>
            </w:r>
          </w:p>
          <w:p>
            <w:pPr>
              <w:pStyle w:val="Tableheader"/>
              <w:widowControl w:val="false"/>
              <w:suppressAutoHyphens w:val="true"/>
              <w:spacing w:before="120" w:after="60"/>
              <w:jc w:val="left"/>
              <w:rPr>
                <w:b w:val="false"/>
                <w:sz w:val="26"/>
                <w:szCs w:val="26"/>
              </w:rPr>
            </w:pPr>
            <w:r>
              <w:rPr>
                <w:rStyle w:val="Style10"/>
                <w:rFonts w:eastAsia="Calibri" w:cs=""/>
                <w:b w:val="false"/>
                <w:i w:val="false"/>
                <w:iCs w:val="false"/>
                <w:color w:val="000000"/>
                <w:kern w:val="0"/>
                <w:sz w:val="26"/>
                <w:szCs w:val="26"/>
                <w:shd w:fill="FFFFFF" w:val="clear"/>
                <w:lang w:val="ru-RU" w:eastAsia="en-US" w:bidi="ar-SA"/>
              </w:rPr>
              <w:t>Почтовый адрес: 660049, Россия, Красноярский край,  г.о. город Красноярск, ул. Перенсона, зд. 2А, помещ.1</w:t>
            </w:r>
          </w:p>
          <w:p>
            <w:pPr>
              <w:pStyle w:val="Tableheader"/>
              <w:widowControl w:val="false"/>
              <w:suppressAutoHyphens w:val="true"/>
              <w:spacing w:before="120" w:after="60"/>
              <w:jc w:val="left"/>
              <w:rPr>
                <w:b w:val="false"/>
                <w:sz w:val="26"/>
                <w:szCs w:val="26"/>
              </w:rPr>
            </w:pPr>
            <w:r>
              <w:rPr>
                <w:rStyle w:val="Style10"/>
                <w:rFonts w:eastAsia="Calibri" w:cs=""/>
                <w:b w:val="false"/>
                <w:i w:val="false"/>
                <w:iCs w:val="false"/>
                <w:color w:val="000000"/>
                <w:kern w:val="0"/>
                <w:sz w:val="26"/>
                <w:szCs w:val="26"/>
                <w:shd w:fill="FFFFFF" w:val="clear"/>
                <w:lang w:val="ru-RU" w:eastAsia="en-US" w:bidi="ar-SA"/>
              </w:rPr>
              <w:t xml:space="preserve">Адрес электронной почты: </w:t>
            </w:r>
            <w:hyperlink r:id="rId3">
              <w:r>
                <w:rPr>
                  <w:rStyle w:val="Hyperlink"/>
                  <w:rFonts w:eastAsia="Calibri" w:cs=""/>
                  <w:b w:val="false"/>
                  <w:i w:val="false"/>
                  <w:iCs w:val="false"/>
                  <w:color w:val="000000"/>
                  <w:kern w:val="0"/>
                  <w:sz w:val="26"/>
                  <w:szCs w:val="26"/>
                  <w:shd w:fill="FFFFFF" w:val="clear"/>
                  <w:lang w:val="ru-RU" w:eastAsia="en-US" w:bidi="ar-SA"/>
                </w:rPr>
                <w:t>OFFICE@RUSHYDRO.RU</w:t>
              </w:r>
            </w:hyperlink>
            <w:hyperlink r:id="rId4">
              <w:r>
                <w:rPr>
                  <w:rStyle w:val="Hyperlink"/>
                  <w:rFonts w:eastAsia="Calibri" w:cs=""/>
                  <w:b w:val="false"/>
                  <w:i w:val="false"/>
                  <w:iCs w:val="false"/>
                  <w:color w:val="000000"/>
                  <w:kern w:val="0"/>
                  <w:sz w:val="26"/>
                  <w:szCs w:val="26"/>
                  <w:shd w:fill="FFFFFF" w:val="clear"/>
                  <w:lang w:val="ru-RU" w:eastAsia="en-US" w:bidi="ar-SA"/>
                </w:rPr>
                <w:t xml:space="preserve"> </w:t>
              </w:r>
            </w:hyperlink>
            <w:r>
              <w:rPr>
                <w:rStyle w:val="Style10"/>
                <w:rFonts w:eastAsia="Calibri" w:cs=""/>
                <w:b w:val="false"/>
                <w:i w:val="false"/>
                <w:iCs w:val="false"/>
                <w:color w:val="000000"/>
                <w:kern w:val="0"/>
                <w:sz w:val="26"/>
                <w:szCs w:val="26"/>
                <w:shd w:fill="FFFFFF" w:val="clear"/>
                <w:lang w:val="ru-RU" w:eastAsia="en-US" w:bidi="ar-SA"/>
              </w:rPr>
              <w:t xml:space="preserve">  </w:t>
            </w:r>
          </w:p>
          <w:p>
            <w:pPr>
              <w:pStyle w:val="Tableheader"/>
              <w:widowControl w:val="false"/>
              <w:suppressAutoHyphens w:val="true"/>
              <w:spacing w:before="120" w:after="60"/>
              <w:jc w:val="left"/>
              <w:rPr>
                <w:b w:val="false"/>
                <w:sz w:val="26"/>
                <w:szCs w:val="26"/>
              </w:rPr>
            </w:pPr>
            <w:r>
              <w:rPr>
                <w:rStyle w:val="Style10"/>
                <w:rFonts w:eastAsia="Calibri" w:cs=""/>
                <w:b w:val="false"/>
                <w:i w:val="false"/>
                <w:iCs w:val="false"/>
                <w:color w:val="000000"/>
                <w:kern w:val="0"/>
                <w:sz w:val="26"/>
                <w:szCs w:val="26"/>
                <w:shd w:fill="FFFFFF" w:val="clear"/>
                <w:lang w:val="ru-RU" w:eastAsia="en-US" w:bidi="ar-SA"/>
              </w:rPr>
              <w:t>Контактный телефон: 8 (495) 225-32-32</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Tableheader"/>
              <w:widowControl w:val="false"/>
              <w:suppressAutoHyphens w:val="true"/>
              <w:spacing w:before="120" w:after="60"/>
              <w:jc w:val="left"/>
              <w:rPr>
                <w:b w:val="false"/>
                <w:sz w:val="26"/>
                <w:szCs w:val="26"/>
              </w:rPr>
            </w:pPr>
            <w:r>
              <w:rPr>
                <w:rStyle w:val="Emphasis"/>
                <w:rFonts w:eastAsia="Calibri" w:cs=""/>
                <w:b w:val="false"/>
                <w:i w:val="false"/>
                <w:iCs w:val="false"/>
                <w:color w:val="000000"/>
                <w:kern w:val="0"/>
                <w:sz w:val="26"/>
                <w:szCs w:val="22"/>
                <w:shd w:fill="FFFFFF" w:val="clear"/>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"Бурейская ГЭС"; Филиал ПАО "РусГидро" - "Бурейская ГЭС"</w:t>
            </w:r>
          </w:p>
          <w:p>
            <w:pPr>
              <w:pStyle w:val="Tableheader"/>
              <w:widowControl w:val="false"/>
              <w:suppressAutoHyphens w:val="true"/>
              <w:spacing w:before="120" w:after="60"/>
              <w:jc w:val="left"/>
              <w:rPr>
                <w:b w:val="false"/>
                <w:sz w:val="26"/>
                <w:szCs w:val="26"/>
              </w:rPr>
            </w:pPr>
            <w:r>
              <w:rPr>
                <w:rStyle w:val="Emphasis"/>
                <w:rFonts w:eastAsia="Calibri" w:cs=""/>
                <w:b w:val="false"/>
                <w:i w:val="false"/>
                <w:iCs w:val="false"/>
                <w:color w:val="000000"/>
                <w:kern w:val="0"/>
                <w:sz w:val="26"/>
                <w:szCs w:val="22"/>
                <w:shd w:fill="FFFFFF" w:val="clear"/>
                <w:lang w:val="ru-RU" w:eastAsia="en-US" w:bidi="ar-SA"/>
              </w:rPr>
              <w:t>Место нахождения: 676730, Амурская область, Бурейский район, пос. Талакан</w:t>
            </w:r>
          </w:p>
          <w:p>
            <w:pPr>
              <w:pStyle w:val="Tableheader"/>
              <w:widowControl w:val="false"/>
              <w:suppressAutoHyphens w:val="true"/>
              <w:spacing w:before="120" w:after="60"/>
              <w:jc w:val="left"/>
              <w:rPr>
                <w:b w:val="false"/>
                <w:sz w:val="26"/>
                <w:szCs w:val="26"/>
              </w:rPr>
            </w:pPr>
            <w:r>
              <w:rPr>
                <w:rStyle w:val="Emphasis"/>
                <w:rFonts w:eastAsia="Calibri" w:cs=""/>
                <w:b w:val="false"/>
                <w:i w:val="false"/>
                <w:iCs w:val="false"/>
                <w:color w:val="000000"/>
                <w:kern w:val="0"/>
                <w:sz w:val="26"/>
                <w:szCs w:val="22"/>
                <w:shd w:fill="FFFFFF" w:val="clear"/>
                <w:lang w:val="ru-RU" w:eastAsia="en-US" w:bidi="ar-SA"/>
              </w:rPr>
              <w:t>Почтовый адрес: 676730, Амурская область, Бурейский район, пос. Талакан</w:t>
            </w:r>
          </w:p>
          <w:p>
            <w:pPr>
              <w:pStyle w:val="Tableheader"/>
              <w:widowControl w:val="false"/>
              <w:suppressAutoHyphens w:val="true"/>
              <w:spacing w:before="120" w:after="60"/>
              <w:jc w:val="left"/>
              <w:rPr>
                <w:b w:val="false"/>
                <w:sz w:val="26"/>
                <w:szCs w:val="26"/>
              </w:rPr>
            </w:pPr>
            <w:r>
              <w:rPr>
                <w:rStyle w:val="Emphasis"/>
                <w:rFonts w:eastAsia="Calibri" w:cs=""/>
                <w:b w:val="false"/>
                <w:i w:val="false"/>
                <w:iCs w:val="false"/>
                <w:color w:val="000000"/>
                <w:kern w:val="0"/>
                <w:sz w:val="26"/>
                <w:szCs w:val="22"/>
                <w:shd w:fill="FFFFFF" w:val="clear"/>
                <w:lang w:val="ru-RU" w:eastAsia="en-US" w:bidi="ar-SA"/>
              </w:rPr>
              <w:t>Адрес электронной почты:</w:t>
            </w:r>
          </w:p>
          <w:p>
            <w:pPr>
              <w:pStyle w:val="Tableheader"/>
              <w:widowControl w:val="false"/>
              <w:suppressAutoHyphens w:val="true"/>
              <w:spacing w:before="120" w:after="60"/>
              <w:jc w:val="left"/>
              <w:rPr>
                <w:b w:val="false"/>
                <w:sz w:val="26"/>
                <w:szCs w:val="26"/>
              </w:rPr>
            </w:pPr>
            <w:hyperlink r:id="rId5">
              <w:r>
                <w:rPr>
                  <w:rStyle w:val="Hyperlink"/>
                  <w:rFonts w:eastAsia="Calibri" w:cs=""/>
                  <w:b w:val="false"/>
                  <w:i w:val="false"/>
                  <w:iCs w:val="false"/>
                  <w:color w:val="000000"/>
                  <w:kern w:val="0"/>
                  <w:sz w:val="26"/>
                  <w:szCs w:val="22"/>
                  <w:shd w:fill="FFFFFF" w:val="clear"/>
                  <w:lang w:val="ru-RU" w:eastAsia="en-US" w:bidi="ar-SA"/>
                </w:rPr>
                <w:t>OsadchayaEM@rushydro.ru</w:t>
              </w:r>
            </w:hyperlink>
            <w:hyperlink r:id="rId6">
              <w:r>
                <w:rPr>
                  <w:rStyle w:val="Hyperlink"/>
                  <w:rFonts w:eastAsia="Calibri" w:cs=""/>
                  <w:b w:val="false"/>
                  <w:i w:val="false"/>
                  <w:iCs w:val="false"/>
                  <w:color w:val="000000"/>
                  <w:kern w:val="0"/>
                  <w:sz w:val="26"/>
                  <w:szCs w:val="22"/>
                  <w:shd w:fill="FFFFFF" w:val="clear"/>
                  <w:lang w:val="ru-RU" w:eastAsia="en-US" w:bidi="ar-SA"/>
                </w:rPr>
                <w:t xml:space="preserve"> </w:t>
              </w:r>
            </w:hyperlink>
            <w:r>
              <w:rPr>
                <w:rStyle w:val="Emphasis"/>
                <w:rFonts w:eastAsia="Calibri" w:cs=""/>
                <w:b w:val="false"/>
                <w:i w:val="false"/>
                <w:iCs w:val="false"/>
                <w:color w:val="000000"/>
                <w:kern w:val="0"/>
                <w:sz w:val="26"/>
                <w:szCs w:val="22"/>
                <w:shd w:fill="FFFFFF" w:val="clear"/>
                <w:lang w:val="ru-RU" w:eastAsia="en-US" w:bidi="ar-SA"/>
              </w:rPr>
              <w:t xml:space="preserve">   </w:t>
            </w:r>
          </w:p>
          <w:p>
            <w:pPr>
              <w:pStyle w:val="Tableheader"/>
              <w:widowControl w:val="false"/>
              <w:suppressAutoHyphens w:val="true"/>
              <w:spacing w:before="120" w:after="60"/>
              <w:jc w:val="left"/>
              <w:rPr>
                <w:b w:val="false"/>
                <w:sz w:val="26"/>
                <w:szCs w:val="26"/>
              </w:rPr>
            </w:pPr>
            <w:r>
              <w:rPr>
                <w:rStyle w:val="Emphasis"/>
                <w:rFonts w:eastAsia="Calibri" w:cs=""/>
                <w:b w:val="false"/>
                <w:i w:val="false"/>
                <w:iCs w:val="false"/>
                <w:color w:val="000000"/>
                <w:kern w:val="0"/>
                <w:sz w:val="26"/>
                <w:szCs w:val="22"/>
                <w:shd w:fill="FFFFFF" w:val="clear"/>
                <w:lang w:val="ru-RU" w:eastAsia="en-US" w:bidi="ar-SA"/>
              </w:rPr>
              <w:t>Контактный телефон: 8(41634)28333,  доп. 26-31</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28"/>
              <w:keepNext w:val="true"/>
              <w:widowControl w:val="false"/>
              <w:suppressAutoHyphens w:val="true"/>
              <w:spacing w:before="60" w:after="60"/>
              <w:rPr/>
            </w:pPr>
            <w:r>
              <w:rPr>
                <w:rStyle w:val="Emphasis"/>
                <w:rFonts w:eastAsia="Calibri" w:cs=""/>
                <w:b w:val="false"/>
                <w:i w:val="false"/>
                <w:iCs w:val="false"/>
                <w:color w:val="000000"/>
                <w:kern w:val="0"/>
                <w:sz w:val="26"/>
                <w:szCs w:val="22"/>
                <w:shd w:fill="FFFFFF" w:val="clear"/>
                <w:lang w:val="ru-RU" w:eastAsia="en-US" w:bidi="ar-SA"/>
              </w:rPr>
              <w:t>Контактное лицо (Ф.И.О.): Осадчая Елена Михайловна</w:t>
            </w:r>
          </w:p>
          <w:p>
            <w:pPr>
              <w:pStyle w:val="Style28"/>
              <w:widowControl w:val="false"/>
              <w:suppressAutoHyphens w:val="true"/>
              <w:spacing w:before="60" w:after="60"/>
              <w:rPr/>
            </w:pPr>
            <w:r>
              <w:rPr>
                <w:rStyle w:val="Emphasis"/>
                <w:rFonts w:eastAsia="Calibri" w:cs=""/>
                <w:b w:val="false"/>
                <w:i w:val="false"/>
                <w:iCs w:val="false"/>
                <w:color w:val="000000"/>
                <w:kern w:val="0"/>
                <w:sz w:val="26"/>
                <w:szCs w:val="22"/>
                <w:shd w:fill="FFFFFF" w:val="clear"/>
                <w:lang w:val="ru-RU" w:eastAsia="en-US" w:bidi="ar-SA"/>
              </w:rPr>
              <w:t>Адрес электронной почты:</w:t>
            </w:r>
          </w:p>
          <w:p>
            <w:pPr>
              <w:pStyle w:val="Style28"/>
              <w:widowControl w:val="false"/>
              <w:suppressAutoHyphens w:val="true"/>
              <w:spacing w:before="60" w:after="60"/>
              <w:rPr/>
            </w:pPr>
            <w:hyperlink r:id="rId7">
              <w:r>
                <w:rPr>
                  <w:rStyle w:val="Hyperlink"/>
                  <w:rFonts w:eastAsia="Calibri" w:cs=""/>
                  <w:b w:val="false"/>
                  <w:i w:val="false"/>
                  <w:iCs w:val="false"/>
                  <w:color w:val="000000"/>
                  <w:kern w:val="0"/>
                  <w:sz w:val="26"/>
                  <w:szCs w:val="22"/>
                  <w:shd w:fill="FFFFFF" w:val="clear"/>
                  <w:lang w:val="ru-RU" w:eastAsia="en-US" w:bidi="ar-SA"/>
                </w:rPr>
                <w:t>OsadchayaEM@rushydro.ru</w:t>
              </w:r>
            </w:hyperlink>
            <w:hyperlink r:id="rId8">
              <w:r>
                <w:rPr>
                  <w:rStyle w:val="Hyperlink"/>
                  <w:rFonts w:eastAsia="Calibri" w:cs=""/>
                  <w:b w:val="false"/>
                  <w:i w:val="false"/>
                  <w:iCs w:val="false"/>
                  <w:color w:val="000000"/>
                  <w:kern w:val="0"/>
                  <w:sz w:val="26"/>
                  <w:szCs w:val="22"/>
                  <w:shd w:fill="FFFFFF" w:val="clear"/>
                  <w:lang w:val="ru-RU" w:eastAsia="en-US" w:bidi="ar-SA"/>
                </w:rPr>
                <w:t xml:space="preserve"> </w:t>
              </w:r>
            </w:hyperlink>
            <w:r>
              <w:rPr>
                <w:rStyle w:val="Emphasis"/>
                <w:rFonts w:eastAsia="Calibri" w:cs=""/>
                <w:b w:val="false"/>
                <w:i w:val="false"/>
                <w:iCs w:val="false"/>
                <w:color w:val="000000"/>
                <w:kern w:val="0"/>
                <w:sz w:val="26"/>
                <w:szCs w:val="22"/>
                <w:shd w:fill="FFFFFF" w:val="clear"/>
                <w:lang w:val="ru-RU" w:eastAsia="en-US" w:bidi="ar-SA"/>
              </w:rPr>
              <w:t xml:space="preserve">  </w:t>
            </w:r>
          </w:p>
          <w:p>
            <w:pPr>
              <w:pStyle w:val="Style28"/>
              <w:widowControl w:val="false"/>
              <w:suppressAutoHyphens w:val="true"/>
              <w:spacing w:before="60" w:after="60"/>
              <w:rPr/>
            </w:pPr>
            <w:r>
              <w:rPr>
                <w:rStyle w:val="Emphasis"/>
                <w:rFonts w:eastAsia="Calibri" w:cs=""/>
                <w:b w:val="false"/>
                <w:i w:val="false"/>
                <w:iCs w:val="false"/>
                <w:color w:val="000000"/>
                <w:kern w:val="0"/>
                <w:sz w:val="26"/>
                <w:szCs w:val="22"/>
                <w:shd w:fill="FFFFFF" w:val="clear"/>
                <w:lang w:val="ru-RU" w:eastAsia="en-US" w:bidi="ar-SA"/>
              </w:rPr>
              <w:t>Контактный телефон: 8(41634)28333,  доп. 26-31</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«16» июля 2026г.</w:t>
            </w:r>
          </w:p>
          <w:p>
            <w:pPr>
              <w:pStyle w:val="Style28"/>
              <w:widowControl w:val="false"/>
              <w:suppressAutoHyphens w:val="true"/>
              <w:spacing w:before="60" w:after="60"/>
              <w:rPr>
                <w:rStyle w:val="Style10"/>
              </w:rPr>
            </w:pPr>
            <w:r>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НМЦ составляет  4 606 442,64 руб., без учета НДС.</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3"/>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предоставляется</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242"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«16» июля 2026 г.</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«29» июля 2026 г. в 08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«29» июля 2026 г. в 08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«17» августа 2026 г.</w:t>
            </w:r>
          </w:p>
          <w:p>
            <w:pPr>
              <w:pStyle w:val="Style28"/>
              <w:widowControl w:val="false"/>
              <w:suppressAutoHyphens w:val="true"/>
              <w:spacing w:before="60" w:after="60"/>
              <w:rPr>
                <w:rStyle w:val="Style10"/>
              </w:rPr>
            </w:pPr>
            <w:r>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«17» августа 2026 г.</w:t>
            </w:r>
          </w:p>
          <w:p>
            <w:pPr>
              <w:pStyle w:val="Style28"/>
              <w:widowControl w:val="false"/>
              <w:suppressAutoHyphens w:val="true"/>
              <w:spacing w:before="60" w:after="60"/>
              <w:rPr>
                <w:rStyle w:val="Style10"/>
              </w:rPr>
            </w:pPr>
            <w:r>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5).</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Системой ЭДО ПАО «РусГидро» является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w:t>
            </w:r>
          </w:p>
          <w:p>
            <w:pPr>
              <w:pStyle w:val="Normal"/>
              <w:widowControl w:val="false"/>
              <w:suppressAutoHyphens w:val="true"/>
              <w:spacing w:lineRule="auto" w:line="240" w:before="60" w:after="60"/>
              <w:ind w:right="-108" w:hanging="0"/>
              <w:jc w:val="left"/>
              <w:rPr>
                <w:i w:val="false"/>
                <w:i w:val="false"/>
                <w:iCs w:val="false"/>
                <w:sz w:val="26"/>
                <w:szCs w:val="26"/>
              </w:rPr>
            </w:pPr>
            <w:r>
              <w:rPr>
                <w:i w:val="false"/>
                <w:iCs w:val="false"/>
                <w:sz w:val="26"/>
                <w:szCs w:val="26"/>
              </w:rPr>
              <w:t>Кравченко Татьяна Николаевна</w:t>
            </w:r>
          </w:p>
          <w:p>
            <w:pPr>
              <w:pStyle w:val="Tableheader"/>
              <w:widowControl w:val="false"/>
              <w:suppressAutoHyphens w:val="true"/>
              <w:spacing w:before="120" w:after="120"/>
              <w:jc w:val="left"/>
              <w:rPr>
                <w:sz w:val="26"/>
                <w:szCs w:val="26"/>
              </w:rPr>
            </w:pPr>
            <w:r>
              <w:rPr>
                <w:rFonts w:eastAsia="Calibri" w:cs=""/>
                <w:b w:val="false"/>
                <w:i w:val="false"/>
                <w:iCs w:val="false"/>
                <w:kern w:val="0"/>
                <w:sz w:val="26"/>
                <w:szCs w:val="26"/>
                <w:lang w:val="ru-RU" w:eastAsia="en-US" w:bidi="ar-SA"/>
              </w:rPr>
              <w:t>Почтовый адрес: 676730, Российская Федерация, Амурская область, Бурейский округ, пгт. Талакан</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ind w:left="567" w:hanging="0"/>
              <w:rPr>
                <w:rStyle w:val="Style10"/>
                <w:rFonts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3"/>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r>
        <w:trPr/>
        <w:tc>
          <w:tcPr>
            <w:tcW w:w="9754" w:type="dxa"/>
            <w:gridSpan w:val="3"/>
            <w:tcBorders>
              <w:top w:val="nil"/>
            </w:tcBorders>
          </w:tcPr>
          <w:p>
            <w:pPr>
              <w:pStyle w:val="Normal"/>
              <w:widowControl w:val="false"/>
              <w:suppressAutoHyphens w:val="true"/>
              <w:spacing w:before="120" w:after="120"/>
              <w:jc w:val="center"/>
              <w:rPr/>
            </w:pPr>
            <w:r>
              <w:rPr>
                <w:b/>
              </w:rPr>
              <w:t>Для данной закупки процедура переторжки не предусмотрена!</w:t>
            </w:r>
          </w:p>
        </w:tc>
      </w:tr>
    </w:tbl>
    <w:p>
      <w:pPr>
        <w:pStyle w:val="Style22"/>
        <w:rPr/>
      </w:pPr>
      <w:bookmarkStart w:id="59" w:name="_Ref125360337"/>
      <w:bookmarkStart w:id="60" w:name="_Ref125360073"/>
      <w:bookmarkStart w:id="61" w:name="_Toc186224275"/>
      <w:r>
        <w:rPr/>
        <w:t>Общие положения</w:t>
      </w:r>
      <w:bookmarkEnd w:id="59"/>
      <w:bookmarkEnd w:id="60"/>
      <w:bookmarkEnd w:id="61"/>
    </w:p>
    <w:p>
      <w:pPr>
        <w:pStyle w:val="Style23"/>
        <w:rPr/>
      </w:pPr>
      <w:bookmarkStart w:id="62" w:name="_Toc186224276"/>
      <w:r>
        <w:rPr/>
        <w:t>Общие сведения о закупке</w:t>
      </w:r>
      <w:bookmarkEnd w:id="62"/>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3"/>
          </w:rPr>
          <w:t>Технических требованиях (Приложение № 1)</w:t>
        </w:r>
      </w:hyperlink>
      <w:r>
        <w:rPr/>
        <w:t xml:space="preserve">. </w:t>
      </w:r>
      <w:hyperlink w:anchor="Прил02_ПроектДоговора">
        <w:r>
          <w:rPr>
            <w:rStyle w:val="Style13"/>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3"/>
          </w:rPr>
          <w:t>Приложении № 2</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3"/>
          </w:rPr>
          <w:t>№ 4</w:t>
        </w:r>
      </w:hyperlink>
      <w:r>
        <w:rPr/>
        <w:t xml:space="preserve">, </w:t>
      </w:r>
      <w:hyperlink w:anchor="Прил05_ФормыПобедителя">
        <w:r>
          <w:rPr>
            <w:rStyle w:val="Style13"/>
          </w:rPr>
          <w:t>№ 5</w:t>
        </w:r>
      </w:hyperlink>
      <w:r>
        <w:rPr/>
        <w:t>.</w:t>
      </w:r>
    </w:p>
    <w:p>
      <w:pPr>
        <w:pStyle w:val="Style23"/>
        <w:rPr/>
      </w:pPr>
      <w:bookmarkStart w:id="63" w:name="_Toc186224277"/>
      <w:r>
        <w:rPr/>
        <w:t>Правовой статус документов</w:t>
      </w:r>
      <w:bookmarkEnd w:id="63"/>
    </w:p>
    <w:p>
      <w:pPr>
        <w:pStyle w:val="Style24"/>
        <w:rPr/>
      </w:pPr>
      <w:r>
        <w:rPr/>
        <w:t>Состязательный отбор не является конкурентной процедурой в соответствии с действующим законодательством.</w:t>
      </w:r>
    </w:p>
    <w:p>
      <w:pPr>
        <w:pStyle w:val="Style24"/>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4"/>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4"/>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5" w:name="_Ref125363536"/>
      <w:bookmarkStart w:id="66" w:name="_Toc186224278"/>
      <w:r>
        <w:rPr/>
        <w:t>Обжалование</w:t>
      </w:r>
      <w:bookmarkEnd w:id="65"/>
      <w:bookmarkEnd w:id="66"/>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7" w:name="_Ref125472658"/>
      <w:bookmarkStart w:id="68" w:name="_Toc186224279"/>
      <w:r>
        <w:rPr/>
        <w:t>Особые положения при проведении закупки с использованием ЭП</w:t>
      </w:r>
      <w:bookmarkEnd w:id="67"/>
      <w:bookmarkEnd w:id="68"/>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4"/>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4"/>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3"/>
        <w:rPr/>
      </w:pPr>
      <w:bookmarkStart w:id="71" w:name="_Toc186224280"/>
      <w:r>
        <w:rPr/>
        <w:t>Прочие положения</w:t>
      </w:r>
      <w:bookmarkEnd w:id="71"/>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3" w:name="_Toc186224281"/>
      <w:bookmarkStart w:id="74" w:name="_Ref125361210"/>
      <w:r>
        <w:rPr/>
        <w:t>Требования к Участникам</w:t>
      </w:r>
      <w:bookmarkEnd w:id="73"/>
      <w:bookmarkEnd w:id="74"/>
    </w:p>
    <w:p>
      <w:pPr>
        <w:pStyle w:val="Style23"/>
        <w:rPr/>
      </w:pPr>
      <w:bookmarkStart w:id="75" w:name="_Ref127524530"/>
      <w:bookmarkStart w:id="76" w:name="_Toc186224282"/>
      <w:r>
        <w:rPr/>
        <w:t>Общие требования к Участникам</w:t>
      </w:r>
      <w:bookmarkEnd w:id="75"/>
      <w:bookmarkEnd w:id="76"/>
    </w:p>
    <w:p>
      <w:pPr>
        <w:pStyle w:val="Style24"/>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4"/>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3"/>
          </w:rPr>
          <w:t>Технических требований (Приложение № 1)</w:t>
        </w:r>
      </w:hyperlink>
      <w:r>
        <w:rPr/>
        <w:t xml:space="preserve"> и </w:t>
      </w:r>
      <w:hyperlink w:anchor="Прил02_ПроектДоговора">
        <w:r>
          <w:rPr>
            <w:rStyle w:val="Style13"/>
          </w:rPr>
          <w:t>Проекта договора (Приложение № 2)</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3"/>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5"/>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3"/>
          </w:rPr>
          <w:t>Требованиях к Участникам (Приложение № 3)</w:t>
        </w:r>
      </w:hyperlink>
      <w:r>
        <w:rPr/>
        <w:t>, если иное не установлено в Документации о закупке.</w:t>
      </w:r>
    </w:p>
    <w:p>
      <w:pPr>
        <w:pStyle w:val="Style23"/>
        <w:rPr/>
      </w:pPr>
      <w:bookmarkStart w:id="78" w:name="_Ref130308062"/>
      <w:bookmarkStart w:id="79" w:name="_Ref130305355"/>
      <w:bookmarkStart w:id="80" w:name="_Ref130308111"/>
      <w:bookmarkStart w:id="81" w:name="_Ref130308203"/>
      <w:bookmarkStart w:id="82" w:name="_Ref130308255"/>
      <w:bookmarkStart w:id="83" w:name="_Toc186224283"/>
      <w:bookmarkStart w:id="84" w:name="_Ref125361969"/>
      <w:bookmarkStart w:id="85" w:name="_Ref125361976"/>
      <w:r>
        <w:rPr/>
        <w:t>Коллективные участники</w:t>
      </w:r>
      <w:bookmarkEnd w:id="78"/>
      <w:bookmarkEnd w:id="79"/>
      <w:bookmarkEnd w:id="80"/>
      <w:bookmarkEnd w:id="81"/>
      <w:bookmarkEnd w:id="82"/>
      <w:bookmarkEnd w:id="83"/>
      <w:bookmarkEnd w:id="84"/>
      <w:bookmarkEnd w:id="85"/>
    </w:p>
    <w:p>
      <w:pPr>
        <w:pStyle w:val="Style24"/>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3"/>
          </w:rPr>
          <w:t>Приложение № 4</w:t>
        </w:r>
      </w:hyperlink>
      <w:r>
        <w:rPr/>
        <w:t>) на то, что он представляет интересы Коллективного участника.</w:t>
      </w:r>
    </w:p>
    <w:p>
      <w:pPr>
        <w:pStyle w:val="Style24"/>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4"/>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4"/>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3"/>
          </w:rPr>
          <w:t>Приложение № 3</w:t>
        </w:r>
      </w:hyperlink>
      <w:r>
        <w:rPr>
          <w:rStyle w:val="Style13"/>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91" w:name="_Ref125361702"/>
      <w:bookmarkStart w:id="92" w:name="_Toc186224284"/>
      <w:r>
        <w:rPr/>
        <w:t>Генеральные подрядчики</w:t>
      </w:r>
      <w:bookmarkEnd w:id="91"/>
      <w:bookmarkEnd w:id="92"/>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5"/>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28"/>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3"/>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9"/>
          <w:footerReference w:type="default" r:id="rId1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95" w:name="_Ref125361211"/>
      <w:bookmarkStart w:id="96" w:name="_Ref125367098"/>
      <w:bookmarkStart w:id="97" w:name="_Ref125367107"/>
      <w:bookmarkStart w:id="98" w:name="_Ref125367974"/>
      <w:bookmarkStart w:id="99" w:name="_Toc186224285"/>
      <w:r>
        <w:rPr/>
        <w:t>Порядок проведения закупки</w:t>
      </w:r>
      <w:bookmarkEnd w:id="95"/>
      <w:bookmarkEnd w:id="96"/>
      <w:bookmarkEnd w:id="97"/>
      <w:bookmarkEnd w:id="98"/>
      <w:bookmarkEnd w:id="99"/>
    </w:p>
    <w:p>
      <w:pPr>
        <w:pStyle w:val="Style23"/>
        <w:rPr/>
      </w:pPr>
      <w:bookmarkStart w:id="100" w:name="_Ref126141932"/>
      <w:bookmarkStart w:id="101" w:name="_Toc186224286"/>
      <w:r>
        <w:rPr/>
        <w:t>Общий порядок проведения закупки</w:t>
      </w:r>
      <w:bookmarkEnd w:id="100"/>
      <w:bookmarkEnd w:id="101"/>
    </w:p>
    <w:p>
      <w:pPr>
        <w:pStyle w:val="Style24"/>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02" w:name="_Ref130286532"/>
      <w:bookmarkStart w:id="103" w:name="_Toc186224287"/>
      <w:r>
        <w:rPr/>
        <w:t>Официальное размещение Извещения и Документации о закупке</w:t>
      </w:r>
      <w:bookmarkEnd w:id="102"/>
      <w:bookmarkEnd w:id="103"/>
    </w:p>
    <w:p>
      <w:pPr>
        <w:pStyle w:val="Style24"/>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4"/>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05" w:name="_Ref130281199"/>
      <w:bookmarkStart w:id="106" w:name="_Ref130394681"/>
      <w:bookmarkStart w:id="107" w:name="_Toc186224288"/>
      <w:r>
        <w:rPr/>
        <w:t>Подготовка заявки</w:t>
      </w:r>
      <w:bookmarkEnd w:id="105"/>
      <w:bookmarkEnd w:id="106"/>
      <w:bookmarkEnd w:id="107"/>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3"/>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3"/>
          </w:rPr>
          <w:t>Приложение № 4</w:t>
        </w:r>
      </w:hyperlink>
      <w:r>
        <w:rPr/>
        <w:t>.</w:t>
      </w:r>
    </w:p>
    <w:p>
      <w:pPr>
        <w:pStyle w:val="Style24"/>
        <w:rPr/>
      </w:pPr>
      <w:bookmarkStart w:id="108" w:name="_Ref130394854"/>
      <w:bookmarkStart w:id="109"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3"/>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10" w:name="_Ref125370700"/>
      <w:bookmarkStart w:id="111"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3"/>
          </w:rPr>
          <w:t>Техническими требованиями (Приложение № 1)</w:t>
        </w:r>
      </w:hyperlink>
      <w:r>
        <w:rPr/>
        <w:t xml:space="preserve"> и </w:t>
      </w:r>
      <w:hyperlink w:anchor="Прил02_ПроектДоговора">
        <w:r>
          <w:rPr>
            <w:rStyle w:val="Style13"/>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0"/>
      <w:bookmarkEnd w:id="111"/>
    </w:p>
    <w:p>
      <w:pPr>
        <w:pStyle w:val="Style24"/>
        <w:rPr/>
      </w:pPr>
      <w:bookmarkStart w:id="112"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3"/>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w:t>
      </w:r>
      <w:bookmarkEnd w:id="112"/>
    </w:p>
    <w:p>
      <w:pPr>
        <w:pStyle w:val="Style24"/>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3"/>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4"/>
        <w:rPr/>
      </w:pPr>
      <w:r>
        <w:rPr/>
        <w:t xml:space="preserve">Если в </w:t>
      </w:r>
      <w:hyperlink w:anchor="Прил01_ТехТребования">
        <w:r>
          <w:rPr>
            <w:rStyle w:val="Style13"/>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3"/>
          </w:rPr>
          <w:t>Технических требованиях (Приложение № 1)</w:t>
        </w:r>
      </w:hyperlink>
      <w:r>
        <w:rPr/>
        <w:t>.</w:t>
      </w:r>
    </w:p>
    <w:p>
      <w:pPr>
        <w:pStyle w:val="Style24"/>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3"/>
          </w:rPr>
          <w:t>Техническими требованиями (Приложение № 1)</w:t>
        </w:r>
      </w:hyperlink>
      <w:r>
        <w:rPr/>
        <w:t>.</w:t>
      </w:r>
      <w:bookmarkEnd w:id="113"/>
    </w:p>
    <w:p>
      <w:pPr>
        <w:pStyle w:val="Style24"/>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4"/>
    </w:p>
    <w:p>
      <w:pPr>
        <w:pStyle w:val="Style31"/>
        <w:rPr>
          <w:lang w:val="en-US"/>
        </w:rPr>
      </w:pPr>
      <w:r>
        <w:rPr>
          <w:lang w:val="en-US"/>
        </w:rPr>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15" w:name="_Ref125370398"/>
      <w:bookmarkStart w:id="116" w:name="_Ref125714384"/>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17" w:name="_Ref130394205"/>
      <w:bookmarkStart w:id="118" w:name="_Ref130394785"/>
      <w:bookmarkStart w:id="119" w:name="_Ref130394802"/>
      <w:bookmarkStart w:id="120" w:name="_Toc186224289"/>
      <w:bookmarkStart w:id="121" w:name="_Ref125361260"/>
      <w:bookmarkStart w:id="122" w:name="_Ref125362071"/>
      <w:bookmarkStart w:id="123" w:name="_Ref125366672"/>
      <w:r>
        <w:rPr/>
        <w:t>Разъяснение Документации о закупке</w:t>
      </w:r>
      <w:bookmarkEnd w:id="117"/>
      <w:bookmarkEnd w:id="118"/>
      <w:bookmarkEnd w:id="119"/>
      <w:bookmarkEnd w:id="120"/>
      <w:bookmarkEnd w:id="121"/>
      <w:bookmarkEnd w:id="122"/>
      <w:bookmarkEnd w:id="123"/>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3"/>
          </w:rPr>
          <w:t>Проекта договора (Приложения № 2)</w:t>
        </w:r>
      </w:hyperlink>
      <w:r>
        <w:rPr>
          <w:rStyle w:val="Style13"/>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24" w:name="_Ref125363891"/>
      <w:bookmarkStart w:id="125" w:name="_Toc186224290"/>
      <w:bookmarkStart w:id="126" w:name="_Ref125364404"/>
      <w:bookmarkStart w:id="127" w:name="_Ref125362076"/>
      <w:r>
        <w:rPr/>
        <w:t>Изменения Извещения и (или) Документации о закупке</w:t>
      </w:r>
      <w:bookmarkEnd w:id="124"/>
      <w:bookmarkEnd w:id="125"/>
      <w:bookmarkEnd w:id="126"/>
      <w:bookmarkEnd w:id="127"/>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30" w:name="_Ref125362119"/>
      <w:bookmarkStart w:id="131" w:name="_Toc186224291"/>
      <w:r>
        <w:rPr/>
        <w:t>Подача заявок и их прием</w:t>
      </w:r>
      <w:bookmarkEnd w:id="130"/>
      <w:bookmarkEnd w:id="131"/>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Заявка должна быть подписана 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32" w:name="_Ref125362130"/>
      <w:bookmarkStart w:id="133" w:name="_Ref125362192"/>
      <w:bookmarkStart w:id="134" w:name="_Ref125363819"/>
      <w:bookmarkStart w:id="135" w:name="_Ref125365136"/>
      <w:bookmarkStart w:id="136" w:name="_Toc186224292"/>
      <w:r>
        <w:rPr/>
        <w:t>Изменение и отзыв заявок</w:t>
      </w:r>
      <w:bookmarkEnd w:id="132"/>
      <w:bookmarkEnd w:id="133"/>
      <w:bookmarkEnd w:id="134"/>
      <w:bookmarkEnd w:id="135"/>
      <w:bookmarkEnd w:id="136"/>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37" w:name="_Toc186224293"/>
      <w:bookmarkStart w:id="138" w:name="_Ref125364340"/>
      <w:bookmarkStart w:id="139" w:name="_Ref130221619"/>
      <w:bookmarkEnd w:id="138"/>
      <w:r>
        <w:rPr/>
        <w:t>Открытие доступа к заявкам</w:t>
      </w:r>
      <w:bookmarkEnd w:id="137"/>
      <w:bookmarkEnd w:id="139"/>
    </w:p>
    <w:p>
      <w:pPr>
        <w:pStyle w:val="Style24"/>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Оператор ЭП предоставляет Организатору доступ одновременно ко всем поданным заявкам в полном объеме.</w:t>
      </w:r>
    </w:p>
    <w:p>
      <w:pPr>
        <w:pStyle w:val="Style24"/>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rPr/>
      </w:pPr>
      <w:r>
        <w:rPr/>
        <w:t>стоимости заявок (или иное указание на общую стоимость заявки);</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4"/>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4"/>
        <w:rPr/>
      </w:pPr>
      <w:r>
        <w:rPr/>
        <w:t>Порядок получения Участниками информации о поступивших заявках через ЭП определяется Регламентом ЭП.</w:t>
      </w:r>
    </w:p>
    <w:p>
      <w:pPr>
        <w:pStyle w:val="Style23"/>
        <w:rPr/>
      </w:pPr>
      <w:bookmarkStart w:id="140" w:name="_Ref135749133"/>
      <w:bookmarkStart w:id="141" w:name="_Toc186224294"/>
      <w:bookmarkStart w:id="142" w:name="_Ref125362364"/>
      <w:bookmarkStart w:id="143" w:name="_Ref125366689"/>
      <w:bookmarkStart w:id="144" w:name="_Ref125364340_Копия_1"/>
      <w:bookmarkEnd w:id="144"/>
      <w:r>
        <w:rPr/>
        <w:t>Рассмотрение заявок (отборочная стадия)</w:t>
      </w:r>
      <w:bookmarkEnd w:id="142"/>
      <w:bookmarkEnd w:id="143"/>
      <w:r>
        <w:rPr/>
        <w:t>, в том числе (при необходимости) проведение аккредитации</w:t>
      </w:r>
      <w:bookmarkEnd w:id="140"/>
      <w:bookmarkEnd w:id="141"/>
    </w:p>
    <w:p>
      <w:pPr>
        <w:pStyle w:val="Style24"/>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3"/>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r>
        <w:rPr/>
        <w:t>При выявлении в рамках рассмотрения заявок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5"/>
    </w:p>
    <w:p>
      <w:pPr>
        <w:pStyle w:val="Style25"/>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заявки,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5"/>
        <w:rPr/>
      </w:pPr>
      <w:r>
        <w:rPr/>
        <w:t>несоответствие размера, формы, условий и порядка предоставления обеспечения заявки.</w:t>
      </w:r>
    </w:p>
    <w:p>
      <w:pPr>
        <w:pStyle w:val="Style24"/>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4"/>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5"/>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6"/>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6"/>
        <w:rPr/>
      </w:pPr>
      <w:r>
        <w:rPr/>
        <w:t>порядкового номера каждой допущенной заявки в предварительной ранжировке заявок, включая стоимость заявки (цену Договора);</w:t>
      </w:r>
    </w:p>
    <w:p>
      <w:pPr>
        <w:pStyle w:val="Style25"/>
        <w:rPr/>
      </w:pPr>
      <w:bookmarkStart w:id="146" w:name="_Ref125551524"/>
      <w:r>
        <w:rPr/>
        <w:t>решение о проведении или непроведении переторжки,</w:t>
      </w:r>
      <w:bookmarkEnd w:id="146"/>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4"/>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4"/>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3"/>
        <w:rPr/>
      </w:pPr>
      <w:bookmarkStart w:id="147" w:name="_Ref125362381"/>
      <w:bookmarkStart w:id="148" w:name="_Ref125362425"/>
      <w:bookmarkStart w:id="149" w:name="_Toc186224295"/>
      <w:bookmarkStart w:id="150" w:name="_Ref125362610"/>
      <w:bookmarkStart w:id="151" w:name="_Ref125362464"/>
      <w:r>
        <w:rPr/>
        <w:t>Дополнительные запросы разъяснений заявок</w:t>
      </w:r>
      <w:bookmarkEnd w:id="147"/>
      <w:bookmarkEnd w:id="148"/>
      <w:bookmarkEnd w:id="149"/>
      <w:bookmarkEnd w:id="150"/>
      <w:bookmarkEnd w:id="151"/>
    </w:p>
    <w:p>
      <w:pPr>
        <w:pStyle w:val="Style24"/>
        <w:rPr/>
      </w:pPr>
      <w:bookmarkStart w:id="152"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2"/>
    </w:p>
    <w:p>
      <w:pPr>
        <w:pStyle w:val="Style25"/>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r>
        <w:rPr/>
        <w:t>наличия соответствующих полномочий на подписание заявки от имени Участника у лица, подписавшего заявку;</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53"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5"/>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3"/>
    </w:p>
    <w:p>
      <w:pPr>
        <w:pStyle w:val="Style24"/>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3"/>
        <w:rPr/>
      </w:pPr>
      <w:bookmarkStart w:id="154" w:name="_Ref125362430"/>
      <w:bookmarkStart w:id="155" w:name="_Ref125362537"/>
      <w:bookmarkStart w:id="156" w:name="_Ref127536359"/>
      <w:bookmarkStart w:id="157" w:name="_Toc186224296"/>
      <w:r>
        <w:rPr/>
        <w:t>Переторжка</w:t>
      </w:r>
      <w:bookmarkEnd w:id="154"/>
      <w:bookmarkEnd w:id="155"/>
      <w:bookmarkEnd w:id="156"/>
      <w:bookmarkEnd w:id="157"/>
    </w:p>
    <w:p>
      <w:pPr>
        <w:pStyle w:val="Style24"/>
        <w:rPr/>
      </w:pPr>
      <w:r>
        <w:rPr/>
        <w:t>Нормы настоящего подраздела применяются в случае проведения процедуры переторжки.</w:t>
      </w:r>
    </w:p>
    <w:p>
      <w:pPr>
        <w:pStyle w:val="Style24"/>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4"/>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5"/>
        <w:rPr/>
      </w:pPr>
      <w:r>
        <w:rPr/>
        <w:t>стоимость заявки (цена Договора) / цена за единицу продукции;</w:t>
      </w:r>
    </w:p>
    <w:p>
      <w:pPr>
        <w:pStyle w:val="Style25"/>
        <w:rPr/>
      </w:pPr>
      <w:r>
        <w:rPr/>
        <w:t>сроки поставки продукции;</w:t>
      </w:r>
    </w:p>
    <w:p>
      <w:pPr>
        <w:pStyle w:val="Style25"/>
        <w:rPr/>
      </w:pPr>
      <w:r>
        <w:rPr/>
        <w:t>условия оплаты;</w:t>
      </w:r>
    </w:p>
    <w:p>
      <w:pPr>
        <w:pStyle w:val="Style25"/>
        <w:rPr/>
      </w:pPr>
      <w:r>
        <w:rPr/>
        <w:t>иные условия, которые являются критериями оценки заявок.</w:t>
      </w:r>
    </w:p>
    <w:p>
      <w:pPr>
        <w:pStyle w:val="Style28"/>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4"/>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4"/>
        <w:rPr/>
      </w:pPr>
      <w:r>
        <w:rPr/>
        <w:t>В переторжке может принять участие любой Участник, заявка которого не была отклонена по результатам рассмотрения заявок.</w:t>
      </w:r>
    </w:p>
    <w:p>
      <w:pPr>
        <w:pStyle w:val="Style24"/>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3"/>
          </w:rPr>
          <w:t>Приложение № 4</w:t>
        </w:r>
      </w:hyperlink>
      <w:r>
        <w:rPr/>
        <w:t>).</w:t>
      </w:r>
    </w:p>
    <w:p>
      <w:pPr>
        <w:pStyle w:val="Style24"/>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4"/>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4"/>
        <w:rPr/>
      </w:pPr>
      <w:r>
        <w:rPr/>
        <w:t>Участник не вправе изменять и (или) отзывать поданные предложения на переторжку после окончания ее проведения.</w:t>
      </w:r>
    </w:p>
    <w:p>
      <w:pPr>
        <w:pStyle w:val="Style24"/>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4"/>
        <w:rPr/>
      </w:pPr>
      <w:r>
        <w:rPr/>
        <w:t>Процедура переторжки проводится на ЭП в порядке, предусмотренном настоящим подразделом и Регламентом ЭП.</w:t>
      </w:r>
    </w:p>
    <w:p>
      <w:pPr>
        <w:pStyle w:val="Style24"/>
        <w:keepNext w:val="true"/>
        <w:rPr/>
      </w:pPr>
      <w:r>
        <w:rPr/>
        <w:t>В зависимости от правил, предусмотренных Регламентом ЭП, переторжка может проводиться:</w:t>
      </w:r>
    </w:p>
    <w:p>
      <w:pPr>
        <w:pStyle w:val="Style25"/>
        <w:rPr/>
      </w:pPr>
      <w:r>
        <w:rPr/>
        <w:t>в заочной форме путем однократной подачи предложения на переторжку к установленному сроку;</w:t>
      </w:r>
    </w:p>
    <w:p>
      <w:pPr>
        <w:pStyle w:val="Style25"/>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4"/>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4"/>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4"/>
        <w:rPr/>
      </w:pPr>
      <w:bookmarkStart w:id="158"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8"/>
    </w:p>
    <w:p>
      <w:pPr>
        <w:pStyle w:val="Style24"/>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4"/>
        <w:keepNext w:val="true"/>
        <w:rPr/>
      </w:pPr>
      <w:bookmarkStart w:id="159" w:name="_Ref136244167"/>
      <w:r>
        <w:rPr/>
        <w:t>Документы заявки, подлежащие корректировке по результатам переторжки:</w:t>
      </w:r>
      <w:bookmarkEnd w:id="159"/>
    </w:p>
    <w:p>
      <w:pPr>
        <w:pStyle w:val="Style25"/>
        <w:rPr/>
      </w:pPr>
      <w:r>
        <w:rPr/>
        <w:t>Письмо о подаче оферты (форма 2) (</w:t>
      </w:r>
      <w:hyperlink w:anchor="Прил04_ФормыЗаявки">
        <w:r>
          <w:rPr>
            <w:rStyle w:val="Style13"/>
          </w:rPr>
          <w:t>Приложение № 4</w:t>
        </w:r>
      </w:hyperlink>
      <w:r>
        <w:rPr/>
        <w:t>);</w:t>
      </w:r>
    </w:p>
    <w:p>
      <w:pPr>
        <w:pStyle w:val="Style25"/>
        <w:rPr/>
      </w:pPr>
      <w:r>
        <w:rPr/>
        <w:t>Коммерческое предложение (форма 3) (</w:t>
      </w:r>
      <w:hyperlink w:anchor="Прил04_ФормыЗаявки">
        <w:r>
          <w:rPr>
            <w:rStyle w:val="Style13"/>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3"/>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5"/>
        <w:rPr/>
      </w:pPr>
      <w:r>
        <w:rPr/>
        <w:t>План распределения объемов поставки продукции (форма 11) (</w:t>
      </w:r>
      <w:hyperlink w:anchor="Прил04_ФормыЗаявки">
        <w:r>
          <w:rPr>
            <w:rStyle w:val="Style13"/>
          </w:rPr>
          <w:t>Приложение № 4</w:t>
        </w:r>
      </w:hyperlink>
      <w:r>
        <w:rPr/>
        <w:t>) – только если заявка подана Коллективным участником или Генеральным подрядчиком;</w:t>
      </w:r>
    </w:p>
    <w:p>
      <w:pPr>
        <w:pStyle w:val="Style25"/>
        <w:rPr/>
      </w:pPr>
      <w:bookmarkStart w:id="160" w:name="_Ref130376111"/>
      <w:r>
        <w:rPr/>
        <w:t>иной документ, указанный в протоколе закупки (которым назначена переторжка), связанный с предметом проводимой переторжки.</w:t>
      </w:r>
      <w:bookmarkEnd w:id="160"/>
    </w:p>
    <w:p>
      <w:pPr>
        <w:pStyle w:val="Style24"/>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4"/>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4"/>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3"/>
        <w:rPr/>
      </w:pPr>
      <w:bookmarkStart w:id="161" w:name="_Ref125369308"/>
      <w:bookmarkStart w:id="162" w:name="_Ref125369041"/>
      <w:bookmarkStart w:id="163" w:name="_Ref125366534"/>
      <w:bookmarkStart w:id="164" w:name="_Ref125365519"/>
      <w:bookmarkStart w:id="165" w:name="_Ref125365335"/>
      <w:bookmarkStart w:id="166" w:name="_Ref125362626"/>
      <w:bookmarkStart w:id="167" w:name="_Toc186224297"/>
      <w:r>
        <w:rPr/>
        <w:t>Оценка и сопоставление заявок</w:t>
      </w:r>
      <w:bookmarkEnd w:id="161"/>
      <w:bookmarkEnd w:id="162"/>
      <w:bookmarkEnd w:id="163"/>
      <w:bookmarkEnd w:id="164"/>
      <w:bookmarkEnd w:id="165"/>
      <w:bookmarkEnd w:id="166"/>
      <w:bookmarkEnd w:id="167"/>
    </w:p>
    <w:p>
      <w:pPr>
        <w:pStyle w:val="Style24"/>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3"/>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 xml:space="preserve">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5"/>
        <w:rPr/>
      </w:pPr>
      <w:r>
        <w:rPr/>
        <w:t>в соответствии с единственным ценовым критерием оценки (критерием выбора Победителя) – стоимость заявки (цена Договора);</w:t>
      </w:r>
    </w:p>
    <w:p>
      <w:pPr>
        <w:pStyle w:val="Style25"/>
        <w:rPr/>
      </w:pPr>
      <w:r>
        <w:rPr/>
        <w:t>в едином базисе без учета НДС;</w:t>
      </w:r>
    </w:p>
    <w:p>
      <w:pPr>
        <w:pStyle w:val="Style25"/>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4"/>
        <w:rPr/>
      </w:pPr>
      <w:r>
        <w:rPr/>
        <w:t>Результаты оценки и сопоставления заявок вносятся в итоговый протокол по результатам закупки.</w:t>
      </w:r>
    </w:p>
    <w:p>
      <w:pPr>
        <w:pStyle w:val="Style23"/>
        <w:rPr/>
      </w:pPr>
      <w:bookmarkStart w:id="168" w:name="_Ref186128193"/>
      <w:bookmarkStart w:id="169" w:name="_Ref130985951"/>
      <w:bookmarkStart w:id="170" w:name="_Ref132894106"/>
      <w:bookmarkStart w:id="171" w:name="_Ref132894111"/>
      <w:bookmarkStart w:id="172" w:name="_Ref125370507"/>
      <w:bookmarkStart w:id="173" w:name="_Ref130458671"/>
      <w:bookmarkStart w:id="174" w:name="_Toc186224298"/>
      <w:bookmarkStart w:id="175" w:name="_Ref125366064"/>
      <w:bookmarkStart w:id="176" w:name="_Ref125369991"/>
      <w:r>
        <w:rPr/>
        <w:t>Применение законодательства о национальном режиме</w:t>
      </w:r>
      <w:bookmarkEnd w:id="168"/>
      <w:bookmarkEnd w:id="169"/>
      <w:bookmarkEnd w:id="170"/>
      <w:bookmarkEnd w:id="171"/>
      <w:bookmarkEnd w:id="172"/>
      <w:bookmarkEnd w:id="173"/>
      <w:bookmarkEnd w:id="174"/>
      <w:bookmarkEnd w:id="175"/>
      <w:bookmarkEnd w:id="176"/>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3"/>
          </w:rPr>
          <w:t>Технических требованиях (Приложение № 1)</w:t>
        </w:r>
      </w:hyperlink>
      <w:r>
        <w:rPr/>
        <w:t>.</w:t>
      </w:r>
    </w:p>
    <w:p>
      <w:pPr>
        <w:pStyle w:val="Style23"/>
        <w:rPr/>
      </w:pPr>
      <w:bookmarkStart w:id="177" w:name="_Ref125362658"/>
      <w:bookmarkStart w:id="178" w:name="_Ref125366091"/>
      <w:bookmarkStart w:id="179" w:name="_Ref125367242"/>
      <w:bookmarkStart w:id="180" w:name="_Toc186224299"/>
      <w:r>
        <w:rPr/>
        <w:t>Подведение итогов закупки (определение Победителя)</w:t>
      </w:r>
      <w:bookmarkEnd w:id="177"/>
      <w:bookmarkEnd w:id="178"/>
      <w:bookmarkEnd w:id="179"/>
      <w:bookmarkEnd w:id="180"/>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3"/>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81"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1"/>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допущенных по результатам рассмотрения заявок, присваиваемые Оператором ЭП;</w:t>
      </w:r>
    </w:p>
    <w:p>
      <w:pPr>
        <w:pStyle w:val="Style25"/>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5"/>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182" w:name="_Ref125364187"/>
      <w:bookmarkStart w:id="183" w:name="_Ref125364149"/>
      <w:bookmarkStart w:id="184" w:name="_Ref125365305"/>
      <w:bookmarkStart w:id="185" w:name="_Ref125365570"/>
      <w:bookmarkStart w:id="186" w:name="_Ref125366631"/>
      <w:bookmarkStart w:id="187" w:name="_Ref125366796"/>
      <w:bookmarkStart w:id="188" w:name="_Toc186224300"/>
      <w:r>
        <w:rPr/>
        <w:t>Признание закупки несостоявшейся</w:t>
      </w:r>
      <w:bookmarkEnd w:id="182"/>
      <w:bookmarkEnd w:id="183"/>
      <w:bookmarkEnd w:id="184"/>
      <w:bookmarkEnd w:id="185"/>
      <w:bookmarkEnd w:id="186"/>
      <w:bookmarkEnd w:id="187"/>
      <w:bookmarkEnd w:id="188"/>
    </w:p>
    <w:p>
      <w:pPr>
        <w:pStyle w:val="Style24"/>
        <w:keepNext w:val="true"/>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89" w:name="_Toc186224301"/>
      <w:bookmarkStart w:id="190" w:name="_Ref126141962"/>
      <w:r>
        <w:rPr/>
        <w:t>Отказ от проведения закупки</w:t>
      </w:r>
      <w:bookmarkEnd w:id="190"/>
      <w:r>
        <w:rPr/>
        <w:t xml:space="preserve"> (отмена закупки)</w:t>
      </w:r>
      <w:bookmarkEnd w:id="189"/>
    </w:p>
    <w:p>
      <w:pPr>
        <w:pStyle w:val="Style24"/>
        <w:rPr/>
      </w:pPr>
      <w:r>
        <w:rP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bookmarkStart w:id="191" w:name="_Ref130455226"/>
      <w:bookmarkStart w:id="192" w:name="_Toc186224302"/>
      <w:r>
        <w:rPr/>
        <w:t>Особенности проведения закупки с необходимостью обеспечения заявки</w:t>
      </w:r>
      <w:bookmarkEnd w:id="191"/>
      <w:bookmarkEnd w:id="192"/>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4"/>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5"/>
        <w:rPr/>
      </w:pPr>
      <w:r>
        <w:rPr/>
        <w:t>банковская гарантия должна быть безотзывной и безусловной (гарантия по первому требованию);</w:t>
      </w:r>
    </w:p>
    <w:p>
      <w:pPr>
        <w:pStyle w:val="Style25"/>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5"/>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5"/>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5"/>
        <w:rPr/>
      </w:pPr>
      <w:r>
        <w:rPr/>
        <w:t>платеж по банковской гарантии должен быть осуществлен в течение 10 (десяти) рабочих дней после обращения бенефициара;</w:t>
      </w:r>
    </w:p>
    <w:p>
      <w:pPr>
        <w:pStyle w:val="Style25"/>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5"/>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5"/>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4"/>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9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3"/>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3"/>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3"/>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3"/>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протокола рассмотрения заявок (при условии его оформления) – Участникам, чьи заявки были отклонены;</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3"/>
        <w:rPr/>
      </w:pPr>
      <w:bookmarkStart w:id="194" w:name="_Ref149317414"/>
      <w:bookmarkStart w:id="195" w:name="_Ref130225422"/>
      <w:bookmarkStart w:id="196" w:name="_Toc186224303"/>
      <w:r>
        <w:rPr/>
        <w:t>Особенности проведения многолотовой закупки</w:t>
      </w:r>
      <w:bookmarkEnd w:id="194"/>
      <w:bookmarkEnd w:id="195"/>
      <w:bookmarkEnd w:id="196"/>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3"/>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3"/>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3"/>
        <w:rPr/>
      </w:pPr>
      <w:bookmarkStart w:id="197" w:name="_Ref125550863"/>
      <w:bookmarkStart w:id="198" w:name="_Toc186224304"/>
      <w:r>
        <w:rPr/>
        <w:t>Особенности проведения закупки с возможностью подачи альтернативных предложений</w:t>
      </w:r>
      <w:bookmarkEnd w:id="197"/>
      <w:bookmarkEnd w:id="198"/>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4"/>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4"/>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3"/>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4"/>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4"/>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31"/>
        <w:keepNext w:val="true"/>
        <w:rPr/>
      </w:pPr>
      <w:r>
        <w:rPr/>
      </w:r>
    </w:p>
    <w:p>
      <w:pPr>
        <w:pStyle w:val="Style22"/>
        <w:rPr/>
      </w:pPr>
      <w:bookmarkStart w:id="199" w:name="_Ref125367087"/>
      <w:bookmarkStart w:id="200" w:name="_Ref126142429"/>
      <w:bookmarkStart w:id="201" w:name="_Ref130224037"/>
      <w:bookmarkStart w:id="202" w:name="_Toc186224306"/>
      <w:bookmarkStart w:id="203" w:name="_Ref125361212"/>
      <w:bookmarkStart w:id="204" w:name="_Ref125363439"/>
      <w:bookmarkStart w:id="205" w:name="_Ref125366769"/>
      <w:bookmarkStart w:id="206" w:name="_Ref125367083"/>
      <w:bookmarkStart w:id="207" w:name="_Ref125362671"/>
      <w:r>
        <w:rPr/>
        <w:t>Порядок заключения Договора</w:t>
      </w:r>
      <w:bookmarkEnd w:id="199"/>
      <w:bookmarkEnd w:id="200"/>
      <w:bookmarkEnd w:id="201"/>
      <w:bookmarkEnd w:id="202"/>
      <w:bookmarkEnd w:id="203"/>
      <w:bookmarkEnd w:id="204"/>
      <w:bookmarkEnd w:id="205"/>
      <w:bookmarkEnd w:id="206"/>
      <w:bookmarkEnd w:id="207"/>
    </w:p>
    <w:p>
      <w:pPr>
        <w:pStyle w:val="Style23"/>
        <w:rPr/>
      </w:pPr>
      <w:bookmarkStart w:id="208" w:name="_Ref139028625"/>
      <w:bookmarkStart w:id="209" w:name="_Toc186224307"/>
      <w:r>
        <w:rPr/>
        <w:t>Общие положения</w:t>
      </w:r>
      <w:bookmarkEnd w:id="208"/>
      <w:bookmarkEnd w:id="209"/>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4"/>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4"/>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3"/>
          </w:rPr>
          <w:t>Приложение № 4</w:t>
        </w:r>
      </w:hyperlink>
      <w:r>
        <w:rPr/>
        <w:t>), и размещения соответствующей информации на ЭП.</w:t>
      </w:r>
    </w:p>
    <w:p>
      <w:pPr>
        <w:pStyle w:val="Style23"/>
        <w:rPr/>
      </w:pPr>
      <w:bookmarkStart w:id="210" w:name="_Ref135736094"/>
      <w:bookmarkStart w:id="211" w:name="_Ref125368755"/>
      <w:bookmarkStart w:id="212" w:name="_Ref125366947"/>
      <w:bookmarkStart w:id="213" w:name="_Toc186224308"/>
      <w:bookmarkStart w:id="214" w:name="_Ref138232981"/>
      <w:r>
        <w:rPr/>
        <w:t>Заключение Договора</w:t>
      </w:r>
      <w:bookmarkEnd w:id="210"/>
      <w:bookmarkEnd w:id="211"/>
      <w:bookmarkEnd w:id="212"/>
      <w:bookmarkEnd w:id="213"/>
      <w:bookmarkEnd w:id="214"/>
    </w:p>
    <w:p>
      <w:pPr>
        <w:pStyle w:val="Style24"/>
        <w:rPr/>
      </w:pPr>
      <w:bookmarkStart w:id="215" w:name="_Ref125362935"/>
      <w:bookmarkStart w:id="216"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5"/>
      <w:bookmarkEnd w:id="216"/>
    </w:p>
    <w:p>
      <w:pPr>
        <w:pStyle w:val="Style24"/>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4"/>
        <w:rPr/>
      </w:pPr>
      <w:bookmarkStart w:id="217"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3"/>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7"/>
    </w:p>
    <w:p>
      <w:pPr>
        <w:pStyle w:val="Style24"/>
        <w:keepNext w:val="true"/>
        <w:rPr/>
      </w:pPr>
      <w:bookmarkStart w:id="218"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8"/>
    </w:p>
    <w:p>
      <w:pPr>
        <w:pStyle w:val="Style25"/>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bookmarkStart w:id="219"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9"/>
      <w:r>
        <w:rPr/>
        <w:t>.</w:t>
      </w:r>
    </w:p>
    <w:p>
      <w:pPr>
        <w:pStyle w:val="Style24"/>
        <w:keepNext w:val="true"/>
        <w:rPr/>
      </w:pPr>
      <w:bookmarkStart w:id="220"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3"/>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0"/>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21"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1"/>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22"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2"/>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23"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3"/>
    </w:p>
    <w:p>
      <w:pPr>
        <w:pStyle w:val="Style25"/>
        <w:rPr/>
      </w:pPr>
      <w:r>
        <w:rPr/>
        <w:t>протокол преддоговорных переговоров между Заказчиком и Победителем (при проведении таковых);</w:t>
      </w:r>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bookmarkStart w:id="224"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4"/>
    </w:p>
    <w:p>
      <w:pPr>
        <w:pStyle w:val="Style24"/>
        <w:keepNext w:val="true"/>
        <w:rPr/>
      </w:pPr>
      <w:r>
        <w:rPr/>
        <w:t>Если Договор заключается в электронной форме:</w:t>
      </w:r>
    </w:p>
    <w:p>
      <w:pPr>
        <w:pStyle w:val="Style25"/>
        <w:rPr/>
      </w:pPr>
      <w:bookmarkStart w:id="225"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5"/>
      <w:r>
        <w:rPr/>
        <w:t>;</w:t>
      </w:r>
    </w:p>
    <w:p>
      <w:pPr>
        <w:pStyle w:val="Style25"/>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26" w:name="_Ref125552570"/>
      <w:bookmarkStart w:id="227" w:name="_Toc186224309"/>
      <w:r>
        <w:rPr/>
        <w:t>Преддоговорные переговоры</w:t>
      </w:r>
      <w:bookmarkEnd w:id="226"/>
      <w:bookmarkEnd w:id="227"/>
    </w:p>
    <w:p>
      <w:pPr>
        <w:pStyle w:val="Style24"/>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5"/>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5"/>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5"/>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5"/>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5"/>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4"/>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4"/>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4"/>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4"/>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bookmarkStart w:id="228" w:name="_Ref125367068"/>
      <w:bookmarkStart w:id="229" w:name="_Toc186224310"/>
      <w:r>
        <w:rPr/>
        <w:t>Уклонение Победителя от заключения Договора</w:t>
      </w:r>
      <w:bookmarkEnd w:id="228"/>
      <w:bookmarkEnd w:id="229"/>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3"/>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3"/>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30" w:name="_Ref125363752"/>
      <w:bookmarkStart w:id="231" w:name="_Ref125364201"/>
      <w:bookmarkStart w:id="232" w:name="_Ref125363016"/>
      <w:bookmarkStart w:id="233" w:name="_Ref125363023"/>
      <w:bookmarkStart w:id="234" w:name="_Ref125363034"/>
      <w:bookmarkStart w:id="235" w:name="_Ref125363600"/>
      <w:bookmarkStart w:id="236" w:name="_Ref125364088"/>
      <w:bookmarkStart w:id="237" w:name="_Ref125370732"/>
      <w:bookmarkStart w:id="238" w:name="_Ref125370741"/>
      <w:bookmarkStart w:id="239" w:name="_Ref125370746"/>
      <w:bookmarkStart w:id="240" w:name="_Ref125370750"/>
      <w:bookmarkStart w:id="241" w:name="_Ref125370843"/>
      <w:bookmarkStart w:id="242" w:name="Прил01_ТехТребования"/>
      <w:bookmarkStart w:id="243" w:name="_Toc186224311"/>
      <w:r>
        <w:rPr/>
        <w:t>Приложение № 1 – Технические требования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pStyle w:val="Style23"/>
        <w:rPr/>
      </w:pPr>
      <w:bookmarkStart w:id="244" w:name="_Toc186224312"/>
      <w:r>
        <w:rPr/>
        <w:t>Пояснения к Техническим требованиям</w:t>
      </w:r>
      <w:bookmarkEnd w:id="244"/>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45" w:name="_Ref125361746"/>
      <w:bookmarkStart w:id="246" w:name="_Ref125363040"/>
      <w:bookmarkStart w:id="247" w:name="_Ref125363605"/>
      <w:bookmarkStart w:id="248" w:name="_Ref125370754"/>
      <w:bookmarkStart w:id="249" w:name="_Ref125363759"/>
      <w:bookmarkStart w:id="250" w:name="_Ref125364206"/>
      <w:bookmarkStart w:id="251" w:name="_Toc186224313"/>
      <w:bookmarkStart w:id="252" w:name="Прил02_ПроектДоговора"/>
      <w:bookmarkStart w:id="253" w:name="_Ref125364081"/>
      <w:r>
        <w:rPr/>
        <w:t>Приложение № 2 – Проект договора</w:t>
      </w:r>
      <w:bookmarkEnd w:id="245"/>
      <w:bookmarkEnd w:id="246"/>
      <w:bookmarkEnd w:id="247"/>
      <w:bookmarkEnd w:id="248"/>
      <w:bookmarkEnd w:id="249"/>
      <w:bookmarkEnd w:id="250"/>
      <w:bookmarkEnd w:id="251"/>
      <w:bookmarkEnd w:id="252"/>
      <w:bookmarkEnd w:id="253"/>
    </w:p>
    <w:p>
      <w:pPr>
        <w:pStyle w:val="Style23"/>
        <w:rPr/>
      </w:pPr>
      <w:bookmarkStart w:id="254" w:name="_Toc186224314"/>
      <w:r>
        <w:rPr/>
        <w:t>Пояснения к Проекту договора</w:t>
      </w:r>
      <w:bookmarkEnd w:id="254"/>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5" w:name="_Hlk132883778"/>
      <w:r>
        <w:rPr/>
        <w:t>как «Некритичные пункты Проекта договора»</w:t>
      </w:r>
      <w:bookmarkEnd w:id="255"/>
      <w:r>
        <w:rPr/>
        <w:t>.</w:t>
      </w:r>
    </w:p>
    <w:p>
      <w:pPr>
        <w:pStyle w:val="Style24"/>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6" w:name="_MON_1736255517"/>
      <w:bookmarkEnd w:id="256"/>
    </w:p>
    <w:p>
      <w:pPr>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78.75pt;height:50.25pt;mso-wrap-distance-right:0pt" filled="f" o:ole="">
            <v:imagedata r:id="rId16" o:title=""/>
          </v:shape>
          <o:OLEObject Type="Embed" ProgID="Word.Document.12" ShapeID="ole_rId15" DrawAspect="Icon" ObjectID="_947526780" r:id="rId15"/>
        </w:object>
      </w:r>
    </w:p>
    <w:p>
      <w:pPr>
        <w:pStyle w:val="Style22"/>
        <w:rPr/>
      </w:pPr>
      <w:bookmarkStart w:id="257" w:name="_Ref125365476"/>
      <w:bookmarkStart w:id="258" w:name="_Ref125361908"/>
      <w:bookmarkStart w:id="259" w:name="_Ref125361494"/>
      <w:bookmarkStart w:id="260" w:name="_Ref125370013"/>
      <w:bookmarkStart w:id="261" w:name="Прил03_ТребованияУчастникам"/>
      <w:bookmarkStart w:id="262" w:name="_Toc186224315"/>
      <w:r>
        <w:rPr/>
        <w:t>Приложение № 3 – Требования к Участникам</w:t>
      </w:r>
      <w:bookmarkEnd w:id="257"/>
      <w:bookmarkEnd w:id="258"/>
      <w:bookmarkEnd w:id="259"/>
      <w:bookmarkEnd w:id="260"/>
      <w:bookmarkEnd w:id="261"/>
      <w:bookmarkEnd w:id="262"/>
    </w:p>
    <w:p>
      <w:pPr>
        <w:pStyle w:val="Style23"/>
        <w:rPr/>
      </w:pPr>
      <w:bookmarkStart w:id="263" w:name="_Toc186224316"/>
      <w:r>
        <w:rPr/>
        <w:t>Пояснения к требованиям к Участникам</w:t>
      </w:r>
      <w:bookmarkEnd w:id="263"/>
    </w:p>
    <w:p>
      <w:pPr>
        <w:pStyle w:val="Style24"/>
        <w:rPr/>
      </w:pPr>
      <w:bookmarkStart w:id="264"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4"/>
    </w:p>
    <w:p>
      <w:pPr>
        <w:pStyle w:val="Style23"/>
        <w:spacing w:before="360" w:after="120"/>
        <w:rPr/>
      </w:pPr>
      <w:bookmarkStart w:id="265" w:name="_Ref125361590"/>
      <w:bookmarkStart w:id="266" w:name="_Ref125361617"/>
      <w:bookmarkStart w:id="267" w:name="_Ref125361832"/>
      <w:bookmarkStart w:id="268" w:name="_Ref125361846"/>
      <w:bookmarkStart w:id="269" w:name="_Ref125366879"/>
      <w:bookmarkStart w:id="270" w:name="_Ref125368812"/>
      <w:bookmarkStart w:id="271" w:name="_Ref125369088"/>
      <w:bookmarkStart w:id="272" w:name="_Ref125368895"/>
      <w:bookmarkStart w:id="273" w:name="_Ref125361435"/>
      <w:bookmarkStart w:id="274" w:name="_Ref125370058"/>
      <w:bookmarkStart w:id="275" w:name="_Ref125370064"/>
      <w:bookmarkStart w:id="276" w:name="_Ref125370071"/>
      <w:bookmarkStart w:id="277" w:name="_Toc186224317"/>
      <w:bookmarkStart w:id="278" w:name="_Ref125361926"/>
      <w:r>
        <w:rPr/>
        <w:t>Обязательные требования</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9" w:name="_Ref125552433"/>
            <w:bookmarkStart w:id="280" w:name="_Ref125552433"/>
            <w:bookmarkEnd w:id="28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1" w:name="_Ref139028406"/>
            <w:bookmarkStart w:id="282" w:name="_Ref139028406"/>
            <w:bookmarkEnd w:id="282"/>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3" w:name="_Ref186128496"/>
            <w:bookmarkStart w:id="284" w:name="_Ref186128496"/>
            <w:bookmarkEnd w:id="28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5" w:name="_Ref186128503"/>
            <w:bookmarkStart w:id="286" w:name="_Ref186128503"/>
            <w:bookmarkEnd w:id="28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87" w:name="_Ref125368818"/>
      <w:bookmarkStart w:id="288" w:name="_Ref125367539"/>
      <w:bookmarkStart w:id="289" w:name="_Ref125367521"/>
      <w:bookmarkStart w:id="290" w:name="_Ref125365459"/>
      <w:bookmarkStart w:id="291" w:name="_Ref125361937"/>
      <w:bookmarkStart w:id="292" w:name="_Ref125361869"/>
      <w:bookmarkStart w:id="293" w:name="_Ref125361671"/>
      <w:bookmarkStart w:id="294" w:name="_Ref125361633"/>
      <w:bookmarkStart w:id="295" w:name="_Ref125361442"/>
      <w:bookmarkStart w:id="296" w:name="_Ref125368901"/>
      <w:bookmarkStart w:id="297" w:name="_Ref125368916"/>
      <w:bookmarkStart w:id="298" w:name="_Ref125369099"/>
      <w:bookmarkStart w:id="299" w:name="_Ref125370079"/>
      <w:bookmarkStart w:id="300" w:name="_Ref125709250"/>
      <w:bookmarkStart w:id="301" w:name="_Ref125709401"/>
      <w:bookmarkStart w:id="302" w:name="_Ref125709153"/>
      <w:bookmarkStart w:id="303" w:name="_Ref125709888"/>
      <w:bookmarkStart w:id="304" w:name="_Toc186224318"/>
      <w:r>
        <w:rPr/>
        <w:t>Специальные требования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pStyle w:val="Style23"/>
        <w:spacing w:before="360" w:after="120"/>
        <w:rPr/>
      </w:pPr>
      <w:bookmarkStart w:id="305" w:name="_Ref125553296"/>
      <w:bookmarkStart w:id="306" w:name="_Ref125553475"/>
      <w:bookmarkStart w:id="307" w:name="_Ref125553681"/>
      <w:bookmarkStart w:id="308" w:name="_Ref125709154"/>
      <w:bookmarkStart w:id="309" w:name="_Ref125709256"/>
      <w:bookmarkStart w:id="310" w:name="_Ref125709541"/>
      <w:bookmarkStart w:id="311" w:name="_Ref125709895"/>
      <w:bookmarkStart w:id="312" w:name="_Toc186224319"/>
      <w:bookmarkStart w:id="313" w:name="_Ref125550270"/>
      <w:bookmarkStart w:id="314" w:name="_Ref125550353"/>
      <w:bookmarkStart w:id="315" w:name="_Ref125553242"/>
      <w:r>
        <w:rPr/>
        <w:t>Квалификационные требования</w:t>
      </w:r>
      <w:bookmarkEnd w:id="305"/>
      <w:bookmarkEnd w:id="306"/>
      <w:bookmarkEnd w:id="307"/>
      <w:bookmarkEnd w:id="308"/>
      <w:bookmarkEnd w:id="309"/>
      <w:bookmarkEnd w:id="310"/>
      <w:bookmarkEnd w:id="311"/>
      <w:bookmarkEnd w:id="312"/>
      <w:bookmarkEnd w:id="313"/>
      <w:bookmarkEnd w:id="314"/>
      <w:bookmarkEnd w:id="315"/>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10"/>
              </w:numPr>
              <w:suppressAutoHyphens w:val="true"/>
              <w:spacing w:before="60" w:after="60"/>
              <w:ind w:left="284" w:hanging="0"/>
              <w:jc w:val="center"/>
              <w:rPr/>
            </w:pPr>
            <w:r>
              <w:rPr/>
            </w:r>
          </w:p>
        </w:tc>
        <w:tc>
          <w:tcPr>
            <w:tcW w:w="5671" w:type="dxa"/>
            <w:tcBorders/>
          </w:tcPr>
          <w:p>
            <w:pPr>
              <w:pStyle w:val="Normal"/>
              <w:widowControl w:val="false"/>
              <w:spacing w:before="60" w:after="0"/>
              <w:jc w:val="both"/>
              <w:rPr>
                <w:sz w:val="24"/>
                <w:szCs w:val="24"/>
                <w:lang w:eastAsia="en-US"/>
              </w:rPr>
            </w:pPr>
            <w:r>
              <w:rPr>
                <w:sz w:val="24"/>
                <w:szCs w:val="24"/>
                <w:lang w:eastAsia="en-US"/>
              </w:rPr>
              <w:t>Требования к наличию опыта:</w:t>
            </w:r>
          </w:p>
          <w:p>
            <w:pPr>
              <w:pStyle w:val="Normal"/>
              <w:widowControl w:val="false"/>
              <w:tabs>
                <w:tab w:val="clear" w:pos="720"/>
                <w:tab w:val="left" w:pos="431" w:leader="none"/>
              </w:tabs>
              <w:spacing w:lineRule="auto" w:line="240" w:before="60" w:after="0"/>
              <w:ind w:firstLine="434"/>
              <w:jc w:val="both"/>
              <w:rPr>
                <w:rFonts w:ascii="Times New Roman" w:hAnsi="Times New Roman" w:cs="Times New Roman"/>
              </w:rPr>
            </w:pPr>
            <w:r>
              <w:rPr>
                <w:rFonts w:cs="Times New Roman"/>
                <w:color w:val="000000"/>
                <w:sz w:val="24"/>
                <w:szCs w:val="24"/>
                <w:lang w:eastAsia="en-US"/>
              </w:rPr>
              <w:t xml:space="preserve">Участнику закупки в качестве повышения предпочтительности своей заявки </w:t>
            </w:r>
            <w:r>
              <w:rPr>
                <w:rFonts w:cs="Times New Roman"/>
                <w:b/>
                <w:color w:val="000000"/>
                <w:sz w:val="24"/>
                <w:szCs w:val="24"/>
                <w:lang w:eastAsia="en-US"/>
              </w:rPr>
              <w:t>рекомендуется предоставить</w:t>
            </w:r>
            <w:r>
              <w:rPr>
                <w:rFonts w:cs="Times New Roman"/>
                <w:color w:val="000000"/>
                <w:sz w:val="24"/>
                <w:szCs w:val="24"/>
                <w:lang w:eastAsia="en-US"/>
              </w:rPr>
              <w:t xml:space="preserve"> сведения для оценки Участника по неценовому критерию: </w:t>
            </w:r>
            <w:r>
              <w:rPr>
                <w:rFonts w:cs="Times New Roman"/>
                <w:i/>
                <w:color w:val="000000"/>
                <w:sz w:val="24"/>
                <w:szCs w:val="24"/>
                <w:shd w:fill="auto" w:val="clear"/>
                <w:lang w:eastAsia="en-US"/>
              </w:rPr>
              <w:t xml:space="preserve">Участник должен иметь опыт   по выполнению общестроительных работ на высоте методом промышленного альпинизма, </w:t>
            </w:r>
            <w:r>
              <w:rPr>
                <w:rFonts w:eastAsia="Times New Roman" w:cs="Times New Roman"/>
                <w:i/>
                <w:iCs/>
                <w:color w:val="000000"/>
                <w:sz w:val="24"/>
                <w:szCs w:val="24"/>
                <w:shd w:fill="auto" w:val="clear"/>
                <w:lang w:eastAsia="ru-RU"/>
              </w:rPr>
              <w:t>при этом Участником должны быть исполнены обязательства</w:t>
            </w:r>
            <w:r>
              <w:rPr>
                <w:rFonts w:eastAsia="Calibri" w:cs="Times New Roman"/>
                <w:i w:val="false"/>
                <w:iCs w:val="false"/>
                <w:color w:val="000000"/>
                <w:sz w:val="24"/>
                <w:szCs w:val="24"/>
                <w:shd w:fill="auto" w:val="clear"/>
                <w:lang w:eastAsia="en-US"/>
              </w:rPr>
              <w:t xml:space="preserve"> в общем (совокупном) объеме не менее 50% от НМЦ лота за последние 5 (пять) лет, предшествующих дате подачи заявок.</w:t>
            </w:r>
          </w:p>
        </w:tc>
        <w:tc>
          <w:tcPr>
            <w:tcW w:w="8327" w:type="dxa"/>
            <w:tcBorders/>
          </w:tcPr>
          <w:p>
            <w:pPr>
              <w:pStyle w:val="Normal"/>
              <w:widowControl w:val="false"/>
              <w:tabs>
                <w:tab w:val="clear" w:pos="720"/>
                <w:tab w:val="left" w:pos="431" w:leader="none"/>
              </w:tabs>
              <w:spacing w:before="0" w:after="0"/>
              <w:ind w:firstLine="303"/>
              <w:jc w:val="both"/>
              <w:rPr>
                <w:rFonts w:ascii="Times New Roman" w:hAnsi="Times New Roman" w:cs="Times New Roman"/>
              </w:rPr>
            </w:pPr>
            <w:r>
              <w:rPr>
                <w:rFonts w:eastAsia="Times New Roman" w:cs="Times New Roman"/>
                <w:sz w:val="24"/>
                <w:szCs w:val="24"/>
                <w:lang w:eastAsia="ru-RU"/>
              </w:rPr>
              <w:t xml:space="preserve">В составе заявки Участник должен предоставить сведения о </w:t>
            </w:r>
            <w:r>
              <w:rPr>
                <w:rFonts w:cs="Times New Roman"/>
                <w:sz w:val="24"/>
                <w:szCs w:val="24"/>
              </w:rPr>
              <w:t>ранее выполненных договорах по форме «Справка об опыте Участника», приведенной в Документации о закупке, с обязательным приложением копий следующих документов, подписанных с обеих сторон и оформленных, в том числе в соответствии с условиями заключенного договора, подтверждающих представленные данные:</w:t>
            </w:r>
          </w:p>
          <w:p>
            <w:pPr>
              <w:pStyle w:val="Normal"/>
              <w:widowControl w:val="false"/>
              <w:spacing w:before="0" w:after="0"/>
              <w:ind w:firstLine="307"/>
              <w:jc w:val="both"/>
              <w:rPr>
                <w:rFonts w:ascii="Times New Roman" w:hAnsi="Times New Roman" w:cs="Times New Roman"/>
              </w:rPr>
            </w:pPr>
            <w:r>
              <w:rPr>
                <w:rFonts w:cs="Times New Roman"/>
                <w:sz w:val="24"/>
                <w:szCs w:val="24"/>
              </w:rPr>
              <w:t>2.1.  копии договоров, подписанных с обеих сторон;</w:t>
            </w:r>
          </w:p>
          <w:p>
            <w:pPr>
              <w:pStyle w:val="Normal"/>
              <w:widowControl w:val="false"/>
              <w:tabs>
                <w:tab w:val="clear" w:pos="720"/>
                <w:tab w:val="left" w:pos="426" w:leader="none"/>
              </w:tabs>
              <w:spacing w:lineRule="auto" w:line="240" w:before="0" w:after="0"/>
              <w:ind w:firstLine="307"/>
              <w:jc w:val="both"/>
              <w:rPr>
                <w:rFonts w:ascii="Times New Roman" w:hAnsi="Times New Roman" w:cs="Times New Roman"/>
                <w:sz w:val="24"/>
                <w:szCs w:val="24"/>
              </w:rPr>
            </w:pPr>
            <w:r>
              <w:rPr>
                <w:rFonts w:cs="Times New Roman"/>
                <w:sz w:val="24"/>
                <w:szCs w:val="24"/>
              </w:rPr>
              <w:t>2.2. копии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pPr>
              <w:pStyle w:val="Normal"/>
              <w:widowControl w:val="false"/>
              <w:tabs>
                <w:tab w:val="clear" w:pos="720"/>
                <w:tab w:val="left" w:pos="426" w:leader="none"/>
              </w:tabs>
              <w:spacing w:lineRule="auto" w:line="240" w:before="0" w:after="0"/>
              <w:ind w:firstLine="307"/>
              <w:jc w:val="both"/>
              <w:rPr>
                <w:rFonts w:ascii="Times New Roman" w:hAnsi="Times New Roman" w:eastAsia="Times New Roman" w:cs="Times New Roman"/>
                <w:sz w:val="24"/>
                <w:szCs w:val="24"/>
                <w:lang w:eastAsia="ru-RU"/>
              </w:rPr>
            </w:pPr>
            <w:r>
              <w:rPr>
                <w:rFonts w:eastAsia="Calibri" w:cs="Times New Roman"/>
                <w:iCs/>
                <w:sz w:val="24"/>
                <w:szCs w:val="24"/>
                <w:lang w:eastAsia="en-US"/>
              </w:rPr>
              <w:t>К рассмотрению не принимаются подтверждающие документы, не указанные в «Справке об опыте Участника», а также сведения, не позволяющие явным образом определить опыт Участника.</w:t>
            </w:r>
          </w:p>
        </w:tc>
      </w:tr>
    </w:tbl>
    <w:p>
      <w:pPr>
        <w:pStyle w:val="Style23"/>
        <w:spacing w:before="360" w:after="120"/>
        <w:rPr/>
      </w:pPr>
      <w:bookmarkStart w:id="316" w:name="_Ref125552455"/>
      <w:bookmarkStart w:id="317" w:name="_Ref125553500"/>
      <w:bookmarkStart w:id="318" w:name="_Ref125553692"/>
      <w:bookmarkStart w:id="319" w:name="_Ref125553703"/>
      <w:bookmarkStart w:id="320" w:name="_Ref125709228"/>
      <w:bookmarkStart w:id="321" w:name="_Toc186224320"/>
      <w:r>
        <w:rPr/>
        <w:t>Дополнительные требования к Коллективным участникам</w:t>
      </w:r>
      <w:bookmarkEnd w:id="316"/>
      <w:bookmarkEnd w:id="317"/>
      <w:bookmarkEnd w:id="318"/>
      <w:bookmarkEnd w:id="319"/>
      <w:bookmarkEnd w:id="320"/>
      <w:bookmarkEnd w:id="321"/>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2" w:name="_Ref125370156"/>
            <w:bookmarkStart w:id="323" w:name="_Ref125370156"/>
            <w:bookmarkEnd w:id="32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4" w:name="_Ref125553738"/>
            <w:bookmarkStart w:id="325" w:name="_Ref125553738"/>
            <w:bookmarkEnd w:id="325"/>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6" w:name="_Ref125370162"/>
            <w:bookmarkStart w:id="327" w:name="_Ref125370162"/>
            <w:bookmarkEnd w:id="327"/>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28" w:name="_Ref125361823"/>
      <w:bookmarkStart w:id="329" w:name="_Ref125362031"/>
      <w:bookmarkStart w:id="330" w:name="_Ref125369117"/>
      <w:bookmarkStart w:id="331" w:name="_Ref125370173"/>
      <w:bookmarkStart w:id="332" w:name="_Ref125370180"/>
      <w:bookmarkStart w:id="333" w:name="_Ref125370209"/>
      <w:bookmarkStart w:id="334" w:name="_Ref125709777"/>
      <w:bookmarkStart w:id="335" w:name="_Ref125709973"/>
      <w:bookmarkStart w:id="336" w:name="_Toc186224321"/>
      <w:r>
        <w:rPr/>
        <w:t>Дополнительные требования к Генеральным подрядчикам</w:t>
      </w:r>
      <w:bookmarkEnd w:id="328"/>
      <w:bookmarkEnd w:id="329"/>
      <w:bookmarkEnd w:id="330"/>
      <w:bookmarkEnd w:id="331"/>
      <w:bookmarkEnd w:id="332"/>
      <w:bookmarkEnd w:id="333"/>
      <w:bookmarkEnd w:id="334"/>
      <w:bookmarkEnd w:id="335"/>
      <w:bookmarkEnd w:id="336"/>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7" w:name="_Ref125370187"/>
            <w:bookmarkStart w:id="338" w:name="_Ref125370187"/>
            <w:bookmarkEnd w:id="33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9" w:name="_Ref125370199"/>
            <w:bookmarkStart w:id="340" w:name="_Ref125370199"/>
            <w:bookmarkEnd w:id="34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1" w:name="_Ref125370193"/>
            <w:bookmarkStart w:id="342" w:name="_Ref125370193"/>
            <w:bookmarkEnd w:id="342"/>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3" w:name="_Ref125553847"/>
            <w:bookmarkStart w:id="344" w:name="_Ref125553847"/>
            <w:bookmarkEnd w:id="34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45" w:name="_Toc186224322"/>
      <w:bookmarkStart w:id="346" w:name="Прил04_ФормыЗаявки"/>
      <w:bookmarkEnd w:id="346"/>
      <w:r>
        <w:rPr/>
        <w:t>Приложение № 4 – Образцы форм документов, включаемых в состав заявки</w:t>
      </w:r>
      <w:bookmarkEnd w:id="345"/>
    </w:p>
    <w:p>
      <w:pPr>
        <w:pStyle w:val="Style23"/>
        <w:rPr/>
      </w:pPr>
      <w:bookmarkStart w:id="347" w:name="_Toc186224323"/>
      <w:r>
        <w:rPr/>
        <w:t>Пояснения к Образцам форм документов, включаемых в состав заявки</w:t>
      </w:r>
      <w:bookmarkEnd w:id="347"/>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48" w:name="_Toc186224324"/>
      <w:bookmarkStart w:id="349" w:name="Прил05_ФормыПобедителя"/>
      <w:bookmarkEnd w:id="349"/>
      <w:r>
        <w:rPr/>
        <w:t>Приложение № 5 – Образцы форм документов, предоставляемых Победителем</w:t>
      </w:r>
      <w:bookmarkEnd w:id="348"/>
    </w:p>
    <w:p>
      <w:pPr>
        <w:pStyle w:val="Style23"/>
        <w:rPr/>
      </w:pPr>
      <w:bookmarkStart w:id="350" w:name="_Toc186224325"/>
      <w:r>
        <w:rPr/>
        <w:t>Пояснения к Образцам форм документов, предоставляемых Победителем</w:t>
      </w:r>
      <w:bookmarkEnd w:id="350"/>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51" w:name="_Ref130395470"/>
      <w:bookmarkStart w:id="352" w:name="_Toc186224326"/>
      <w:r>
        <w:rPr/>
        <w:t>Форма справки «Сведения о цепочке собственников, включая бенефициаров (в том числе конечных)»</w:t>
      </w:r>
      <w:bookmarkEnd w:id="351"/>
      <w:bookmarkEnd w:id="352"/>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3" w:name="_MON_1741074142"/>
    </w:p>
    <w:p>
      <w:pPr>
        <w:pStyle w:val="Style28"/>
        <w:jc w:val="center"/>
        <w:rPr/>
      </w:pPr>
      <w:bookmarkEnd w:id="353"/>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75pt;height:50.25pt;mso-wrap-distance-right:0pt" filled="f" o:ole="">
            <v:imagedata r:id="rId26" o:title=""/>
          </v:shape>
          <o:OLEObject Type="Embed" ProgID="Word.Document.12" ShapeID="ole_rId25" DrawAspect="Icon" ObjectID="_1722646262" r:id="rId25"/>
        </w:object>
      </w:r>
    </w:p>
    <w:p>
      <w:pPr>
        <w:pStyle w:val="Style23"/>
        <w:rPr/>
      </w:pPr>
      <w:bookmarkStart w:id="354" w:name="_Ref130395475"/>
      <w:bookmarkStart w:id="355" w:name="_Toc186224327"/>
      <w:r>
        <w:rPr/>
        <w:t>Форма «Заверение об обстоятельствах»</w:t>
      </w:r>
      <w:bookmarkEnd w:id="354"/>
      <w:bookmarkEnd w:id="355"/>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6" w:name="_MON_1741074184"/>
    </w:p>
    <w:p>
      <w:pPr>
        <w:pStyle w:val="Style28"/>
        <w:spacing w:before="120" w:after="120"/>
        <w:jc w:val="center"/>
        <w:rPr/>
      </w:pPr>
      <w:bookmarkEnd w:id="356"/>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75pt;height:50.25pt;mso-wrap-distance-right:0pt;mso-wrap-distance-bottom:6pt" filled="f" o:ole="">
            <v:imagedata r:id="rId28" o:title=""/>
          </v:shape>
          <o:OLEObject Type="Embed" ProgID="Word.Document.12" ShapeID="ole_rId27" DrawAspect="Icon" ObjectID="_1153955677" r:id="rId27"/>
        </w:object>
      </w:r>
    </w:p>
    <w:p>
      <w:pPr>
        <w:pStyle w:val="Style22"/>
        <w:rPr/>
      </w:pPr>
      <w:bookmarkStart w:id="357" w:name="_Toc186224328"/>
      <w:bookmarkStart w:id="358" w:name="_Ref125362865"/>
      <w:bookmarkStart w:id="359" w:name="_Ref125362900"/>
      <w:bookmarkStart w:id="360" w:name="Прил06_СоставЗаявки"/>
      <w:bookmarkEnd w:id="360"/>
      <w:r>
        <w:rPr/>
        <w:t>Приложение № 6 – Состав заявки</w:t>
      </w:r>
      <w:bookmarkEnd w:id="357"/>
      <w:bookmarkEnd w:id="358"/>
      <w:bookmarkEnd w:id="359"/>
    </w:p>
    <w:p>
      <w:pPr>
        <w:pStyle w:val="Style23"/>
        <w:rPr/>
      </w:pPr>
      <w:bookmarkStart w:id="361" w:name="_Toc186224329"/>
      <w:r>
        <w:rPr/>
        <w:t>Состав заявки</w:t>
      </w:r>
      <w:bookmarkEnd w:id="361"/>
    </w:p>
    <w:p>
      <w:pPr>
        <w:pStyle w:val="Style24"/>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3"/>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3"/>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2" w:name="_Ref130389408"/>
            <w:bookmarkStart w:id="363" w:name="_Ref130389408"/>
            <w:bookmarkEnd w:id="363"/>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4" w:name="_Ref130389413"/>
            <w:bookmarkStart w:id="365" w:name="_Ref130389413"/>
            <w:bookmarkEnd w:id="365"/>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6" w:name="_Ref130389419"/>
            <w:bookmarkStart w:id="367" w:name="_Ref130389419"/>
            <w:bookmarkEnd w:id="367"/>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10"/>
          <w:i w:val="false"/>
          <w:i w:val="false"/>
          <w:iCs w:val="false"/>
          <w:shd w:fill="auto" w:val="clear"/>
        </w:rPr>
      </w:pPr>
      <w:r>
        <w:rPr>
          <w:rStyle w:val="Style10"/>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68" w:name="_Ref125365264"/>
      <w:bookmarkStart w:id="369" w:name="_Toc186224330"/>
      <w:bookmarkStart w:id="370" w:name="Прил07_ОтборочныеКритерии"/>
      <w:bookmarkEnd w:id="370"/>
      <w:r>
        <w:rPr/>
        <w:t>Приложение № 7 – Отборочные критерии рассмотрения заявок</w:t>
      </w:r>
      <w:bookmarkEnd w:id="368"/>
      <w:bookmarkEnd w:id="369"/>
    </w:p>
    <w:p>
      <w:pPr>
        <w:pStyle w:val="Style28"/>
        <w:spacing w:before="120" w:after="120"/>
        <w:rPr>
          <w:rStyle w:val="Style10"/>
        </w:rPr>
      </w:pPr>
      <w:r>
        <w:rPr/>
      </w:r>
    </w:p>
    <w:p>
      <w:pPr>
        <w:pStyle w:val="Style23"/>
        <w:spacing w:before="360" w:after="120"/>
        <w:rPr>
          <w:rStyle w:val="Style10"/>
          <w:i w:val="false"/>
          <w:i w:val="false"/>
          <w:iCs w:val="false"/>
          <w:shd w:fill="auto" w:val="clear"/>
        </w:rPr>
      </w:pPr>
      <w:bookmarkStart w:id="371" w:name="_Toc186224331"/>
      <w:r>
        <w:rPr>
          <w:rStyle w:val="Style10"/>
          <w:i w:val="false"/>
          <w:iCs w:val="false"/>
          <w:shd w:fill="auto" w:val="clear"/>
        </w:rPr>
        <w:t>Отборочные критерии рассмотрения заявок</w:t>
      </w:r>
      <w:bookmarkEnd w:id="371"/>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3"/>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3"/>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3"/>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3"/>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3"/>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10"/>
          <w:i w:val="false"/>
          <w:i w:val="false"/>
          <w:iCs w:val="false"/>
          <w:shd w:fill="auto" w:val="clear"/>
        </w:rPr>
      </w:pPr>
      <w:bookmarkStart w:id="372" w:name="_Toc186224332"/>
      <w:r>
        <w:rPr>
          <w:rStyle w:val="Style10"/>
          <w:i w:val="false"/>
          <w:iCs w:val="false"/>
          <w:shd w:fill="auto" w:val="clear"/>
        </w:rPr>
        <w:t>Дополнительные критерии проверки заявок на соответствие условиям Документации о закупке</w:t>
      </w:r>
      <w:bookmarkEnd w:id="372"/>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20"/>
          <w:tab w:val="left" w:pos="851" w:leader="none"/>
        </w:tabs>
        <w:spacing w:before="240" w:after="0"/>
        <w:rPr>
          <w:b/>
          <w:bCs/>
        </w:rPr>
      </w:pPr>
      <w:r>
        <w:rPr>
          <w:b/>
          <w:bCs/>
        </w:rPr>
        <w:t>* Направления оценки заявок:</w:t>
      </w:r>
    </w:p>
    <w:p>
      <w:pPr>
        <w:pStyle w:val="Style28"/>
        <w:tabs>
          <w:tab w:val="clear" w:pos="720"/>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28"/>
        <w:tabs>
          <w:tab w:val="clear" w:pos="720"/>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3"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3"/>
      <w:r>
        <w:rPr/>
        <w:t>;</w:t>
      </w:r>
    </w:p>
    <w:p>
      <w:pPr>
        <w:pStyle w:val="Style28"/>
        <w:tabs>
          <w:tab w:val="clear" w:pos="720"/>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20"/>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20"/>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74" w:name="_Ref125361951"/>
      <w:bookmarkStart w:id="375" w:name="Прил08_ПорядокОценки"/>
      <w:bookmarkStart w:id="376" w:name="_Ref125366013"/>
      <w:bookmarkStart w:id="377" w:name="_Ref125366280"/>
      <w:bookmarkStart w:id="378" w:name="_Ref125366285"/>
      <w:bookmarkStart w:id="379" w:name="_Ref125368140"/>
      <w:bookmarkStart w:id="380" w:name="_Ref125368150"/>
      <w:bookmarkStart w:id="381" w:name="_Ref125368165"/>
      <w:bookmarkStart w:id="382" w:name="_Ref125368184"/>
      <w:bookmarkStart w:id="383" w:name="_Ref125361648"/>
      <w:bookmarkStart w:id="384" w:name="_Ref125368172"/>
      <w:bookmarkStart w:id="385" w:name="_Ref125368283"/>
      <w:bookmarkStart w:id="386" w:name="_Ref125368291"/>
      <w:bookmarkStart w:id="387" w:name="_Ref125368302"/>
      <w:bookmarkStart w:id="388" w:name="_Ref125368313"/>
      <w:bookmarkStart w:id="389" w:name="_Ref125368331"/>
      <w:bookmarkStart w:id="390" w:name="_Ref125369021"/>
      <w:bookmarkStart w:id="391" w:name="_Ref125369438"/>
      <w:bookmarkStart w:id="392" w:name="_Toc186224333"/>
      <w:bookmarkEnd w:id="375"/>
      <w:r>
        <w:rPr/>
        <w:t>Приложение № 8 – Порядок и критерии оценки и сопоставления заявок</w:t>
      </w:r>
      <w:bookmarkEnd w:id="3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Style23"/>
        <w:rPr/>
      </w:pPr>
      <w:bookmarkStart w:id="393" w:name="_Toc186224334"/>
      <w:r>
        <w:rPr/>
        <w:t>Порядок и критерии оценки и сопоставления заявок</w:t>
      </w:r>
      <w:bookmarkEnd w:id="393"/>
    </w:p>
    <w:p>
      <w:pPr>
        <w:pStyle w:val="Style24"/>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4"/>
        <w:numPr>
          <w:ilvl w:val="0"/>
          <w:numId w:val="0"/>
        </w:numPr>
        <w:ind w:left="1134" w:hanging="0"/>
        <w:rPr/>
      </w:pPr>
      <w:r>
        <w:rPr/>
      </w:r>
    </w:p>
    <w:tbl>
      <w:tblPr>
        <w:tblW w:w="151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80"/>
        <w:gridCol w:w="1358"/>
        <w:gridCol w:w="1341"/>
        <w:gridCol w:w="1306"/>
        <w:gridCol w:w="1114"/>
        <w:gridCol w:w="1833"/>
        <w:gridCol w:w="7202"/>
      </w:tblGrid>
      <w:tr>
        <w:trPr>
          <w:trHeight w:val="188" w:hRule="atLeast"/>
          <w:cantSplit w:val="true"/>
        </w:trPr>
        <w:tc>
          <w:tcPr>
            <w:tcW w:w="980"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Номер критерия оценки в структуре</w:t>
            </w:r>
          </w:p>
        </w:tc>
        <w:tc>
          <w:tcPr>
            <w:tcW w:w="1358"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Вид критерия оценки / направление оценки заявок</w:t>
            </w:r>
          </w:p>
        </w:tc>
        <w:tc>
          <w:tcPr>
            <w:tcW w:w="2647" w:type="dxa"/>
            <w:gridSpan w:val="2"/>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Наименование критерия оценки</w:t>
            </w:r>
          </w:p>
        </w:tc>
        <w:tc>
          <w:tcPr>
            <w:tcW w:w="1114"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Значимость критерия оценки</w:t>
            </w:r>
          </w:p>
        </w:tc>
        <w:tc>
          <w:tcPr>
            <w:tcW w:w="1833"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Содержание частного критерия оценки</w:t>
            </w:r>
          </w:p>
        </w:tc>
        <w:tc>
          <w:tcPr>
            <w:tcW w:w="7202"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Расчет оценки предпочтительности заявки</w:t>
            </w:r>
          </w:p>
        </w:tc>
      </w:tr>
      <w:tr>
        <w:trPr>
          <w:trHeight w:val="188" w:hRule="atLeast"/>
          <w:cantSplit w:val="true"/>
        </w:trPr>
        <w:tc>
          <w:tcPr>
            <w:tcW w:w="980"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58"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41"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первого уровня</w:t>
            </w:r>
          </w:p>
        </w:tc>
        <w:tc>
          <w:tcPr>
            <w:tcW w:w="1306"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второго уровня</w:t>
            </w:r>
          </w:p>
        </w:tc>
        <w:tc>
          <w:tcPr>
            <w:tcW w:w="1114"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833"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7202"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r>
      <w:tr>
        <w:trPr>
          <w:trHeight w:val="3697" w:hRule="atLeast"/>
        </w:trPr>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1.</w:t>
            </w:r>
          </w:p>
        </w:tc>
        <w:tc>
          <w:tcPr>
            <w:tcW w:w="1358"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Ценовой (стоимостный) частный критерий оценки первого уровня / ЦЕНА</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Цена договора (заявки)</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i/>
                <w:i/>
                <w:sz w:val="18"/>
                <w:szCs w:val="18"/>
                <w:lang w:eastAsia="ru-RU"/>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90%</w:t>
              <w:br/>
              <w:t>(В</w:t>
            </w:r>
            <w:r>
              <w:rPr>
                <w:sz w:val="18"/>
                <w:szCs w:val="18"/>
                <w:vertAlign w:val="subscript"/>
                <w:lang w:eastAsia="ru-RU"/>
              </w:rPr>
              <w:t>1</w:t>
            </w:r>
            <w:r>
              <w:rPr>
                <w:sz w:val="18"/>
                <w:szCs w:val="18"/>
                <w:lang w:eastAsia="ru-RU"/>
              </w:rPr>
              <w:t xml:space="preserve"> = 0,90)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Чем меньше цена заявки Участника, тем выше предпочтительность</w:t>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pPr>
              <w:pStyle w:val="2"/>
              <w:widowControl w:val="false"/>
              <w:numPr>
                <w:ilvl w:val="0"/>
                <w:numId w:val="0"/>
              </w:numPr>
              <w:spacing w:lineRule="auto" w:line="240" w:before="0" w:after="120"/>
              <w:ind w:left="0" w:hanging="0"/>
              <w:contextualSpacing/>
              <w:jc w:val="center"/>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w:r>
              <w:fldChar w:fldCharType="begin"/>
            </w:r>
            <w:r>
              <w:rPr/>
              <w:instrText xml:space="preserve">vnd.oasis.opendocument.field.UNHANDLED</w:instrText>
            </w:r>
            <w:r>
              <w:rPr/>
            </w:r>
            <w:r>
              <w:rPr/>
              <w:fldChar w:fldCharType="separate"/>
            </w:r>
            <w:r>
              <w:rPr/>
            </w:r>
            <w:r/>
            <w:r>
              <w:rPr/>
              <w:fldChar w:fldCharType="end"/>
            </w:r>
            <w:r>
              <w:rPr/>
            </w:r>
          </w:p>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1</w:t>
            </w:r>
            <w:r>
              <w:rPr>
                <w:sz w:val="18"/>
                <w:szCs w:val="18"/>
                <w:lang w:eastAsia="ru-RU"/>
              </w:rPr>
              <w:tab/>
              <w:t>–</w:t>
              <w:tab/>
              <w:t>рассчитанная оценка предпочтительности по данному частному критерию оценки в баллах;</w:t>
            </w:r>
          </w:p>
          <w:p>
            <w:pPr>
              <w:pStyle w:val="Normal"/>
              <w:widowControl w:val="false"/>
              <w:spacing w:lineRule="auto" w:line="252"/>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(форма 3) допущенного участника, </w:t>
            </w:r>
            <w:r>
              <w:rPr>
                <w:sz w:val="18"/>
                <w:szCs w:val="18"/>
              </w:rPr>
              <w:t>руб. без учета НДС ;</w:t>
            </w:r>
          </w:p>
          <w:p>
            <w:pPr>
              <w:pStyle w:val="Normal"/>
              <w:widowControl w:val="false"/>
              <w:spacing w:lineRule="auto" w:line="252"/>
              <w:rPr>
                <w:sz w:val="18"/>
                <w:szCs w:val="18"/>
              </w:rPr>
            </w:pPr>
            <w:r>
              <w:rPr>
                <w:sz w:val="18"/>
                <w:szCs w:val="18"/>
              </w:rPr>
              <w:t>ЦЕНА</w:t>
            </w:r>
            <w:r>
              <w:rPr>
                <w:vertAlign w:val="subscript"/>
                <w:lang w:val="en-US"/>
              </w:rPr>
              <w:t>min</w:t>
            </w:r>
            <w:r>
              <w:rPr>
                <w:vertAlign w:val="subscript"/>
              </w:rPr>
              <w:t xml:space="preserve"> </w:t>
            </w:r>
            <w:r>
              <w:rPr>
                <w:sz w:val="18"/>
                <w:szCs w:val="18"/>
              </w:rPr>
              <w:t>– минимальная цена договора (заявки) среди всех допущенных заявок участников, руб. без учета НДС;</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Ш</w:t>
              <w:tab/>
              <w:t>–</w:t>
              <w:tab/>
              <w:t>максимально возможный балл (максимальная возможная оценка предпочтительности) по шкале оценок (Ш = 5).</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color w:val="000000"/>
                <w:sz w:val="18"/>
              </w:rPr>
              <w:t>.</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Шкала оценок от 0 до 5 баллов.</w:t>
            </w:r>
          </w:p>
        </w:tc>
      </w:tr>
      <w:tr>
        <w:trPr>
          <w:trHeight w:val="2247" w:hRule="atLeast"/>
        </w:trPr>
        <w:tc>
          <w:tcPr>
            <w:tcW w:w="980" w:type="dxa"/>
            <w:tcBorders>
              <w:top w:val="single" w:sz="4" w:space="0" w:color="00000A"/>
              <w:left w:val="single" w:sz="4" w:space="0" w:color="00000A"/>
              <w:bottom w:val="single" w:sz="4" w:space="0" w:color="00000A"/>
              <w:right w:val="single" w:sz="4" w:space="0" w:color="00000A"/>
            </w:tcBorders>
          </w:tcPr>
          <w:p>
            <w:pPr>
              <w:pStyle w:val="3"/>
              <w:widowControl w:val="false"/>
              <w:numPr>
                <w:ilvl w:val="0"/>
                <w:numId w:val="0"/>
              </w:numPr>
              <w:tabs>
                <w:tab w:val="clear" w:pos="2880"/>
                <w:tab w:val="left" w:pos="708" w:leader="none"/>
                <w:tab w:val="left" w:pos="1440" w:leader="none"/>
                <w:tab w:val="left" w:pos="5445" w:leader="none"/>
              </w:tabs>
              <w:suppressAutoHyphens w:val="true"/>
              <w:bidi w:val="0"/>
              <w:spacing w:lineRule="auto" w:line="240" w:before="40" w:after="40"/>
              <w:ind w:left="227" w:right="1020" w:hanging="0"/>
              <w:contextualSpacing/>
              <w:jc w:val="right"/>
              <w:rPr>
                <w:sz w:val="18"/>
                <w:szCs w:val="18"/>
                <w:lang w:eastAsia="ru-RU"/>
              </w:rPr>
            </w:pPr>
            <w:r>
              <w:rPr>
                <w:sz w:val="18"/>
                <w:szCs w:val="18"/>
                <w:lang w:eastAsia="ru-RU"/>
              </w:rPr>
              <w:t>2.</w:t>
            </w:r>
          </w:p>
        </w:tc>
        <w:tc>
          <w:tcPr>
            <w:tcW w:w="1358" w:type="dxa"/>
            <w:tcBorders>
              <w:top w:val="single" w:sz="4" w:space="0" w:color="00000A"/>
              <w:left w:val="single" w:sz="4" w:space="0" w:color="00000A"/>
              <w:bottom w:val="single" w:sz="4" w:space="0" w:color="00000A"/>
              <w:right w:val="single" w:sz="4" w:space="0" w:color="00000A"/>
            </w:tcBorders>
          </w:tcPr>
          <w:p>
            <w:pPr>
              <w:pStyle w:val="3"/>
              <w:widowControl w:val="false"/>
              <w:numPr>
                <w:ilvl w:val="7"/>
                <w:numId w:val="18"/>
              </w:numPr>
              <w:tabs>
                <w:tab w:val="left" w:pos="708" w:leader="none"/>
                <w:tab w:val="left" w:pos="1440" w:leader="none"/>
                <w:tab w:val="left" w:pos="2880" w:leader="none"/>
              </w:tabs>
              <w:suppressAutoHyphens w:val="true"/>
              <w:bidi w:val="0"/>
              <w:spacing w:lineRule="auto" w:line="240" w:before="40" w:after="40"/>
              <w:ind w:left="0" w:right="0" w:hanging="5839"/>
              <w:contextualSpacing/>
              <w:jc w:val="center"/>
              <w:rPr>
                <w:sz w:val="18"/>
                <w:szCs w:val="18"/>
                <w:lang w:eastAsia="ru-RU"/>
              </w:rPr>
            </w:pPr>
            <w:r>
              <w:rPr>
                <w:sz w:val="18"/>
                <w:szCs w:val="18"/>
                <w:lang w:eastAsia="ru-RU"/>
              </w:rPr>
              <w:t>Неценовой частный критерий оценки первого уровня / ТЕХ</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7"/>
                <w:numId w:val="19"/>
              </w:numPr>
              <w:tabs>
                <w:tab w:val="left" w:pos="708" w:leader="none"/>
                <w:tab w:val="left" w:pos="1440" w:leader="none"/>
                <w:tab w:val="left" w:pos="2880" w:leader="none"/>
              </w:tabs>
              <w:suppressAutoHyphens w:val="true"/>
              <w:bidi w:val="0"/>
              <w:spacing w:lineRule="auto" w:line="240" w:before="40" w:after="40"/>
              <w:ind w:left="57" w:right="0" w:hanging="5953"/>
              <w:contextualSpacing/>
              <w:jc w:val="center"/>
              <w:rPr>
                <w:sz w:val="18"/>
                <w:szCs w:val="18"/>
                <w:lang w:eastAsia="ru-RU"/>
              </w:rPr>
            </w:pPr>
            <w:r>
              <w:rPr>
                <w:sz w:val="18"/>
                <w:szCs w:val="18"/>
                <w:lang w:eastAsia="ru-RU"/>
              </w:rPr>
              <w:t>Квалификация (предпочти-тельность) Участника</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120" w:after="0"/>
              <w:jc w:val="center"/>
              <w:rPr>
                <w:rFonts w:eastAsia="Calibri"/>
                <w:sz w:val="18"/>
                <w:szCs w:val="18"/>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7"/>
                <w:numId w:val="20"/>
              </w:numPr>
              <w:tabs>
                <w:tab w:val="left" w:pos="708" w:leader="none"/>
                <w:tab w:val="left" w:pos="1440" w:leader="none"/>
                <w:tab w:val="left" w:pos="2880" w:leader="none"/>
              </w:tabs>
              <w:spacing w:lineRule="auto" w:line="240" w:before="40" w:after="40"/>
              <w:ind w:left="0" w:right="102" w:hanging="1440"/>
              <w:contextualSpacing/>
              <w:jc w:val="center"/>
              <w:rPr>
                <w:sz w:val="18"/>
                <w:szCs w:val="18"/>
                <w:lang w:eastAsia="ru-RU"/>
              </w:rPr>
            </w:pPr>
            <w:r>
              <w:rPr>
                <w:sz w:val="18"/>
                <w:szCs w:val="18"/>
                <w:lang w:eastAsia="ru-RU"/>
              </w:rPr>
              <w:t>10%</w:t>
              <w:br/>
              <w:t>(В</w:t>
            </w:r>
            <w:r>
              <w:rPr>
                <w:sz w:val="18"/>
                <w:szCs w:val="18"/>
                <w:vertAlign w:val="subscript"/>
                <w:lang w:eastAsia="ru-RU"/>
              </w:rPr>
              <w:t>2</w:t>
            </w:r>
            <w:r>
              <w:rPr>
                <w:sz w:val="18"/>
                <w:szCs w:val="18"/>
                <w:lang w:eastAsia="ru-RU"/>
              </w:rPr>
              <w:t xml:space="preserve"> = 0,10)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jc w:val="center"/>
              <w:rPr>
                <w:rFonts w:eastAsia="Calibri"/>
                <w:sz w:val="18"/>
                <w:szCs w:val="18"/>
              </w:rPr>
            </w:pPr>
            <w:r>
              <w:rPr>
                <w:sz w:val="18"/>
                <w:szCs w:val="18"/>
                <w:lang w:eastAsia="ru-RU"/>
              </w:rPr>
              <w:t>Чем больше опыт (до оцениваемого предела), тем выше предпочтительность</w:t>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документов, подтверждающих опыт, требуемый в соответствии п. 8.4 ДоЗ, на общую сумму:</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r>
          </w:p>
          <w:tbl>
            <w:tblPr>
              <w:tblW w:w="64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2"/>
              <w:gridCol w:w="5529"/>
            </w:tblGrid>
            <w:tr>
              <w:trPr>
                <w:cantSplit w:val="true"/>
              </w:trPr>
              <w:tc>
                <w:tcPr>
                  <w:tcW w:w="882" w:type="dxa"/>
                  <w:tcBorders>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0</w:t>
                  </w:r>
                </w:p>
              </w:tc>
              <w:tc>
                <w:tcPr>
                  <w:tcW w:w="5529" w:type="dxa"/>
                  <w:tcBorders>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До 2 303 221.32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1</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Более 2 303 221.32  руб., без учета НДС, но менее 2 879 026.65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2</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Более 2 879 026.65  руб., без учета НДС, но менее 3 454 831.98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3</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Более 3 454 831.98  руб., без учета НДС, но менее 4 030 637.31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4</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Более 4 030 637.31, руб., без учета НДС, но менее 4 606 442.64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5</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 xml:space="preserve">Более </w:t>
                  </w:r>
                  <w:r>
                    <w:rPr>
                      <w:color w:val="000000"/>
                      <w:sz w:val="18"/>
                    </w:rPr>
                    <w:t xml:space="preserve">4 606 442.64 </w:t>
                  </w:r>
                  <w:bookmarkStart w:id="394" w:name="_GoBack"/>
                  <w:bookmarkEnd w:id="394"/>
                  <w:r>
                    <w:rPr>
                      <w:color w:val="000000"/>
                      <w:sz w:val="18"/>
                    </w:rPr>
                    <w:t xml:space="preserve"> </w:t>
                  </w:r>
                  <w:r>
                    <w:rPr>
                      <w:sz w:val="18"/>
                      <w:szCs w:val="18"/>
                      <w:lang w:eastAsia="ru-RU"/>
                    </w:rPr>
                    <w:t>руб., без учета НДС.</w:t>
                  </w:r>
                </w:p>
              </w:tc>
            </w:tr>
          </w:tbl>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tab/>
              <w:t>рассчитанная оценка предпочтительности по данному частному критерию оценки в баллах.</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Опыт, несоответствующий установленным в документации о закупке требованиям (п. 4.1 ТТ), не оценивается.</w:t>
            </w:r>
          </w:p>
          <w:p>
            <w:pPr>
              <w:pStyle w:val="3"/>
              <w:widowControl w:val="false"/>
              <w:numPr>
                <w:ilvl w:val="0"/>
                <w:numId w:val="0"/>
              </w:numPr>
              <w:tabs>
                <w:tab w:val="left" w:pos="708" w:leader="none"/>
                <w:tab w:val="left" w:pos="1440" w:leader="none"/>
                <w:tab w:val="left" w:pos="2880" w:leader="none"/>
              </w:tabs>
              <w:suppressAutoHyphens w:val="true"/>
              <w:bidi w:val="0"/>
              <w:spacing w:lineRule="auto" w:line="240" w:before="96" w:after="96"/>
              <w:ind w:left="57" w:right="113" w:hanging="0"/>
              <w:contextualSpacing/>
              <w:jc w:val="left"/>
              <w:rPr>
                <w:sz w:val="18"/>
                <w:szCs w:val="18"/>
                <w:lang w:eastAsia="ru-RU"/>
              </w:rPr>
            </w:pPr>
            <w:r>
              <w:rPr>
                <w:sz w:val="18"/>
                <w:szCs w:val="18"/>
                <w:lang w:eastAsia="ru-RU"/>
              </w:rPr>
              <w:t>Шкала оценок от 0 до 5 баллов.</w:t>
            </w:r>
          </w:p>
        </w:tc>
      </w:tr>
      <w:tr>
        <w:trPr>
          <w:trHeight w:val="2856" w:hRule="atLeast"/>
          <w:cantSplit w:val="true"/>
        </w:trPr>
        <w:tc>
          <w:tcPr>
            <w:tcW w:w="4985"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right"/>
              <w:rPr>
                <w:sz w:val="18"/>
                <w:szCs w:val="18"/>
                <w:lang w:eastAsia="ru-RU"/>
              </w:rPr>
            </w:pPr>
            <w:r>
              <w:rPr>
                <w:sz w:val="18"/>
                <w:szCs w:val="18"/>
                <w:lang w:eastAsia="ru-RU"/>
              </w:rPr>
              <w:t>Итоговая оценка предпочтительности заявки:</w:t>
            </w:r>
          </w:p>
        </w:tc>
        <w:tc>
          <w:tcPr>
            <w:tcW w:w="10149"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rPr>
                <w:sz w:val="18"/>
                <w:szCs w:val="18"/>
              </w:rPr>
            </w:pPr>
            <w:r>
              <w:rPr>
                <w:sz w:val="18"/>
                <w:szCs w:val="18"/>
              </w:rPr>
              <w:t xml:space="preserve">Расчет итоговой оценки предпочтительности </w:t>
            </w:r>
            <w:r>
              <w:rPr>
                <w:i/>
                <w:sz w:val="18"/>
                <w:szCs w:val="18"/>
                <w:lang w:val="en-US"/>
              </w:rPr>
              <w:t>i</w:t>
            </w:r>
            <w:r>
              <w:rPr>
                <w:sz w:val="18"/>
                <w:szCs w:val="18"/>
              </w:rPr>
              <w:t>-ой заявки:</w:t>
            </w:r>
          </w:p>
          <w:p>
            <w:pPr>
              <w:pStyle w:val="Normal"/>
              <w:keepNext w:val="true"/>
              <w:widowControl w:val="false"/>
              <w:jc w:val="center"/>
              <w:rPr>
                <w:sz w:val="18"/>
                <w:szCs w:val="18"/>
              </w:rPr>
            </w:pPr>
            <w:r>
              <w:rPr>
                <w:sz w:val="18"/>
                <w:szCs w:val="18"/>
              </w:rPr>
            </w:r>
          </w:p>
          <w:p>
            <w:pPr>
              <w:pStyle w:val="Normal"/>
              <w:keepNext w:val="true"/>
              <w:widowControl w:val="false"/>
              <w:spacing w:before="96"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spacing w:before="96" w:after="0"/>
              <w:rPr>
                <w:sz w:val="18"/>
                <w:szCs w:val="18"/>
              </w:rPr>
            </w:pPr>
            <w:r>
              <w:rPr>
                <w:sz w:val="18"/>
                <w:szCs w:val="18"/>
              </w:rPr>
              <w:t>где:</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ИТОГ</w:t>
            </w:r>
            <w:r>
              <w:rPr>
                <w:sz w:val="18"/>
                <w:szCs w:val="18"/>
              </w:rPr>
              <w:tab/>
              <w:t>–</w:t>
              <w:tab/>
              <w:t>рассчитанная итоговая оценка предпочтительности в баллах;</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1 уровень k</w:t>
            </w:r>
            <w:r>
              <w:rPr>
                <w:sz w:val="18"/>
                <w:szCs w:val="18"/>
              </w:rPr>
              <w:tab/>
              <w:t>–</w:t>
              <w:tab/>
              <w:t>оценка предпочтительности по k-тому критерию оценки первого уровня в баллах;</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rPr>
              <w:t>В</w:t>
            </w:r>
            <w:r>
              <w:rPr>
                <w:sz w:val="18"/>
                <w:szCs w:val="18"/>
                <w:vertAlign w:val="subscript"/>
              </w:rPr>
              <w:t>1 уровень k</w:t>
            </w:r>
            <w:r>
              <w:rPr>
                <w:sz w:val="18"/>
                <w:szCs w:val="18"/>
              </w:rPr>
              <w:tab/>
              <w:t>–</w:t>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lang w:eastAsia="ru-RU"/>
              </w:rPr>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7"/>
          <w:headerReference w:type="first" r:id="rId38"/>
          <w:footerReference w:type="default" r:id="rId39"/>
          <w:footerReference w:type="first" r:id="rId4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95" w:name="_Ref125360420"/>
      <w:bookmarkStart w:id="396" w:name="Прил09_ОбоснованиеНМЦ"/>
      <w:bookmarkStart w:id="397" w:name="_Toc186224336"/>
      <w:bookmarkStart w:id="398" w:name="_Toc136249260"/>
      <w:bookmarkStart w:id="399" w:name="_Toc136261689"/>
      <w:bookmarkStart w:id="400" w:name="_Toc136261766"/>
      <w:bookmarkStart w:id="401" w:name="_Toc136249261"/>
      <w:bookmarkStart w:id="402" w:name="_Toc136261690"/>
      <w:bookmarkStart w:id="403" w:name="_Toc136261767"/>
      <w:bookmarkStart w:id="404" w:name="_Toc136249262"/>
      <w:bookmarkStart w:id="405" w:name="_Toc136261691"/>
      <w:bookmarkStart w:id="406" w:name="_Toc136261768"/>
      <w:bookmarkStart w:id="407" w:name="_Toc136249263"/>
      <w:bookmarkStart w:id="408" w:name="_Toc136261692"/>
      <w:bookmarkStart w:id="409" w:name="_Toc136261769"/>
      <w:bookmarkEnd w:id="398"/>
      <w:bookmarkEnd w:id="399"/>
      <w:bookmarkEnd w:id="400"/>
      <w:bookmarkEnd w:id="401"/>
      <w:bookmarkEnd w:id="402"/>
      <w:bookmarkEnd w:id="403"/>
      <w:bookmarkEnd w:id="404"/>
      <w:bookmarkEnd w:id="405"/>
      <w:bookmarkEnd w:id="406"/>
      <w:bookmarkEnd w:id="407"/>
      <w:bookmarkEnd w:id="408"/>
      <w:bookmarkEnd w:id="409"/>
      <w:r>
        <w:rPr/>
        <w:t>Приложение № 9 – Обоснование НМЦ</w:t>
      </w:r>
      <w:bookmarkEnd w:id="395"/>
      <w:bookmarkEnd w:id="396"/>
      <w:bookmarkEnd w:id="397"/>
    </w:p>
    <w:p>
      <w:pPr>
        <w:pStyle w:val="Style23"/>
        <w:rPr/>
      </w:pPr>
      <w:bookmarkStart w:id="410" w:name="_Toc186224337"/>
      <w:r>
        <w:rPr/>
        <w:t>Пояснения к Обоснованию НМЦ</w:t>
      </w:r>
      <w:bookmarkEnd w:id="410"/>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411" w:name="_Toc186224338"/>
      <w:bookmarkStart w:id="412" w:name="Прил10_ЗаявкаНаАккредитацию"/>
      <w:bookmarkEnd w:id="412"/>
      <w:r>
        <w:rPr/>
        <w:t>Приложение № 10 – Форма Заявки на аккредитацию</w:t>
      </w:r>
      <w:bookmarkEnd w:id="411"/>
    </w:p>
    <w:p>
      <w:pPr>
        <w:pStyle w:val="Style23"/>
        <w:rPr/>
      </w:pPr>
      <w:bookmarkStart w:id="413" w:name="_Toc186224339"/>
      <w:r>
        <w:rPr/>
        <w:t>Пояснения к форме Заявки на аккредитацию</w:t>
      </w:r>
      <w:bookmarkEnd w:id="413"/>
    </w:p>
    <w:p>
      <w:pPr>
        <w:pStyle w:val="Style24"/>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object>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78pt;height:50.25pt;mso-wrap-distance-right:0pt" filled="f" o:ole="">
            <v:imagedata r:id="rId42" o:title=""/>
          </v:shape>
          <o:OLEObject Type="Embed" ProgID="Excel.Sheet.12" ShapeID="ole_rId41" DrawAspect="Icon" ObjectID="_1152916872" r:id="rId41"/>
        </w:object>
      </w:r>
    </w:p>
    <w:sectPr>
      <w:headerReference w:type="default" r:id="rId43"/>
      <w:headerReference w:type="first" r:id="rId44"/>
      <w:footerReference w:type="default" r:id="rId45"/>
      <w:footerReference w:type="first" r:id="rId4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6531565"/>
    </w:sdtPr>
    <w:sdtContent>
      <w:p>
        <w:pPr>
          <w:pStyle w:val="Footer"/>
          <w:spacing w:before="120" w:after="0"/>
          <w:rPr/>
        </w:pPr>
        <w:r>
          <w:rPr/>
          <w:fldChar w:fldCharType="begin"/>
        </w:r>
        <w:r>
          <w:rPr/>
          <w:instrText xml:space="preserve"> PAGE </w:instrText>
        </w:r>
        <w:r>
          <w:rPr/>
          <w:fldChar w:fldCharType="separate"/>
        </w:r>
        <w:r>
          <w:rPr/>
          <w:t>16</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34506194"/>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18873687"/>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2170562"/>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468993"/>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9278647"/>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99183078"/>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5359252"/>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2"/>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0"/>
        <w:spacing w:before="80" w:after="0"/>
        <w:ind w:left="567" w:hanging="567"/>
        <w:jc w:val="both"/>
        <w:rPr/>
      </w:pPr>
      <w:r>
        <w:rPr>
          <w:rStyle w:val="Style12"/>
        </w:rPr>
        <w:footnoteRef/>
      </w:r>
      <w:r>
        <w:rPr/>
        <w:tab/>
        <w:t>Определенные в соответствии с Законом 422-ФЗ.</w:t>
      </w:r>
    </w:p>
  </w:footnote>
  <w:footnote w:id="4">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2"/>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0"/>
        <w:spacing w:before="80" w:after="0"/>
        <w:ind w:left="567" w:hanging="567"/>
        <w:jc w:val="both"/>
        <w:rPr/>
      </w:pPr>
      <w:r>
        <w:rPr>
          <w:rStyle w:val="Style12"/>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0"/>
        <w:spacing w:before="80" w:after="0"/>
        <w:ind w:left="567" w:hanging="567"/>
        <w:jc w:val="both"/>
        <w:rPr/>
      </w:pPr>
      <w:r>
        <w:rPr>
          <w:rStyle w:val="Style12"/>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2"/>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2"/>
        </w:rPr>
        <w:footnoteRef/>
      </w:r>
      <w:r>
        <w:rPr/>
        <w:tab/>
        <w:t>https://minfin.gov.ru/ru/perfomance/tax_relations/policy/bankwarranty/</w:t>
      </w:r>
    </w:p>
  </w:footnote>
  <w:footnote w:id="12">
    <w:p>
      <w:pPr>
        <w:pStyle w:val="Style30"/>
        <w:spacing w:before="80" w:after="0"/>
        <w:ind w:left="567" w:hanging="567"/>
        <w:jc w:val="both"/>
        <w:rPr/>
      </w:pPr>
      <w:r>
        <w:rPr>
          <w:rStyle w:val="Style12"/>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0"/>
        <w:spacing w:before="80" w:after="0"/>
        <w:ind w:left="567" w:hanging="567"/>
        <w:jc w:val="both"/>
        <w:rPr/>
      </w:pPr>
      <w:r>
        <w:rPr>
          <w:rStyle w:val="Style12"/>
        </w:rPr>
        <w:footnoteRef/>
      </w:r>
      <w:bookmarkStart w:id="414"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4"/>
    </w:p>
  </w:footnote>
  <w:footnote w:id="15">
    <w:p>
      <w:pPr>
        <w:pStyle w:val="Style30"/>
        <w:spacing w:before="80" w:after="0"/>
        <w:ind w:left="567" w:hanging="567"/>
        <w:jc w:val="both"/>
        <w:rPr/>
      </w:pPr>
      <w:r>
        <w:rPr>
          <w:rStyle w:val="Style12"/>
        </w:rPr>
        <w:footnoteRef/>
      </w:r>
      <w:bookmarkStart w:id="415" w:name="_Hlk139028803_Копия_1_Копия_1_Копия_1_Ко"/>
      <w:bookmarkStart w:id="416"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15"/>
      <w:bookmarkEnd w:id="416"/>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5"/>
  </w:num>
  <w:num w:numId="19">
    <w:abstractNumId w:val="5"/>
  </w:num>
  <w:num w:numId="20">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2">
    <w:name w:val="Heading 2"/>
    <w:basedOn w:val="Style20"/>
    <w:next w:val="BodyText"/>
    <w:qFormat/>
    <w:pPr>
      <w:spacing w:before="200" w:after="120"/>
    </w:pPr>
    <w:rPr>
      <w:b/>
      <w:bCs/>
      <w:sz w:val="32"/>
      <w:szCs w:val="32"/>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c95e18"/>
    <w:rPr/>
  </w:style>
  <w:style w:type="character" w:styleId="Style9" w:customStyle="1">
    <w:name w:val="Нижний колонтитул Знак"/>
    <w:basedOn w:val="DefaultParagraphFont"/>
    <w:uiPriority w:val="99"/>
    <w:qFormat/>
    <w:rsid w:val="008364e8"/>
    <w:rPr/>
  </w:style>
  <w:style w:type="character" w:styleId="Style10" w:customStyle="1">
    <w:name w:val="[РГ] Инструкция для организатора"/>
    <w:basedOn w:val="DefaultParagraphFont"/>
    <w:uiPriority w:val="1"/>
    <w:qFormat/>
    <w:rsid w:val="00277346"/>
    <w:rPr>
      <w:i/>
      <w:iCs/>
      <w:shd w:fill="FFFF99" w:val="clear"/>
      <w:lang w:val="ru-RU"/>
    </w:rPr>
  </w:style>
  <w:style w:type="character" w:styleId="Style11" w:customStyle="1">
    <w:name w:val="Текст сноски Знак"/>
    <w:basedOn w:val="DefaultParagraphFont"/>
    <w:uiPriority w:val="99"/>
    <w:semiHidden/>
    <w:qFormat/>
    <w:rsid w:val="006608d1"/>
    <w:rPr>
      <w:sz w:val="20"/>
      <w:szCs w:val="20"/>
    </w:rPr>
  </w:style>
  <w:style w:type="character" w:styleId="Style12">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3"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4" w:customStyle="1">
    <w:name w:val="Текст примечания Знак"/>
    <w:basedOn w:val="DefaultParagraphFont"/>
    <w:link w:val="Annotationtext"/>
    <w:uiPriority w:val="99"/>
    <w:qFormat/>
    <w:rsid w:val="007e365e"/>
    <w:rPr>
      <w:sz w:val="20"/>
      <w:szCs w:val="20"/>
    </w:rPr>
  </w:style>
  <w:style w:type="character" w:styleId="Style15" w:customStyle="1">
    <w:name w:val="Тема примечания Знак"/>
    <w:basedOn w:val="Style14"/>
    <w:link w:val="Annotationsubject"/>
    <w:uiPriority w:val="99"/>
    <w:semiHidden/>
    <w:qFormat/>
    <w:rsid w:val="007e365e"/>
    <w:rPr>
      <w:b/>
      <w:bCs/>
      <w:sz w:val="20"/>
      <w:szCs w:val="20"/>
    </w:rPr>
  </w:style>
  <w:style w:type="character" w:styleId="Style16"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7"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8">
    <w:name w:val="Ссылка указателя"/>
    <w:qFormat/>
    <w:rPr/>
  </w:style>
  <w:style w:type="character" w:styleId="Emphasis">
    <w:name w:val="Emphasis"/>
    <w:qFormat/>
    <w:rPr>
      <w:i/>
      <w:iCs/>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8"/>
    <w:uiPriority w:val="99"/>
    <w:unhideWhenUsed/>
    <w:rsid w:val="00c95e18"/>
    <w:pPr>
      <w:spacing w:before="0" w:after="120"/>
      <w:jc w:val="center"/>
    </w:pPr>
    <w:rPr/>
  </w:style>
  <w:style w:type="paragraph" w:styleId="Footer">
    <w:name w:val="Footer"/>
    <w:basedOn w:val="Normal"/>
    <w:link w:val="Style9"/>
    <w:uiPriority w:val="99"/>
    <w:unhideWhenUsed/>
    <w:rsid w:val="008364e8"/>
    <w:pPr>
      <w:jc w:val="right"/>
    </w:pPr>
    <w:rPr/>
  </w:style>
  <w:style w:type="paragraph" w:styleId="FootnoteText">
    <w:name w:val="Footnote Text"/>
    <w:basedOn w:val="Normal"/>
    <w:link w:val="Style11"/>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4"/>
    <w:uiPriority w:val="99"/>
    <w:unhideWhenUsed/>
    <w:qFormat/>
    <w:rsid w:val="007e365e"/>
    <w:pPr/>
    <w:rPr>
      <w:sz w:val="20"/>
      <w:szCs w:val="20"/>
    </w:rPr>
  </w:style>
  <w:style w:type="paragraph" w:styleId="Annotationsubject">
    <w:name w:val="annotation subject"/>
    <w:basedOn w:val="Annotationtext"/>
    <w:next w:val="Annotationtext"/>
    <w:link w:val="Style15"/>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7"/>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3">
    <w:name w:val="УРОВЕНЬ_Абзац_тип3"/>
    <w:basedOn w:val="ListParagraph"/>
    <w:qFormat/>
    <w:pPr>
      <w:tabs>
        <w:tab w:val="clear" w:pos="720"/>
        <w:tab w:val="left" w:pos="1440" w:leader="none"/>
        <w:tab w:val="left" w:pos="2880" w:leader="none"/>
      </w:tabs>
      <w:spacing w:lineRule="exact" w:line="360" w:before="120" w:after="0"/>
      <w:ind w:left="0" w:hanging="1440"/>
      <w:contextualSpacing w:val="false"/>
      <w:jc w:val="both"/>
    </w:pPr>
    <w:rPr>
      <w:rFonts w:cs="Times New Roman"/>
      <w:szCs w:val="28"/>
    </w:rPr>
  </w:style>
  <w:style w:type="paragraph" w:styleId="2">
    <w:name w:val="УРОВЕНЬ_Абзац_тип2"/>
    <w:basedOn w:val="ListParagraph"/>
    <w:qFormat/>
    <w:pPr>
      <w:tabs>
        <w:tab w:val="clear" w:pos="720"/>
        <w:tab w:val="left" w:pos="360" w:leader="none"/>
        <w:tab w:val="left" w:pos="1440" w:leader="none"/>
        <w:tab w:val="left" w:pos="2736" w:leader="none"/>
      </w:tabs>
      <w:spacing w:lineRule="exact" w:line="360" w:before="120" w:after="0"/>
      <w:ind w:left="1701" w:hanging="1440"/>
      <w:contextualSpacing w:val="false"/>
      <w:jc w:val="both"/>
    </w:pPr>
    <w:rPr>
      <w:rFonts w:cs="Times New Roman"/>
      <w:szCs w:val="28"/>
    </w:rPr>
  </w:style>
  <w:style w:type="paragraph" w:styleId="-">
    <w:name w:val="УРОВЕНЬ_-"/>
    <w:basedOn w:val="ListParagraph"/>
    <w:qFormat/>
    <w:pPr>
      <w:tabs>
        <w:tab w:val="clear" w:pos="720"/>
        <w:tab w:val="left" w:pos="360" w:leader="none"/>
        <w:tab w:val="left" w:pos="1077" w:leader="none"/>
        <w:tab w:val="left" w:pos="1576" w:leader="none"/>
      </w:tabs>
      <w:spacing w:lineRule="exact" w:line="360" w:before="120" w:after="0"/>
      <w:ind w:left="2268" w:hanging="567"/>
      <w:contextualSpacing w:val="false"/>
      <w:jc w:val="both"/>
      <w:outlineLvl w:val="4"/>
    </w:pPr>
    <w:rPr>
      <w:rFonts w:cs="Times New Roman"/>
      <w:szCs w:val="2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RUSHYDRO.RU" TargetMode="External"/><Relationship Id="rId4" Type="http://schemas.openxmlformats.org/officeDocument/2006/relationships/hyperlink" Target="" TargetMode="External"/><Relationship Id="rId5" Type="http://schemas.openxmlformats.org/officeDocument/2006/relationships/hyperlink" Target="mailto:OsadchayaEM@rushydro.ru" TargetMode="External"/><Relationship Id="rId6" Type="http://schemas.openxmlformats.org/officeDocument/2006/relationships/hyperlink" Target="" TargetMode="External"/><Relationship Id="rId7" Type="http://schemas.openxmlformats.org/officeDocument/2006/relationships/hyperlink" Target="mailto:OsadchayaEM@rushydro.ru" TargetMode="External"/><Relationship Id="rId8" Type="http://schemas.openxmlformats.org/officeDocument/2006/relationships/hyperlink" Target=""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package" Target="embeddings/oleObject1.docx"/><Relationship Id="rId16" Type="http://schemas.openxmlformats.org/officeDocument/2006/relationships/image" Target="media/image2.wmf"/><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package" Target="embeddings/oleObject2.docx"/><Relationship Id="rId26" Type="http://schemas.openxmlformats.org/officeDocument/2006/relationships/image" Target="media/image3.wmf"/><Relationship Id="rId27" Type="http://schemas.openxmlformats.org/officeDocument/2006/relationships/package" Target="embeddings/oleObject3.docx"/><Relationship Id="rId28" Type="http://schemas.openxmlformats.org/officeDocument/2006/relationships/image" Target="media/image4.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footer" Target="footer10.xml"/><Relationship Id="rId36" Type="http://schemas.openxmlformats.org/officeDocument/2006/relationships/footer" Target="footer11.xml"/><Relationship Id="rId37" Type="http://schemas.openxmlformats.org/officeDocument/2006/relationships/header" Target="header12.xml"/><Relationship Id="rId38" Type="http://schemas.openxmlformats.org/officeDocument/2006/relationships/header" Target="header13.xml"/><Relationship Id="rId39" Type="http://schemas.openxmlformats.org/officeDocument/2006/relationships/footer" Target="footer12.xml"/><Relationship Id="rId40" Type="http://schemas.openxmlformats.org/officeDocument/2006/relationships/footer" Target="footer13.xml"/><Relationship Id="rId41" Type="http://schemas.openxmlformats.org/officeDocument/2006/relationships/package" Target="embeddings/oleObject4.xlsx"/><Relationship Id="rId42" Type="http://schemas.openxmlformats.org/officeDocument/2006/relationships/image" Target="media/image5.wmf"/><Relationship Id="rId43" Type="http://schemas.openxmlformats.org/officeDocument/2006/relationships/header" Target="header14.xml"/><Relationship Id="rId44" Type="http://schemas.openxmlformats.org/officeDocument/2006/relationships/header" Target="header15.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Application>AlterOffice/2025.3.0.0$Linux_X86_64 LibreOffice_project/4ba31b6a4271509a884f95065d0a726e9cb2bdbb</Application>
  <AppVersion>15.0000</AppVersion>
  <Pages>77</Pages>
  <Words>18790</Words>
  <Characters>130424</Characters>
  <CharactersWithSpaces>147627</CharactersWithSpaces>
  <Paragraphs>1094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osadchayaem@corp.gidroogk.com</cp:lastModifiedBy>
  <cp:lastPrinted>2026-07-16T14:59:42Z</cp:lastPrinted>
  <dcterms:modified xsi:type="dcterms:W3CDTF">2026-07-16T15:24:59Z</dcterms:modified>
  <cp:revision>188</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