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ОКПД2 28.24.12.110 Поставка гайковерта пневматического для нужд Жигулевского филиала</w:t>
      </w:r>
    </w:p>
    <w:p>
      <w:pPr>
        <w:pStyle w:val="Normal"/>
        <w:jc w:val="center"/>
        <w:rPr>
          <w:rFonts w:eastAsia="Calibri"/>
          <w:b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ОНМ-2027-ГРВКК-ЖигФ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75446566"/>
      <w:bookmarkStart w:id="1" w:name="_Toc157599445"/>
      <w:bookmarkStart w:id="2" w:name="_Toc162430460"/>
      <w:bookmarkStart w:id="3" w:name="_Toc51339692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46743506"/>
      <w:bookmarkStart w:id="5" w:name="_Toc75446568"/>
      <w:bookmarkStart w:id="6" w:name="_Toc157599446"/>
      <w:bookmarkStart w:id="7" w:name="_Toc162430461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</w:rPr>
        <w:t>ОКПД2 28.24.12.110 Поставка гайковерта пневматического для нужд Жигулевского филиала</w:t>
      </w:r>
      <w:r>
        <w:rPr>
          <w:bCs/>
          <w:lang w:eastAsia="x-none"/>
        </w:rPr>
        <w:t xml:space="preserve">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75446569"/>
      <w:bookmarkStart w:id="9" w:name="_Toc162430462"/>
      <w:bookmarkStart w:id="10" w:name="_Toc157599447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2025г.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51339693"/>
      <w:bookmarkStart w:id="13" w:name="_Toc157599448"/>
      <w:bookmarkStart w:id="14" w:name="_Toc75446573"/>
      <w:bookmarkStart w:id="15" w:name="_Toc162430463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75446574"/>
      <w:bookmarkStart w:id="18" w:name="_Toc162430464"/>
      <w:bookmarkStart w:id="19" w:name="_Toc157599449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75446575"/>
      <w:bookmarkStart w:id="21" w:name="_Toc162430465"/>
      <w:bookmarkStart w:id="22" w:name="_Toc157599450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6"/>
        <w:gridCol w:w="4824"/>
        <w:gridCol w:w="1995"/>
        <w:gridCol w:w="1524"/>
        <w:gridCol w:w="1428"/>
      </w:tblGrid>
      <w:tr>
        <w:trPr>
          <w:trHeight w:val="20" w:hRule="atLeast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ОКПД2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Calibri"/>
                <w:color w:val="000000"/>
                <w:lang w:eastAsia="x-none"/>
              </w:rPr>
              <w:t>Пневматический ударный гайковерт NORGAU 1", 2500 Нм NIW15-250PS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rFonts w:eastAsia="Calibri"/>
              </w:rPr>
              <w:t>28.24.12.110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3" w:name="_Toc157599451"/>
      <w:bookmarkStart w:id="24" w:name="_Toc75446578"/>
      <w:bookmarkStart w:id="25" w:name="_Toc162430466"/>
      <w:bookmarkStart w:id="26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6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/>
      </w:pPr>
      <w:bookmarkStart w:id="27" w:name="_Toc75446579"/>
      <w:bookmarkStart w:id="28" w:name="_Toc51339697"/>
      <w:bookmarkStart w:id="29" w:name="_Toc5012512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395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9"/>
        <w:gridCol w:w="3796"/>
        <w:gridCol w:w="2505"/>
        <w:gridCol w:w="3254"/>
      </w:tblGrid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2" w:name="_Toc46743510"/>
            <w:r>
              <w:rPr>
                <w:b/>
              </w:rPr>
              <w:t>4</w:t>
            </w:r>
            <w:bookmarkEnd w:id="32"/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Продукция по перечню п 1.4.1.10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Наименование закупаемой продукции: «ОКПД2 28.24.12.110 Поставка гайковерта пневматического для нужд Жигулевского филиала»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2038"/>
        <w:gridCol w:w="3373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Гайковерт пневматический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Calibri"/>
                <w:color w:val="000000"/>
                <w:lang w:eastAsia="x-none"/>
              </w:rPr>
              <w:t>NIW15-250PS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патрона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0"/>
              <w:rPr/>
            </w:pPr>
            <w:r>
              <w:rPr>
                <w:color w:val="000000"/>
                <w:sz w:val="24"/>
                <w:szCs w:val="24"/>
              </w:rPr>
              <w:t>1 дюйм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патрона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0"/>
              <w:rPr/>
            </w:pPr>
            <w:r>
              <w:rPr>
                <w:sz w:val="24"/>
                <w:szCs w:val="24"/>
              </w:rPr>
              <w:t>квадрат с отверстием и фрикционным кольцом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крутящий момент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2500Н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Потребление воздуха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271 л/мин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давление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0"/>
              <w:rPr/>
            </w:pPr>
            <w:r>
              <w:rPr>
                <w:color w:val="000000"/>
                <w:sz w:val="24"/>
                <w:szCs w:val="24"/>
              </w:rPr>
              <w:t>6,3атм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удара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0"/>
              <w:rPr/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Обороты холостого хода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0"/>
              <w:rPr/>
            </w:pPr>
            <w:r>
              <w:rPr>
                <w:color w:val="000000"/>
                <w:sz w:val="24"/>
                <w:szCs w:val="24"/>
              </w:rPr>
              <w:t>4800 об/мин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момента затяжки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0"/>
              <w:rPr/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0"/>
              <w:rPr/>
            </w:pPr>
            <w:r>
              <w:rPr>
                <w:sz w:val="24"/>
                <w:szCs w:val="24"/>
              </w:rPr>
              <w:t>прямой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Боковая ручка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0"/>
              <w:rPr/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203" w:hRule="atLeast"/>
        </w:trPr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0"/>
              <w:rPr/>
            </w:pPr>
            <w:r>
              <w:rPr>
                <w:color w:val="000000"/>
                <w:sz w:val="24"/>
                <w:szCs w:val="24"/>
              </w:rPr>
              <w:t>10,2 кг</w:t>
            </w:r>
          </w:p>
        </w:tc>
      </w:tr>
      <w:tr>
        <w:trPr>
          <w:trHeight w:val="203" w:hRule="atLeast"/>
        </w:trPr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Calibri"/>
                <w:color w:val="000000"/>
                <w:lang w:eastAsia="x-none"/>
              </w:rPr>
              <w:t>NORGAU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рабочего дня до прибытия транспорта.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Не менее 24 (двадцати четырех)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  </w:t>
            </w:r>
            <w:r>
              <w:rPr>
                <w:sz w:val="24"/>
                <w:szCs w:val="24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- накладную ТОРГ-12 (УПД) в 2 (двух) экз.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9302863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4262345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AlterOffice/3.4.0.9$Linux_X86_64 LibreOffice_project/b8daf9e823b1a5463a2f48435ddc2e8696e7d4fc</Application>
  <AppVersion>15.0000</AppVersion>
  <Pages>4</Pages>
  <Words>530</Words>
  <Characters>3605</Characters>
  <CharactersWithSpaces>4019</CharactersWithSpaces>
  <Paragraphs>130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tihanovaov@corp.gidroogk.com</cp:lastModifiedBy>
  <cp:lastPrinted>2024-05-27T07:02:00Z</cp:lastPrinted>
  <dcterms:modified xsi:type="dcterms:W3CDTF">2026-07-16T14:16:59Z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