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
        <w:tabs>
          <w:tab w:val="clear" w:pos="708"/>
          <w:tab w:val="left" w:pos="1418" w:leader="none"/>
        </w:tabs>
        <w:spacing w:lineRule="auto" w:line="240" w:before="0" w:after="0"/>
        <w:ind w:hanging="0"/>
        <w:jc w:val="right"/>
        <w:rPr>
          <w:sz w:val="22"/>
          <w:szCs w:val="22"/>
        </w:rPr>
      </w:pPr>
      <w:r>
        <w:rPr>
          <w:b/>
          <w:sz w:val="24"/>
          <w:szCs w:val="24"/>
        </w:rPr>
        <w:tab/>
      </w:r>
    </w:p>
    <w:p>
      <w:pPr>
        <w:pStyle w:val="Normal"/>
        <w:spacing w:lineRule="auto" w:line="240"/>
        <w:ind w:hanging="0"/>
        <w:jc w:val="center"/>
        <w:rPr>
          <w:b/>
          <w:sz w:val="24"/>
          <w:szCs w:val="24"/>
        </w:rPr>
      </w:pPr>
      <w:r>
        <w:rPr>
          <w:b/>
          <w:sz w:val="24"/>
          <w:szCs w:val="24"/>
        </w:rPr>
        <w:t>Лицензионный договор № __________</w:t>
      </w:r>
    </w:p>
    <w:p>
      <w:pPr>
        <w:pStyle w:val="Normal"/>
        <w:tabs>
          <w:tab w:val="clear" w:pos="708"/>
          <w:tab w:val="left" w:pos="1418" w:leader="none"/>
        </w:tabs>
        <w:spacing w:lineRule="auto" w:line="240"/>
        <w:ind w:hanging="0"/>
        <w:jc w:val="center"/>
        <w:rPr>
          <w:b/>
          <w:sz w:val="24"/>
          <w:szCs w:val="24"/>
        </w:rPr>
      </w:pPr>
      <w:r>
        <w:rPr>
          <w:b/>
          <w:sz w:val="24"/>
          <w:szCs w:val="24"/>
        </w:rPr>
        <w:t>на предоставление прав использования программ для ЭВМ</w:t>
      </w:r>
    </w:p>
    <w:p>
      <w:pPr>
        <w:pStyle w:val="Normal"/>
        <w:tabs>
          <w:tab w:val="clear" w:pos="708"/>
          <w:tab w:val="left" w:pos="1418" w:leader="none"/>
        </w:tabs>
        <w:spacing w:lineRule="auto" w:line="240"/>
        <w:jc w:val="center"/>
        <w:rPr>
          <w:b/>
          <w:sz w:val="24"/>
          <w:szCs w:val="24"/>
        </w:rPr>
      </w:pPr>
      <w:r>
        <w:rPr>
          <w:b/>
          <w:sz w:val="24"/>
          <w:szCs w:val="24"/>
        </w:rPr>
      </w:r>
    </w:p>
    <w:p>
      <w:pPr>
        <w:pStyle w:val="Normal"/>
        <w:tabs>
          <w:tab w:val="clear" w:pos="708"/>
          <w:tab w:val="left" w:pos="1418" w:leader="none"/>
        </w:tabs>
        <w:spacing w:lineRule="auto" w:line="240"/>
        <w:ind w:hanging="0"/>
        <w:rPr>
          <w:sz w:val="24"/>
          <w:szCs w:val="24"/>
        </w:rPr>
      </w:pPr>
      <w:r>
        <w:rPr>
          <w:sz w:val="24"/>
          <w:szCs w:val="24"/>
        </w:rPr>
        <w:t>г. Нижний Новгород</w:t>
        <w:tab/>
        <w:tab/>
        <w:tab/>
        <w:tab/>
        <w:tab/>
        <w:tab/>
        <w:tab/>
        <w:t xml:space="preserve"> «____» _________ 2025 г.</w:t>
      </w:r>
    </w:p>
    <w:p>
      <w:pPr>
        <w:pStyle w:val="Normal"/>
        <w:tabs>
          <w:tab w:val="clear" w:pos="708"/>
          <w:tab w:val="left" w:pos="1418" w:leader="none"/>
        </w:tabs>
        <w:spacing w:lineRule="auto" w:line="240"/>
        <w:ind w:firstLine="709"/>
        <w:rPr>
          <w:sz w:val="24"/>
          <w:szCs w:val="24"/>
        </w:rPr>
      </w:pPr>
      <w:r>
        <w:rPr>
          <w:sz w:val="24"/>
          <w:szCs w:val="24"/>
        </w:rPr>
      </w:r>
    </w:p>
    <w:p>
      <w:pPr>
        <w:pStyle w:val="Normal"/>
        <w:tabs>
          <w:tab w:val="clear" w:pos="708"/>
          <w:tab w:val="left" w:pos="1418" w:leader="none"/>
        </w:tabs>
        <w:spacing w:lineRule="auto" w:line="240"/>
        <w:ind w:firstLine="709"/>
        <w:rPr>
          <w:sz w:val="24"/>
          <w:szCs w:val="24"/>
        </w:rPr>
      </w:pPr>
      <w:r>
        <w:rPr>
          <w:sz w:val="24"/>
          <w:szCs w:val="24"/>
        </w:rPr>
        <w:t>А</w:t>
      </w:r>
      <w:r>
        <w:rPr>
          <w:b/>
          <w:bCs/>
          <w:sz w:val="24"/>
          <w:szCs w:val="24"/>
        </w:rPr>
        <w:t>кционерное общество «Гидроремонт-ВКК» (АО «Гидроремонт-ВКК»)</w:t>
      </w:r>
      <w:r>
        <w:rPr>
          <w:sz w:val="24"/>
          <w:szCs w:val="24"/>
        </w:rPr>
        <w:t>, (далее – «Лицензиат»), в лице Гене</w:t>
      </w:r>
      <w:r>
        <w:rPr>
          <w:bCs/>
          <w:sz w:val="24"/>
          <w:szCs w:val="24"/>
        </w:rPr>
        <w:t>рального директора _,</w:t>
      </w:r>
      <w:r>
        <w:rPr>
          <w:sz w:val="24"/>
          <w:szCs w:val="24"/>
        </w:rPr>
        <w:t xml:space="preserve"> действующего на основании Устава, с одной стороны, и </w:t>
      </w:r>
    </w:p>
    <w:p>
      <w:pPr>
        <w:pStyle w:val="Normal"/>
        <w:tabs>
          <w:tab w:val="clear" w:pos="708"/>
          <w:tab w:val="left" w:pos="1418" w:leader="none"/>
        </w:tabs>
        <w:spacing w:lineRule="auto" w:line="240"/>
        <w:ind w:firstLine="709"/>
        <w:rPr>
          <w:sz w:val="24"/>
          <w:szCs w:val="24"/>
        </w:rPr>
      </w:pPr>
      <w:r>
        <w:rPr>
          <w:rFonts w:eastAsia="Times New Roman" w:cs="Times New Roman"/>
          <w:b/>
          <w:color w:val="auto"/>
          <w:kern w:val="0"/>
          <w:sz w:val="24"/>
          <w:szCs w:val="24"/>
          <w:lang w:val="ru-RU" w:eastAsia="ru-RU" w:bidi="ar-SA"/>
        </w:rPr>
        <w:t>_</w:t>
      </w:r>
      <w:r>
        <w:rPr>
          <w:sz w:val="24"/>
          <w:szCs w:val="24"/>
        </w:rPr>
        <w:t xml:space="preserve"> (далее – «Лицензиар»), в лице </w:t>
      </w:r>
      <w:r>
        <w:rPr>
          <w:b/>
          <w:sz w:val="24"/>
          <w:szCs w:val="24"/>
        </w:rPr>
        <w:t>_</w:t>
      </w:r>
      <w:r>
        <w:rPr>
          <w:sz w:val="24"/>
          <w:szCs w:val="24"/>
        </w:rPr>
        <w:t xml:space="preserve">, действующего на основании _, с другой стороны, </w:t>
      </w:r>
    </w:p>
    <w:p>
      <w:pPr>
        <w:pStyle w:val="Normal"/>
        <w:tabs>
          <w:tab w:val="clear" w:pos="708"/>
          <w:tab w:val="left" w:pos="1418" w:leader="none"/>
        </w:tabs>
        <w:spacing w:lineRule="auto" w:line="240"/>
        <w:ind w:firstLine="709"/>
        <w:rPr>
          <w:sz w:val="24"/>
          <w:szCs w:val="24"/>
        </w:rPr>
      </w:pPr>
      <w:r>
        <w:rPr>
          <w:sz w:val="24"/>
          <w:szCs w:val="24"/>
        </w:rPr>
        <w:t xml:space="preserve">совместно в дальнейшем именуемые «Стороны», а по отдельности </w:t>
      </w:r>
      <w:r>
        <w:rPr>
          <w:sz w:val="24"/>
          <w:szCs w:val="24"/>
          <w:lang w:eastAsia="en-US"/>
        </w:rPr>
        <w:t>–</w:t>
      </w:r>
      <w:r>
        <w:rPr>
          <w:sz w:val="24"/>
          <w:szCs w:val="24"/>
        </w:rPr>
        <w:t xml:space="preserve"> «Сторона», </w:t>
      </w:r>
      <w:r>
        <w:rPr>
          <w:sz w:val="24"/>
          <w:szCs w:val="24"/>
        </w:rPr>
        <w:t xml:space="preserve">на основании протокола выбора победителя __ от __ по лоту __ </w:t>
      </w:r>
      <w:r>
        <w:rPr>
          <w:sz w:val="24"/>
          <w:szCs w:val="24"/>
        </w:rPr>
        <w:t>заключили настоящий лицензионный договор на предоставление прав использования программ для ЭВМ (далее – «Договор») о нижеследующем:</w:t>
      </w:r>
    </w:p>
    <w:p>
      <w:pPr>
        <w:pStyle w:val="Normal"/>
        <w:tabs>
          <w:tab w:val="clear" w:pos="708"/>
          <w:tab w:val="left" w:pos="1418" w:leader="none"/>
        </w:tabs>
        <w:spacing w:lineRule="auto" w:line="240"/>
        <w:ind w:firstLine="709"/>
        <w:rPr>
          <w:b/>
          <w:sz w:val="24"/>
          <w:szCs w:val="24"/>
        </w:rPr>
      </w:pPr>
      <w:r>
        <w:rPr>
          <w:b/>
          <w:sz w:val="24"/>
          <w:szCs w:val="24"/>
        </w:rPr>
      </w:r>
    </w:p>
    <w:p>
      <w:pPr>
        <w:pStyle w:val="Normal"/>
        <w:shd w:val="clear" w:color="auto" w:fill="FFFFFF"/>
        <w:tabs>
          <w:tab w:val="clear" w:pos="708"/>
          <w:tab w:val="left" w:pos="284" w:leader="none"/>
          <w:tab w:val="left" w:pos="1418" w:leader="none"/>
        </w:tabs>
        <w:spacing w:lineRule="auto" w:line="240"/>
        <w:ind w:hanging="0"/>
        <w:jc w:val="center"/>
        <w:rPr>
          <w:b/>
          <w:bCs/>
          <w:sz w:val="24"/>
          <w:szCs w:val="24"/>
        </w:rPr>
      </w:pPr>
      <w:r>
        <w:rPr>
          <w:b/>
          <w:bCs/>
          <w:sz w:val="24"/>
          <w:szCs w:val="24"/>
        </w:rPr>
        <w:t>Термины и определения</w:t>
      </w:r>
    </w:p>
    <w:p>
      <w:pPr>
        <w:pStyle w:val="Normal"/>
        <w:tabs>
          <w:tab w:val="clear" w:pos="708"/>
          <w:tab w:val="left" w:pos="1418" w:leader="none"/>
        </w:tabs>
        <w:spacing w:lineRule="auto" w:line="240"/>
        <w:ind w:firstLine="709"/>
        <w:rPr>
          <w:sz w:val="24"/>
          <w:szCs w:val="24"/>
          <w:lang w:eastAsia="en-US"/>
        </w:rPr>
      </w:pPr>
      <w:r>
        <w:rPr>
          <w:sz w:val="24"/>
          <w:szCs w:val="24"/>
          <w:lang w:eastAsia="en-US"/>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tabs>
          <w:tab w:val="clear" w:pos="708"/>
          <w:tab w:val="left" w:pos="1418" w:leader="none"/>
        </w:tabs>
        <w:spacing w:lineRule="auto" w:line="240"/>
        <w:ind w:firstLine="709"/>
        <w:rPr>
          <w:sz w:val="24"/>
          <w:szCs w:val="24"/>
          <w:lang w:eastAsia="en-US"/>
        </w:rPr>
      </w:pPr>
      <w:r>
        <w:rPr>
          <w:b/>
          <w:bCs/>
          <w:sz w:val="24"/>
          <w:szCs w:val="24"/>
          <w:lang w:eastAsia="ar-SA"/>
        </w:rPr>
        <w:t>«Договор»</w:t>
      </w:r>
      <w:r>
        <w:rPr>
          <w:bCs/>
          <w:sz w:val="24"/>
          <w:szCs w:val="24"/>
          <w:lang w:eastAsia="ar-SA"/>
        </w:rPr>
        <w:t xml:space="preserve"> – настоящий договор, подписанный Лицензиатом и Лицензиаром,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tabs>
          <w:tab w:val="clear" w:pos="708"/>
          <w:tab w:val="left" w:pos="1418" w:leader="none"/>
        </w:tabs>
        <w:spacing w:lineRule="auto" w:line="240"/>
        <w:ind w:firstLine="709"/>
        <w:rPr>
          <w:sz w:val="24"/>
          <w:szCs w:val="24"/>
        </w:rPr>
      </w:pPr>
      <w:r>
        <w:rPr>
          <w:b/>
          <w:sz w:val="24"/>
          <w:szCs w:val="24"/>
        </w:rPr>
        <w:t>«Коммерческая тайна»</w:t>
      </w:r>
      <w:r>
        <w:rPr>
          <w:sz w:val="24"/>
          <w:szCs w:val="24"/>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или получить иную коммерческую выгоду.</w:t>
      </w:r>
    </w:p>
    <w:p>
      <w:pPr>
        <w:pStyle w:val="Normal"/>
        <w:tabs>
          <w:tab w:val="clear" w:pos="708"/>
          <w:tab w:val="left" w:pos="1418" w:leader="none"/>
        </w:tabs>
        <w:spacing w:lineRule="auto" w:line="240"/>
        <w:ind w:firstLine="709"/>
        <w:rPr>
          <w:color w:val="000000"/>
          <w:sz w:val="24"/>
          <w:szCs w:val="24"/>
          <w:lang w:eastAsia="en-US"/>
        </w:rPr>
      </w:pPr>
      <w:r>
        <w:rPr>
          <w:b/>
          <w:color w:val="000000"/>
          <w:sz w:val="24"/>
          <w:szCs w:val="24"/>
          <w:lang w:eastAsia="en-US"/>
        </w:rPr>
        <w:t xml:space="preserve">«Отказ от Договора» </w:t>
      </w:r>
      <w:r>
        <w:rPr>
          <w:color w:val="000000"/>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Normal"/>
        <w:widowControl w:val="false"/>
        <w:shd w:val="clear" w:color="auto" w:fill="FFFFFF"/>
        <w:tabs>
          <w:tab w:val="clear" w:pos="708"/>
          <w:tab w:val="left" w:pos="567" w:leader="none"/>
          <w:tab w:val="left" w:pos="1134" w:leader="none"/>
          <w:tab w:val="left" w:pos="1418" w:leader="none"/>
        </w:tabs>
        <w:overflowPunct w:val="false"/>
        <w:spacing w:lineRule="auto" w:line="240"/>
        <w:ind w:firstLine="709"/>
        <w:textAlignment w:val="baseline"/>
        <w:rPr>
          <w:sz w:val="24"/>
          <w:szCs w:val="24"/>
          <w:lang w:eastAsia="en-US"/>
        </w:rPr>
      </w:pPr>
      <w:bookmarkStart w:id="0" w:name="p85"/>
      <w:bookmarkStart w:id="1" w:name="p84"/>
      <w:bookmarkEnd w:id="0"/>
      <w:bookmarkEnd w:id="1"/>
      <w:r>
        <w:rPr>
          <w:b/>
          <w:sz w:val="24"/>
          <w:szCs w:val="24"/>
          <w:lang w:eastAsia="en-US"/>
        </w:rPr>
        <w:t>«Правообладатель»</w:t>
      </w:r>
      <w:r>
        <w:rPr>
          <w:sz w:val="24"/>
          <w:szCs w:val="24"/>
          <w:lang w:eastAsia="en-US"/>
        </w:rPr>
        <w:t xml:space="preserve"> – лицо, обладающее исключительными правами на </w:t>
      </w:r>
      <w:r>
        <w:rPr>
          <w:sz w:val="24"/>
          <w:szCs w:val="24"/>
        </w:rPr>
        <w:t>результат интеллектуальной деятельности</w:t>
      </w:r>
      <w:r>
        <w:rPr>
          <w:rFonts w:eastAsia="Calibri"/>
        </w:rPr>
        <w:t xml:space="preserve"> </w:t>
      </w:r>
      <w:r>
        <w:rPr>
          <w:rFonts w:eastAsia="Calibri"/>
          <w:sz w:val="24"/>
          <w:szCs w:val="24"/>
        </w:rPr>
        <w:t>или средство индивидуализации</w:t>
      </w:r>
      <w:r>
        <w:rPr>
          <w:sz w:val="24"/>
          <w:szCs w:val="24"/>
          <w:lang w:eastAsia="en-US"/>
        </w:rPr>
        <w:t xml:space="preserve"> и имеющее право использовать его по своему усмотрению любым способом, не противоречащим законодательству Российской Федерации. </w:t>
      </w:r>
    </w:p>
    <w:p>
      <w:pPr>
        <w:pStyle w:val="Normal"/>
        <w:keepLines/>
        <w:widowControl w:val="false"/>
        <w:numPr>
          <w:ilvl w:val="0"/>
          <w:numId w:val="0"/>
        </w:numPr>
        <w:tabs>
          <w:tab w:val="clear" w:pos="708"/>
          <w:tab w:val="left" w:pos="0" w:leader="none"/>
          <w:tab w:val="left" w:pos="1418" w:leader="none"/>
        </w:tabs>
        <w:overflowPunct w:val="false"/>
        <w:spacing w:lineRule="auto" w:line="240"/>
        <w:ind w:firstLine="709" w:left="0"/>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w:t>
      </w:r>
    </w:p>
    <w:p>
      <w:pPr>
        <w:pStyle w:val="Normal"/>
        <w:keepLines/>
        <w:widowControl w:val="false"/>
        <w:numPr>
          <w:ilvl w:val="0"/>
          <w:numId w:val="0"/>
        </w:numPr>
        <w:tabs>
          <w:tab w:val="clear" w:pos="708"/>
          <w:tab w:val="left" w:pos="0" w:leader="none"/>
          <w:tab w:val="left" w:pos="1418" w:leader="none"/>
        </w:tabs>
        <w:overflowPunct w:val="false"/>
        <w:spacing w:lineRule="auto" w:line="240"/>
        <w:ind w:firstLine="709" w:left="0"/>
        <w:textAlignment w:val="baseline"/>
        <w:outlineLvl w:val="2"/>
        <w:rPr>
          <w:bCs/>
          <w:sz w:val="24"/>
          <w:szCs w:val="24"/>
          <w:lang w:eastAsia="en-US"/>
        </w:rPr>
      </w:pPr>
      <w:r>
        <w:rPr>
          <w:b/>
          <w:bCs/>
          <w:sz w:val="24"/>
          <w:szCs w:val="24"/>
          <w:lang w:eastAsia="en-US"/>
        </w:rPr>
        <w:t xml:space="preserve">«Программа для электронной вычислительной машины (ЭВМ)» </w:t>
      </w:r>
      <w:r>
        <w:rPr>
          <w:bCs/>
          <w:sz w:val="24"/>
          <w:szCs w:val="24"/>
          <w:lang w:eastAsia="en-US"/>
        </w:rPr>
        <w:t>–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pPr>
        <w:pStyle w:val="Normal"/>
        <w:spacing w:lineRule="auto" w:line="240"/>
        <w:ind w:firstLine="709"/>
        <w:rPr>
          <w:rFonts w:ascii="Arial" w:hAnsi="Arial" w:eastAsia="Calibri" w:cs="Arial" w:eastAsiaTheme="minorHAnsi"/>
          <w:sz w:val="20"/>
          <w:szCs w:val="20"/>
          <w:lang w:eastAsia="en-US"/>
        </w:rPr>
      </w:pPr>
      <w:r>
        <w:rPr>
          <w:b/>
          <w:sz w:val="24"/>
          <w:szCs w:val="24"/>
          <w:lang w:eastAsia="en-US"/>
        </w:rPr>
        <w:t xml:space="preserve">«Простая (неисключительная) лицензия» </w:t>
      </w:r>
      <w:r>
        <w:rPr>
          <w:sz w:val="24"/>
          <w:szCs w:val="24"/>
          <w:lang w:eastAsia="en-US"/>
        </w:rPr>
        <w:t>–</w:t>
      </w:r>
      <w:r>
        <w:rPr>
          <w:b/>
          <w:sz w:val="24"/>
          <w:szCs w:val="24"/>
          <w:lang w:eastAsia="en-US"/>
        </w:rPr>
        <w:t xml:space="preserve"> </w:t>
      </w:r>
      <w:r>
        <w:rPr>
          <w:sz w:val="24"/>
          <w:szCs w:val="24"/>
          <w:lang w:eastAsia="en-US"/>
        </w:rPr>
        <w:t xml:space="preserve">предоставление Лицензиату права использования </w:t>
      </w:r>
      <w:r>
        <w:rPr>
          <w:sz w:val="24"/>
          <w:szCs w:val="24"/>
        </w:rPr>
        <w:t>результата интеллектуальной деятельности</w:t>
      </w:r>
      <w:r>
        <w:rPr>
          <w:sz w:val="24"/>
          <w:szCs w:val="24"/>
          <w:lang w:eastAsia="en-US"/>
        </w:rPr>
        <w:t xml:space="preserve"> </w:t>
      </w:r>
      <w:r>
        <w:rPr>
          <w:rFonts w:eastAsia="Calibri"/>
          <w:sz w:val="24"/>
          <w:szCs w:val="24"/>
        </w:rPr>
        <w:t>(средства индивидуализации)</w:t>
      </w:r>
      <w:r>
        <w:rPr>
          <w:sz w:val="24"/>
          <w:szCs w:val="24"/>
          <w:lang w:eastAsia="en-US"/>
        </w:rPr>
        <w:t xml:space="preserve"> с сохранением за Лицензиаром права выдачи лицензий другим лицам.</w:t>
      </w:r>
      <w:r>
        <w:rPr>
          <w:rFonts w:eastAsia="Calibri" w:cs="Arial" w:ascii="Arial" w:hAnsi="Arial" w:eastAsiaTheme="minorHAnsi"/>
          <w:sz w:val="20"/>
          <w:szCs w:val="20"/>
          <w:lang w:eastAsia="en-US"/>
        </w:rPr>
        <w:t xml:space="preserve"> </w:t>
      </w:r>
    </w:p>
    <w:p>
      <w:pPr>
        <w:pStyle w:val="Normal"/>
        <w:spacing w:lineRule="auto" w:line="240"/>
        <w:ind w:firstLine="709"/>
        <w:rPr>
          <w:sz w:val="24"/>
          <w:szCs w:val="24"/>
        </w:rPr>
      </w:pPr>
      <w:r>
        <w:rPr>
          <w:b/>
          <w:sz w:val="24"/>
          <w:szCs w:val="24"/>
        </w:rPr>
        <w:t xml:space="preserve">«Программное обеспечение (ПО)» – </w:t>
      </w:r>
      <w:r>
        <w:rPr>
          <w:sz w:val="24"/>
          <w:szCs w:val="24"/>
          <w:lang w:eastAsia="en-US"/>
        </w:rPr>
        <w:t xml:space="preserve">программы для ЭВМ и базы данных, </w:t>
      </w:r>
      <w:r>
        <w:rPr>
          <w:sz w:val="24"/>
          <w:szCs w:val="24"/>
        </w:rPr>
        <w:t>которым предоставляется правовая охрана и на которые признаются интеллектуальные права.</w:t>
      </w:r>
    </w:p>
    <w:p>
      <w:pPr>
        <w:pStyle w:val="Normal"/>
        <w:tabs>
          <w:tab w:val="clear" w:pos="708"/>
          <w:tab w:val="left" w:pos="1418" w:leader="none"/>
        </w:tabs>
        <w:spacing w:lineRule="auto" w:line="240"/>
        <w:ind w:firstLine="709"/>
        <w:rPr>
          <w:sz w:val="24"/>
          <w:szCs w:val="24"/>
        </w:rPr>
      </w:pPr>
      <w:r>
        <w:rPr>
          <w:b/>
          <w:sz w:val="24"/>
          <w:szCs w:val="24"/>
        </w:rPr>
        <w:t>«Территория»</w:t>
      </w:r>
      <w:r>
        <w:rPr>
          <w:b/>
          <w:sz w:val="24"/>
          <w:szCs w:val="24"/>
          <w:lang w:eastAsia="en-US"/>
        </w:rPr>
        <w:t xml:space="preserve"> </w:t>
      </w:r>
      <w:r>
        <w:rPr>
          <w:sz w:val="24"/>
          <w:szCs w:val="24"/>
          <w:lang w:eastAsia="en-US"/>
        </w:rPr>
        <w:t>–</w:t>
      </w:r>
      <w:r>
        <w:rPr>
          <w:b/>
          <w:sz w:val="24"/>
          <w:szCs w:val="24"/>
          <w:lang w:eastAsia="en-US"/>
        </w:rPr>
        <w:t xml:space="preserve"> </w:t>
      </w:r>
      <w:r>
        <w:rPr>
          <w:sz w:val="24"/>
          <w:szCs w:val="24"/>
        </w:rPr>
        <w:t>вся территория Российской Федерации или территория, на которой Лицензиату предоставлено право использования программы для ЭВМ (базы данных), если территория определена (ограничена) Договором.</w:t>
      </w:r>
    </w:p>
    <w:p>
      <w:pPr>
        <w:pStyle w:val="Normal"/>
        <w:tabs>
          <w:tab w:val="clear" w:pos="708"/>
          <w:tab w:val="left" w:pos="1418" w:leader="none"/>
        </w:tabs>
        <w:spacing w:lineRule="auto" w:line="240"/>
        <w:ind w:firstLine="709"/>
        <w:rPr>
          <w:sz w:val="24"/>
          <w:szCs w:val="24"/>
        </w:rPr>
      </w:pPr>
      <w:r>
        <w:rPr>
          <w:b/>
          <w:sz w:val="24"/>
          <w:szCs w:val="24"/>
        </w:rPr>
        <w:t>«Технические средства защиты»</w:t>
      </w:r>
      <w:r>
        <w:rPr>
          <w:sz w:val="24"/>
          <w:szCs w:val="24"/>
        </w:rPr>
        <w:t xml:space="preserve"> – любые технологии, технические устройства или их компоненты, контролирующие доступ к программе ЭВМ (базе данных), предотвращающие либо ограничивающие осуществление действий, которые не разрешены Правообладателем в отношении программы для ЭВМ (базы данных).</w:t>
      </w:r>
    </w:p>
    <w:p>
      <w:pPr>
        <w:pStyle w:val="Normal"/>
        <w:tabs>
          <w:tab w:val="clear" w:pos="708"/>
          <w:tab w:val="left" w:pos="1418" w:leader="none"/>
        </w:tabs>
        <w:spacing w:lineRule="auto" w:line="240"/>
        <w:ind w:firstLine="709"/>
        <w:rPr>
          <w:b/>
          <w:sz w:val="24"/>
          <w:szCs w:val="24"/>
        </w:rPr>
      </w:pPr>
      <w:r>
        <w:rPr>
          <w:b/>
          <w:sz w:val="24"/>
          <w:szCs w:val="24"/>
        </w:rPr>
      </w:r>
    </w:p>
    <w:p>
      <w:pPr>
        <w:pStyle w:val="Normal"/>
        <w:numPr>
          <w:ilvl w:val="0"/>
          <w:numId w:val="2"/>
        </w:numPr>
        <w:tabs>
          <w:tab w:val="clear" w:pos="708"/>
          <w:tab w:val="left" w:pos="284" w:leader="none"/>
          <w:tab w:val="left" w:pos="1418" w:leader="none"/>
        </w:tabs>
        <w:spacing w:lineRule="auto" w:line="240"/>
        <w:ind w:hanging="0" w:left="0"/>
        <w:jc w:val="center"/>
        <w:rPr>
          <w:sz w:val="24"/>
          <w:szCs w:val="24"/>
        </w:rPr>
      </w:pPr>
      <w:bookmarkStart w:id="2" w:name="_Ref528730826"/>
      <w:bookmarkStart w:id="3" w:name="_Ref351123838"/>
      <w:bookmarkEnd w:id="2"/>
      <w:bookmarkEnd w:id="3"/>
      <w:r>
        <w:rPr>
          <w:b/>
          <w:sz w:val="24"/>
          <w:szCs w:val="24"/>
        </w:rPr>
        <w:t>Предмет Договора</w:t>
      </w:r>
    </w:p>
    <w:p>
      <w:pPr>
        <w:pStyle w:val="Normal"/>
        <w:numPr>
          <w:ilvl w:val="1"/>
          <w:numId w:val="2"/>
        </w:numPr>
        <w:tabs>
          <w:tab w:val="clear" w:pos="708"/>
          <w:tab w:val="left" w:pos="993" w:leader="none"/>
          <w:tab w:val="left" w:pos="1134" w:leader="none"/>
        </w:tabs>
        <w:spacing w:lineRule="auto" w:line="240"/>
        <w:ind w:firstLine="709" w:left="0"/>
        <w:rPr/>
      </w:pPr>
      <w:r>
        <w:rPr>
          <w:sz w:val="24"/>
          <w:szCs w:val="24"/>
        </w:rPr>
        <w:t>ОКПД2 62.01.29.000 Поставка Права на использование программы для ЭВМ «ГНИВЦ:Налоговый мониторинг. Дополнение к 1С:НМ, 1С:ERP.УХ, 1С:УХ 8.(версия 2027 г.). Электронная поставка. Продление» для нужд Исполнительного аппарата (далее – ПО) на условиях простой (неисключительной) лицензии в пределах (объеме) и на срок, предусмотренные Договором. Лицензиат обязуется уплатить Лицензиару вознаграждение за предоставленное право использования ПО.</w:t>
      </w:r>
    </w:p>
    <w:p>
      <w:pPr>
        <w:pStyle w:val="ListParagraph"/>
        <w:tabs>
          <w:tab w:val="clear" w:pos="708"/>
          <w:tab w:val="left" w:pos="1134" w:leader="none"/>
        </w:tabs>
        <w:ind w:firstLine="709" w:left="0"/>
        <w:jc w:val="both"/>
        <w:rPr/>
      </w:pPr>
      <w:bookmarkStart w:id="4" w:name="_Ref351123838_Копия_1"/>
      <w:bookmarkStart w:id="5" w:name="_Ref528730826_Копия_1"/>
      <w:bookmarkEnd w:id="4"/>
      <w:bookmarkEnd w:id="5"/>
      <w:r>
        <w:rPr/>
        <w:t xml:space="preserve">Перечень </w:t>
      </w:r>
      <w:r>
        <w:rPr>
          <w:kern w:val="2"/>
        </w:rPr>
        <w:t>ПО</w:t>
      </w:r>
      <w:r>
        <w:rPr/>
        <w:t>, право использования которых передается Лицензиату, а также сроки предоставления такого права, указаны в Спецификации (</w:t>
      </w:r>
      <w:r>
        <w:rPr>
          <w:bCs/>
        </w:rPr>
        <w:t>Приложение № 2 к Договору</w:t>
      </w:r>
      <w:r>
        <w:rPr/>
        <w:t>).</w:t>
      </w:r>
    </w:p>
    <w:p>
      <w:pPr>
        <w:pStyle w:val="Normal"/>
        <w:numPr>
          <w:ilvl w:val="1"/>
          <w:numId w:val="2"/>
        </w:numPr>
        <w:tabs>
          <w:tab w:val="clear" w:pos="708"/>
          <w:tab w:val="left" w:pos="1134" w:leader="none"/>
        </w:tabs>
        <w:spacing w:lineRule="auto" w:line="240"/>
        <w:ind w:firstLine="709" w:left="0"/>
        <w:rPr>
          <w:sz w:val="24"/>
          <w:szCs w:val="24"/>
        </w:rPr>
      </w:pPr>
      <w:r>
        <w:rPr>
          <w:sz w:val="24"/>
          <w:szCs w:val="24"/>
        </w:rPr>
        <w:t xml:space="preserve"> </w:t>
      </w:r>
      <w:r>
        <w:rPr>
          <w:sz w:val="24"/>
          <w:szCs w:val="24"/>
        </w:rPr>
        <w:t>Принадлежность Лицензиару неисключительного права на ПО подтверждается (</w:t>
      </w:r>
      <w:r>
        <w:rPr>
          <w:bCs/>
          <w:sz w:val="24"/>
          <w:szCs w:val="24"/>
        </w:rPr>
        <w:t>Приложение № 3 к Договору</w:t>
      </w:r>
      <w:r>
        <w:rPr>
          <w:sz w:val="24"/>
          <w:szCs w:val="24"/>
        </w:rPr>
        <w:t>).</w:t>
      </w:r>
    </w:p>
    <w:p>
      <w:pPr>
        <w:pStyle w:val="Normal"/>
        <w:tabs>
          <w:tab w:val="clear" w:pos="708"/>
          <w:tab w:val="left" w:pos="1134" w:leader="none"/>
          <w:tab w:val="left" w:pos="1418" w:leader="none"/>
        </w:tabs>
        <w:spacing w:lineRule="auto" w:line="240"/>
        <w:ind w:firstLine="709"/>
        <w:rPr/>
      </w:pPr>
      <w:r>
        <w:rPr/>
      </w:r>
    </w:p>
    <w:p>
      <w:pPr>
        <w:pStyle w:val="ListParagraph"/>
        <w:numPr>
          <w:ilvl w:val="0"/>
          <w:numId w:val="9"/>
        </w:numPr>
        <w:tabs>
          <w:tab w:val="clear" w:pos="708"/>
          <w:tab w:val="left" w:pos="284" w:leader="none"/>
          <w:tab w:val="left" w:pos="1418" w:leader="none"/>
        </w:tabs>
        <w:jc w:val="center"/>
        <w:rPr>
          <w:b/>
        </w:rPr>
      </w:pPr>
      <w:r>
        <w:rPr>
          <w:b/>
        </w:rPr>
        <w:t>Цена Договора и порядок расчетов</w:t>
      </w:r>
    </w:p>
    <w:p>
      <w:pPr>
        <w:pStyle w:val="ListParagraph"/>
        <w:widowControl w:val="false"/>
        <w:numPr>
          <w:ilvl w:val="1"/>
          <w:numId w:val="9"/>
        </w:numPr>
        <w:tabs>
          <w:tab w:val="clear" w:pos="708"/>
          <w:tab w:val="left" w:pos="709" w:leader="none"/>
        </w:tabs>
        <w:ind w:firstLine="709" w:left="0"/>
        <w:jc w:val="both"/>
        <w:rPr>
          <w:bCs/>
        </w:rPr>
      </w:pPr>
      <w:r>
        <w:rPr>
          <w:bCs/>
        </w:rPr>
        <w:t>Лицензиат обязуется уплатить вознаграждение за предоставленное право использования ПО (далее – «Цена Договора) в размере _</w:t>
      </w:r>
      <w:r>
        <w:rPr>
          <w:b/>
          <w:bCs/>
        </w:rPr>
        <w:t xml:space="preserve"> копеек без НДС.</w:t>
      </w:r>
      <w:r>
        <w:rPr>
          <w:bCs/>
        </w:rPr>
        <w:t xml:space="preserve">  НДС не облагается на основании подпункта 26 пункта 2 статьи 149 Налогового кодекса Российской Федерации.</w:t>
      </w:r>
    </w:p>
    <w:p>
      <w:pPr>
        <w:pStyle w:val="ListParagraph"/>
        <w:widowControl w:val="false"/>
        <w:numPr>
          <w:ilvl w:val="1"/>
          <w:numId w:val="9"/>
        </w:numPr>
        <w:tabs>
          <w:tab w:val="clear" w:pos="708"/>
          <w:tab w:val="left" w:pos="709" w:leader="none"/>
        </w:tabs>
        <w:ind w:firstLine="709" w:left="0"/>
        <w:jc w:val="both"/>
        <w:rPr>
          <w:color w:val="000000"/>
        </w:rPr>
      </w:pPr>
      <w:r>
        <w:rPr/>
        <w:t xml:space="preserve">Цена Договора, указанная </w:t>
      </w:r>
      <w:r>
        <w:rPr>
          <w:color w:val="000000"/>
        </w:rPr>
        <w:t xml:space="preserve">в пункте 2.1 Договора, является фиксированной и не подлежит изменению в течение всего срока, на который Лицензиату предоставлено право использования ПО. </w:t>
      </w:r>
    </w:p>
    <w:p>
      <w:pPr>
        <w:pStyle w:val="ListParagraph"/>
        <w:widowControl w:val="false"/>
        <w:numPr>
          <w:ilvl w:val="1"/>
          <w:numId w:val="9"/>
        </w:numPr>
        <w:tabs>
          <w:tab w:val="clear" w:pos="708"/>
          <w:tab w:val="left" w:pos="709" w:leader="none"/>
        </w:tabs>
        <w:ind w:firstLine="709" w:left="0"/>
        <w:jc w:val="both"/>
        <w:rPr/>
      </w:pPr>
      <w:r>
        <w:rPr/>
        <w:t>Оплата вознаграждения за предоставленное право использования ПО по Договору осуществляется Лицензиатом в течение 7 рабочих дней/</w:t>
      </w:r>
      <w:r>
        <w:rPr/>
        <w:t>(</w:t>
      </w:r>
      <w:r>
        <w:rPr/>
        <w:t>30 календарных дней</w:t>
      </w:r>
      <w:r>
        <w:rPr/>
        <w:t>)</w:t>
      </w:r>
      <w:r>
        <w:rPr/>
        <w:t xml:space="preserve"> с даты подписания Сторонами Акта об исполнении обязательств по передаче права использования ПО (Приложение № 1 к Договору), указанного в пункте 3.2 Договора, и получения Лицензиатом счета, выставленного Лицензиаром, с учетом пункта 2.5 Договора. </w:t>
      </w:r>
    </w:p>
    <w:p>
      <w:pPr>
        <w:pStyle w:val="ListParagraph"/>
        <w:widowControl w:val="false"/>
        <w:numPr>
          <w:ilvl w:val="1"/>
          <w:numId w:val="9"/>
        </w:numPr>
        <w:tabs>
          <w:tab w:val="clear" w:pos="708"/>
          <w:tab w:val="left" w:pos="709" w:leader="none"/>
        </w:tabs>
        <w:ind w:firstLine="709" w:left="0"/>
        <w:jc w:val="both"/>
        <w:rPr/>
      </w:pPr>
      <w:r>
        <w:rPr/>
        <w:t>Расчеты по Договору осуществляются в валюте Российской Федерации. Оплата производится Лицензиатом путем перечисления денежных средств на расчетный счет Лицензиара, указанный в Договоре. Обязательство Лицензиата по осуществлению платежа считается исполненным с даты списания денежных средств с расчетного счета Лицензиата.</w:t>
      </w:r>
    </w:p>
    <w:p>
      <w:pPr>
        <w:pStyle w:val="ListParagraph"/>
        <w:widowControl w:val="false"/>
        <w:numPr>
          <w:ilvl w:val="1"/>
          <w:numId w:val="9"/>
        </w:numPr>
        <w:tabs>
          <w:tab w:val="clear" w:pos="708"/>
          <w:tab w:val="left" w:pos="709" w:leader="none"/>
        </w:tabs>
        <w:ind w:firstLine="709" w:left="0"/>
        <w:jc w:val="both"/>
        <w:rPr/>
      </w:pPr>
      <w:r>
        <w:rPr/>
        <w:t>В случае выставления Лицензиаром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Лицензиатом не принимается и подлежит замене Лицензиаром независимо от его фактического вручения Лицензиату. В случае выставления Лицензиаром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Лицензиатом.</w:t>
      </w:r>
    </w:p>
    <w:p>
      <w:pPr>
        <w:pStyle w:val="ListParagraph"/>
        <w:widowControl w:val="false"/>
        <w:numPr>
          <w:ilvl w:val="1"/>
          <w:numId w:val="9"/>
        </w:numPr>
        <w:tabs>
          <w:tab w:val="clear" w:pos="708"/>
          <w:tab w:val="left" w:pos="709" w:leader="none"/>
        </w:tabs>
        <w:ind w:firstLine="709" w:left="0"/>
        <w:jc w:val="both"/>
        <w:rPr/>
      </w:pPr>
      <w:r>
        <w:rPr/>
        <w:t>Индексация Цены Договора не допускается.</w:t>
      </w:r>
    </w:p>
    <w:p>
      <w:pPr>
        <w:pStyle w:val="ListParagraph"/>
        <w:widowControl w:val="false"/>
        <w:numPr>
          <w:ilvl w:val="1"/>
          <w:numId w:val="9"/>
        </w:numPr>
        <w:tabs>
          <w:tab w:val="clear" w:pos="708"/>
          <w:tab w:val="left" w:pos="709" w:leader="none"/>
        </w:tabs>
        <w:ind w:firstLine="709" w:left="0"/>
        <w:jc w:val="both"/>
        <w:rPr/>
      </w:pPr>
      <w:r>
        <w:rPr/>
        <w:t>Лицензиат вправе произвести сальдо взаимных обязательств Сторон путем уменьшения сумм причитающихся Лицензиару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Лицензиара перед Лицензиатом,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неполадок в функционировании предоставленного Лицензиаром ПО.</w:t>
      </w:r>
    </w:p>
    <w:p>
      <w:pPr>
        <w:pStyle w:val="ListParagraph"/>
        <w:widowControl w:val="false"/>
        <w:tabs>
          <w:tab w:val="clear" w:pos="708"/>
          <w:tab w:val="left" w:pos="1134" w:leader="none"/>
        </w:tabs>
        <w:ind w:firstLine="709" w:left="0"/>
        <w:jc w:val="both"/>
        <w:rPr/>
      </w:pPr>
      <w:r>
        <w:rPr/>
        <w:t>Лицензиат направляет Лицензиару уведомление о проведении сальдо взаимных обязательств Сторон по Договору.</w:t>
      </w:r>
    </w:p>
    <w:p>
      <w:pPr>
        <w:pStyle w:val="ListParagraph"/>
        <w:numPr>
          <w:ilvl w:val="0"/>
          <w:numId w:val="0"/>
        </w:numPr>
        <w:tabs>
          <w:tab w:val="clear" w:pos="708"/>
          <w:tab w:val="left" w:pos="1418" w:leader="none"/>
        </w:tabs>
        <w:ind w:firstLine="709" w:left="0"/>
        <w:jc w:val="both"/>
        <w:outlineLvl w:val="1"/>
        <w:rPr/>
      </w:pPr>
      <w:r>
        <w:rPr/>
      </w:r>
    </w:p>
    <w:p>
      <w:pPr>
        <w:pStyle w:val="Normal"/>
        <w:tabs>
          <w:tab w:val="clear" w:pos="708"/>
          <w:tab w:val="left" w:pos="284" w:leader="none"/>
          <w:tab w:val="left" w:pos="1418" w:leader="none"/>
        </w:tabs>
        <w:spacing w:lineRule="auto" w:line="240"/>
        <w:ind w:hanging="0"/>
        <w:jc w:val="center"/>
        <w:rPr>
          <w:b/>
          <w:bCs/>
          <w:sz w:val="24"/>
          <w:szCs w:val="24"/>
        </w:rPr>
      </w:pPr>
      <w:r>
        <w:rPr>
          <w:b/>
          <w:bCs/>
          <w:sz w:val="24"/>
          <w:szCs w:val="24"/>
        </w:rPr>
        <w:t xml:space="preserve">3. Порядок предоставления права использования, пределы (объем) и способы использования ПО </w:t>
      </w:r>
    </w:p>
    <w:p>
      <w:pPr>
        <w:pStyle w:val="ListParagraph"/>
        <w:widowControl/>
        <w:numPr>
          <w:ilvl w:val="1"/>
          <w:numId w:val="8"/>
        </w:numPr>
        <w:tabs>
          <w:tab w:val="clear" w:pos="708"/>
          <w:tab w:val="left" w:pos="1134" w:leader="none"/>
        </w:tabs>
        <w:suppressAutoHyphens w:val="true"/>
        <w:bidi w:val="0"/>
        <w:spacing w:lineRule="auto" w:line="240" w:before="0" w:after="0"/>
        <w:ind w:firstLine="709" w:left="0"/>
        <w:contextualSpacing/>
        <w:jc w:val="both"/>
        <w:rPr>
          <w:bCs/>
        </w:rPr>
      </w:pPr>
      <w:r>
        <w:rPr/>
        <w:tab/>
        <w:t>Передача Лицензиаром неисключительного права на ПО Лицензиату осуществляется посредством предоставления Лицензиату электронного ключа доступа к ПО.</w:t>
      </w:r>
    </w:p>
    <w:p>
      <w:pPr>
        <w:pStyle w:val="ListParagraph"/>
        <w:numPr>
          <w:ilvl w:val="1"/>
          <w:numId w:val="8"/>
        </w:numPr>
        <w:tabs>
          <w:tab w:val="clear" w:pos="708"/>
          <w:tab w:val="left" w:pos="1134" w:leader="none"/>
        </w:tabs>
        <w:ind w:firstLine="709" w:left="0"/>
        <w:jc w:val="both"/>
        <w:rPr>
          <w:bCs/>
        </w:rPr>
      </w:pPr>
      <w:r>
        <w:rPr>
          <w:bCs/>
        </w:rPr>
        <w:t>Лицензиар в подтверждение предоставления Лицензиату права использования ПО представляет Лицензиару подписанный со своей стороны Акт об исполнении обязательств</w:t>
      </w:r>
      <w:r>
        <w:rPr/>
        <w:t xml:space="preserve"> </w:t>
      </w:r>
      <w:r>
        <w:rPr>
          <w:bCs/>
        </w:rPr>
        <w:t xml:space="preserve">по предоставлению права использования ПО по форме Приложения № 1 к Договору (далее </w:t>
      </w:r>
      <w:r>
        <w:rPr>
          <w:lang w:eastAsia="en-US"/>
        </w:rPr>
        <w:t>– «Акт об исполнении обязательств»)</w:t>
      </w:r>
      <w:r>
        <w:rPr>
          <w:bCs/>
        </w:rPr>
        <w:t xml:space="preserve">. </w:t>
      </w:r>
    </w:p>
    <w:p>
      <w:pPr>
        <w:pStyle w:val="ListParagraph"/>
        <w:numPr>
          <w:ilvl w:val="1"/>
          <w:numId w:val="8"/>
        </w:numPr>
        <w:tabs>
          <w:tab w:val="clear" w:pos="708"/>
          <w:tab w:val="left" w:pos="1134" w:leader="none"/>
        </w:tabs>
        <w:ind w:firstLine="709" w:left="0"/>
        <w:jc w:val="both"/>
        <w:rPr/>
      </w:pPr>
      <w:r>
        <w:rPr>
          <w:bCs/>
        </w:rPr>
        <w:t xml:space="preserve">В течение 15 (пятнадцати) рабочих дней с даты исполнения Лицензиаром обязательств, предусмотренных пунктами 3.1, 3.2 Договора, и получения Лицензиатом Акта об исполнении обязательств, Лицензиат подписывает и передает Лицензиару Акт об исполнении обязательств либо </w:t>
      </w:r>
      <w:r>
        <w:rPr/>
        <w:t>направляет Лицензиару письменный мотивированный отказ от подписания Акта</w:t>
      </w:r>
      <w:r>
        <w:rPr>
          <w:bCs/>
        </w:rPr>
        <w:t>,</w:t>
      </w:r>
      <w:r>
        <w:rPr/>
        <w:t xml:space="preserve"> в котором отражает несоответствия / недостатки, а также срок на их устранение. </w:t>
      </w:r>
    </w:p>
    <w:p>
      <w:pPr>
        <w:pStyle w:val="ListParagraph"/>
        <w:numPr>
          <w:ilvl w:val="1"/>
          <w:numId w:val="8"/>
        </w:numPr>
        <w:tabs>
          <w:tab w:val="clear" w:pos="708"/>
          <w:tab w:val="left" w:pos="1134" w:leader="none"/>
        </w:tabs>
        <w:ind w:firstLine="709" w:left="0"/>
        <w:jc w:val="both"/>
        <w:rPr>
          <w:bCs/>
        </w:rPr>
      </w:pPr>
      <w:r>
        <w:rPr/>
        <w:t>Устранение несоответствий / недостатков, выявленных Лицензиатом, производится Лицензиаром своими силами и за свой счет.</w:t>
      </w:r>
    </w:p>
    <w:p>
      <w:pPr>
        <w:pStyle w:val="Normal"/>
        <w:numPr>
          <w:ilvl w:val="1"/>
          <w:numId w:val="8"/>
        </w:numPr>
        <w:shd w:val="clear" w:color="auto" w:fill="FFFFFF"/>
        <w:tabs>
          <w:tab w:val="clear" w:pos="708"/>
          <w:tab w:val="left" w:pos="-3544" w:leader="none"/>
          <w:tab w:val="left" w:pos="1134" w:leader="none"/>
          <w:tab w:val="left" w:pos="1418" w:leader="none"/>
        </w:tabs>
        <w:spacing w:lineRule="auto" w:line="240" w:before="0" w:after="0"/>
        <w:ind w:firstLine="709" w:left="0"/>
        <w:contextualSpacing/>
        <w:rPr>
          <w:color w:val="000000"/>
          <w:sz w:val="24"/>
          <w:szCs w:val="24"/>
        </w:rPr>
      </w:pPr>
      <w:r>
        <w:rPr>
          <w:bCs/>
          <w:sz w:val="24"/>
          <w:szCs w:val="24"/>
        </w:rPr>
        <w:t xml:space="preserve">Повторное подписание </w:t>
      </w:r>
      <w:r>
        <w:rPr>
          <w:sz w:val="24"/>
          <w:szCs w:val="24"/>
        </w:rPr>
        <w:t>Акта</w:t>
      </w:r>
      <w:r>
        <w:rPr>
          <w:bCs/>
          <w:sz w:val="24"/>
          <w:szCs w:val="24"/>
        </w:rPr>
        <w:t xml:space="preserve"> об исполнении обязательств</w:t>
      </w:r>
      <w:r>
        <w:rPr>
          <w:sz w:val="24"/>
          <w:szCs w:val="24"/>
        </w:rPr>
        <w:t xml:space="preserve"> после устранения несоответствий / недостатков, осуществляется</w:t>
      </w:r>
      <w:r>
        <w:rPr>
          <w:bCs/>
          <w:sz w:val="24"/>
          <w:szCs w:val="24"/>
        </w:rPr>
        <w:t xml:space="preserve"> в порядке, предусмотренном пунктом 3.3 Договора.</w:t>
      </w:r>
      <w:r>
        <w:rPr>
          <w:color w:val="000000"/>
          <w:sz w:val="24"/>
          <w:szCs w:val="24"/>
        </w:rPr>
        <w:t xml:space="preserve"> </w:t>
      </w:r>
    </w:p>
    <w:p>
      <w:pPr>
        <w:pStyle w:val="Normal"/>
        <w:numPr>
          <w:ilvl w:val="1"/>
          <w:numId w:val="8"/>
        </w:numPr>
        <w:shd w:val="clear" w:color="auto" w:fill="FFFFFF"/>
        <w:tabs>
          <w:tab w:val="clear" w:pos="708"/>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Право использования ПО считается предоставленным Лицензиату в дату, указанную Сторонами в столбце «Дата начала предоставления права использования ПО» в подписанном Сторонами Акте об исполнении обязательств, предусмотренном пунктом 3.2 Договора.</w:t>
      </w:r>
    </w:p>
    <w:p>
      <w:pPr>
        <w:pStyle w:val="Normal"/>
        <w:numPr>
          <w:ilvl w:val="1"/>
          <w:numId w:val="8"/>
        </w:numPr>
        <w:shd w:val="clear" w:color="auto" w:fill="FFFFFF"/>
        <w:tabs>
          <w:tab w:val="clear" w:pos="708"/>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С даты предоставления права использования ПО Лицензиат получает право на его инсталляцию (установку) и запуск с целью использования по его прямому назначению в конфигурации и на количество пользователей, указанных в Спецификации (Приложение № 2 к Договору).</w:t>
      </w:r>
    </w:p>
    <w:p>
      <w:pPr>
        <w:pStyle w:val="Normal"/>
        <w:numPr>
          <w:ilvl w:val="1"/>
          <w:numId w:val="8"/>
        </w:numPr>
        <w:shd w:val="clear" w:color="auto" w:fill="FFFFFF"/>
        <w:tabs>
          <w:tab w:val="clear" w:pos="708"/>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С даты предоставления права использования Лицензиат вправе использовать ПО любыми способами, не противоречащими Применимому праву и/или настоящему Договору.</w:t>
      </w:r>
    </w:p>
    <w:p>
      <w:pPr>
        <w:pStyle w:val="Normal"/>
        <w:numPr>
          <w:ilvl w:val="1"/>
          <w:numId w:val="8"/>
        </w:numPr>
        <w:shd w:val="clear" w:color="auto" w:fill="FFFFFF"/>
        <w:tabs>
          <w:tab w:val="clear" w:pos="708"/>
          <w:tab w:val="left" w:pos="-3544" w:leader="none"/>
          <w:tab w:val="left" w:pos="1134" w:leader="none"/>
          <w:tab w:val="left" w:pos="1418" w:leader="none"/>
        </w:tabs>
        <w:spacing w:lineRule="auto" w:line="240" w:before="0" w:after="0"/>
        <w:ind w:firstLine="709" w:left="0"/>
        <w:contextualSpacing/>
        <w:rPr>
          <w:bCs/>
          <w:sz w:val="24"/>
          <w:szCs w:val="24"/>
        </w:rPr>
      </w:pPr>
      <w:r>
        <w:rPr>
          <w:bCs/>
          <w:sz w:val="24"/>
          <w:szCs w:val="24"/>
        </w:rPr>
        <w:t>Использование Лицензиатом ПО допускается на всей территории Российской Федерации.</w:t>
      </w:r>
    </w:p>
    <w:p>
      <w:pPr>
        <w:pStyle w:val="Normal"/>
        <w:shd w:val="clear" w:color="auto" w:fill="FFFFFF"/>
        <w:tabs>
          <w:tab w:val="clear" w:pos="708"/>
          <w:tab w:val="left" w:pos="-3544" w:leader="none"/>
          <w:tab w:val="left" w:pos="1134" w:leader="none"/>
          <w:tab w:val="left" w:pos="1418" w:leader="none"/>
        </w:tabs>
        <w:spacing w:lineRule="auto" w:line="240" w:before="0" w:after="0"/>
        <w:ind w:hanging="0"/>
        <w:contextualSpacing/>
        <w:rPr>
          <w:bCs/>
        </w:rPr>
      </w:pPr>
      <w:r>
        <w:rPr>
          <w:bCs/>
        </w:rPr>
      </w:r>
    </w:p>
    <w:p>
      <w:pPr>
        <w:pStyle w:val="ListParagraph"/>
        <w:numPr>
          <w:ilvl w:val="0"/>
          <w:numId w:val="8"/>
        </w:numPr>
        <w:ind w:hanging="0" w:left="0"/>
        <w:jc w:val="center"/>
        <w:rPr>
          <w:bCs/>
          <w:iCs/>
          <w:lang w:eastAsia="en-US"/>
        </w:rPr>
      </w:pPr>
      <w:bookmarkStart w:id="6" w:name="_Ref351124439"/>
      <w:bookmarkStart w:id="7" w:name="_Ref5702758"/>
      <w:bookmarkStart w:id="8" w:name="_Ref441639778"/>
      <w:r>
        <w:rPr>
          <w:b/>
        </w:rPr>
        <w:t>Права и обязанности Сторон</w:t>
      </w:r>
      <w:bookmarkStart w:id="9" w:name="_Ref42665658"/>
      <w:bookmarkStart w:id="10" w:name="_Ref528731595"/>
      <w:bookmarkStart w:id="11" w:name="_Ref5702702"/>
      <w:bookmarkStart w:id="12" w:name="_Ref441639841"/>
      <w:bookmarkEnd w:id="6"/>
      <w:bookmarkEnd w:id="7"/>
      <w:bookmarkEnd w:id="8"/>
    </w:p>
    <w:p>
      <w:pPr>
        <w:pStyle w:val="ListParagraph"/>
        <w:numPr>
          <w:ilvl w:val="1"/>
          <w:numId w:val="8"/>
        </w:numPr>
        <w:tabs>
          <w:tab w:val="clear" w:pos="708"/>
          <w:tab w:val="left" w:pos="1276" w:leader="none"/>
          <w:tab w:val="left" w:pos="1418" w:leader="none"/>
        </w:tabs>
        <w:snapToGrid w:val="false"/>
        <w:ind w:firstLine="709" w:left="0"/>
        <w:rPr>
          <w:bCs/>
        </w:rPr>
      </w:pPr>
      <w:r>
        <w:rPr>
          <w:bCs/>
          <w:u w:val="single"/>
        </w:rPr>
        <w:t>Лицензиат обязан</w:t>
      </w:r>
      <w:r>
        <w:rPr>
          <w:bCs/>
        </w:rPr>
        <w:t>:</w:t>
      </w:r>
    </w:p>
    <w:p>
      <w:pPr>
        <w:pStyle w:val="ListParagraph"/>
        <w:numPr>
          <w:ilvl w:val="2"/>
          <w:numId w:val="8"/>
        </w:numPr>
        <w:tabs>
          <w:tab w:val="clear" w:pos="708"/>
          <w:tab w:val="left" w:pos="1134" w:leader="none"/>
          <w:tab w:val="left" w:pos="1418" w:leader="none"/>
        </w:tabs>
        <w:snapToGrid w:val="false"/>
        <w:ind w:firstLine="709" w:left="0"/>
        <w:jc w:val="both"/>
        <w:rPr>
          <w:bCs/>
        </w:rPr>
      </w:pPr>
      <w:r>
        <w:rPr>
          <w:bCs/>
        </w:rPr>
        <w:t>Не использовать ПО способами, не предусмотренными Договором,</w:t>
      </w:r>
      <w:r>
        <w:rPr>
          <w:kern w:val="2"/>
        </w:rPr>
        <w:t xml:space="preserve"> не совершать по отношению к ПО действия, нарушающие нормы Применимого права, в том числе</w:t>
      </w:r>
      <w:r>
        <w:rPr>
          <w:bCs/>
        </w:rPr>
        <w:t>:</w:t>
      </w:r>
    </w:p>
    <w:p>
      <w:pPr>
        <w:pStyle w:val="ListParagraph"/>
        <w:numPr>
          <w:ilvl w:val="3"/>
          <w:numId w:val="8"/>
        </w:numPr>
        <w:tabs>
          <w:tab w:val="clear" w:pos="708"/>
          <w:tab w:val="left" w:pos="1134" w:leader="none"/>
          <w:tab w:val="left" w:pos="1418" w:leader="none"/>
          <w:tab w:val="left" w:pos="1701" w:leader="none"/>
        </w:tabs>
        <w:snapToGrid w:val="false"/>
        <w:ind w:firstLine="709" w:left="0"/>
        <w:jc w:val="both"/>
        <w:rPr>
          <w:bCs/>
        </w:rPr>
      </w:pPr>
      <w:r>
        <w:rPr>
          <w:bCs/>
        </w:rPr>
        <w:t>Дизассемблировать, декомпилировать (преобразовывать объектный код в исходный текст) ПО и другие компоненты ПО, за исключением случаев, когда возможность осуществления таких действий прямо предусмотрена Применимым правом или пунктом 4.2.4 Договора.</w:t>
      </w:r>
    </w:p>
    <w:p>
      <w:pPr>
        <w:pStyle w:val="ListParagraph"/>
        <w:numPr>
          <w:ilvl w:val="3"/>
          <w:numId w:val="8"/>
        </w:numPr>
        <w:tabs>
          <w:tab w:val="clear" w:pos="708"/>
          <w:tab w:val="left" w:pos="1134" w:leader="none"/>
          <w:tab w:val="left" w:pos="1418" w:leader="none"/>
          <w:tab w:val="left" w:pos="1701" w:leader="none"/>
        </w:tabs>
        <w:snapToGrid w:val="false"/>
        <w:ind w:firstLine="709" w:left="0"/>
        <w:jc w:val="both"/>
        <w:rPr>
          <w:bCs/>
        </w:rPr>
      </w:pPr>
      <w:r>
        <w:rPr>
          <w:bCs/>
        </w:rPr>
        <w:t xml:space="preserve">Модифицировать ПО, в том числе вносить изменения в объектный код, за исключением случаев, указанных в пунктах 4.2.1 – 4.2.4 Договора. </w:t>
      </w:r>
    </w:p>
    <w:p>
      <w:pPr>
        <w:pStyle w:val="ListParagraph"/>
        <w:numPr>
          <w:ilvl w:val="3"/>
          <w:numId w:val="8"/>
        </w:numPr>
        <w:tabs>
          <w:tab w:val="clear" w:pos="708"/>
          <w:tab w:val="left" w:pos="1134" w:leader="none"/>
          <w:tab w:val="left" w:pos="1418" w:leader="none"/>
          <w:tab w:val="left" w:pos="1701" w:leader="none"/>
        </w:tabs>
        <w:snapToGrid w:val="false"/>
        <w:ind w:firstLine="709" w:left="0"/>
        <w:jc w:val="both"/>
        <w:rPr>
          <w:bCs/>
        </w:rPr>
      </w:pPr>
      <w:r>
        <w:rPr>
          <w:bCs/>
        </w:rPr>
        <w:t>Создавать условия для использования ПО лицами, не имеющими прав на использование ПО.</w:t>
      </w:r>
    </w:p>
    <w:p>
      <w:pPr>
        <w:pStyle w:val="ListParagraph"/>
        <w:numPr>
          <w:ilvl w:val="2"/>
          <w:numId w:val="8"/>
        </w:numPr>
        <w:tabs>
          <w:tab w:val="clear" w:pos="708"/>
          <w:tab w:val="left" w:pos="1134" w:leader="none"/>
          <w:tab w:val="left" w:pos="1418" w:leader="none"/>
        </w:tabs>
        <w:snapToGrid w:val="false"/>
        <w:ind w:firstLine="709" w:left="0"/>
        <w:jc w:val="both"/>
        <w:rPr>
          <w:bCs/>
        </w:rPr>
      </w:pPr>
      <w:r>
        <w:rPr>
          <w:bCs/>
        </w:rPr>
        <w:t>По истечении срока действия Договора или расторжении Договора прекратить использование ПО.</w:t>
      </w:r>
    </w:p>
    <w:p>
      <w:pPr>
        <w:pStyle w:val="ListParagraph"/>
        <w:numPr>
          <w:ilvl w:val="2"/>
          <w:numId w:val="8"/>
        </w:numPr>
        <w:ind w:firstLine="709" w:left="0"/>
        <w:jc w:val="both"/>
        <w:rPr>
          <w:bCs/>
        </w:rPr>
      </w:pPr>
      <w:r>
        <w:rPr>
          <w:bCs/>
        </w:rPr>
        <w:t>Незамедлительно информировать о случаях противоправного использования ПО третьими лицами.</w:t>
      </w:r>
    </w:p>
    <w:p>
      <w:pPr>
        <w:pStyle w:val="ListParagraph"/>
        <w:numPr>
          <w:ilvl w:val="2"/>
          <w:numId w:val="8"/>
        </w:numPr>
        <w:tabs>
          <w:tab w:val="clear" w:pos="708"/>
          <w:tab w:val="left" w:pos="1134" w:leader="none"/>
          <w:tab w:val="left" w:pos="1418" w:leader="none"/>
        </w:tabs>
        <w:snapToGrid w:val="false"/>
        <w:ind w:firstLine="709" w:left="0"/>
        <w:jc w:val="both"/>
        <w:rPr>
          <w:bCs/>
        </w:rPr>
      </w:pPr>
      <w:r>
        <w:rPr/>
        <w:t>По требованию Лицензиара предоставлять отчеты об использовании ПО</w:t>
      </w:r>
      <w:r>
        <w:rPr>
          <w:bCs/>
        </w:rPr>
        <w:t xml:space="preserve"> в порядке и в сроки, указанные в таком требовании.</w:t>
      </w:r>
    </w:p>
    <w:p>
      <w:pPr>
        <w:pStyle w:val="ListParagraph"/>
        <w:numPr>
          <w:ilvl w:val="2"/>
          <w:numId w:val="8"/>
        </w:numPr>
        <w:tabs>
          <w:tab w:val="clear" w:pos="708"/>
          <w:tab w:val="left" w:pos="1134" w:leader="none"/>
          <w:tab w:val="left" w:pos="1418" w:leader="none"/>
        </w:tabs>
        <w:snapToGrid w:val="false"/>
        <w:ind w:firstLine="709" w:left="0"/>
        <w:jc w:val="both"/>
        <w:rPr>
          <w:bCs/>
          <w:iCs/>
        </w:rPr>
      </w:pPr>
      <w:r>
        <w:rPr>
          <w:bCs/>
        </w:rPr>
        <w:t>Оплатить Лицензиару вознаграждение</w:t>
      </w:r>
      <w:r>
        <w:rPr>
          <w:bCs/>
          <w:iCs/>
        </w:rPr>
        <w:t xml:space="preserve"> за предоставление права использования ПО в размере, порядке и сроки, предусмотренные Договором.</w:t>
      </w:r>
    </w:p>
    <w:p>
      <w:pPr>
        <w:pStyle w:val="Normal"/>
        <w:numPr>
          <w:ilvl w:val="0"/>
          <w:numId w:val="0"/>
        </w:numPr>
        <w:tabs>
          <w:tab w:val="clear" w:pos="708"/>
          <w:tab w:val="left" w:pos="1134" w:leader="none"/>
          <w:tab w:val="left" w:pos="1418" w:leader="none"/>
        </w:tabs>
        <w:spacing w:lineRule="auto" w:line="240"/>
        <w:ind w:firstLine="709" w:left="0"/>
        <w:outlineLvl w:val="2"/>
        <w:rPr>
          <w:kern w:val="2"/>
          <w:sz w:val="24"/>
          <w:szCs w:val="24"/>
        </w:rPr>
      </w:pPr>
      <w:r>
        <w:rPr>
          <w:kern w:val="2"/>
          <w:sz w:val="24"/>
          <w:szCs w:val="24"/>
        </w:rPr>
        <w:t>4.1.6. Исполнять иные обязанности, предусмотренные Договором и законодательством Российской Федерации.</w:t>
      </w:r>
    </w:p>
    <w:p>
      <w:pPr>
        <w:pStyle w:val="ListParagraph"/>
        <w:tabs>
          <w:tab w:val="clear" w:pos="708"/>
          <w:tab w:val="left" w:pos="1134" w:leader="none"/>
          <w:tab w:val="left" w:pos="1418" w:leader="none"/>
        </w:tabs>
        <w:snapToGrid w:val="false"/>
        <w:ind w:hanging="0" w:left="0"/>
        <w:jc w:val="both"/>
        <w:rPr>
          <w:bCs/>
        </w:rPr>
      </w:pPr>
      <w:r>
        <w:rPr>
          <w:bCs/>
        </w:rPr>
      </w:r>
    </w:p>
    <w:p>
      <w:pPr>
        <w:pStyle w:val="Normal"/>
        <w:numPr>
          <w:ilvl w:val="1"/>
          <w:numId w:val="8"/>
        </w:numPr>
        <w:tabs>
          <w:tab w:val="clear" w:pos="708"/>
          <w:tab w:val="left" w:pos="1134" w:leader="none"/>
          <w:tab w:val="left" w:pos="1418" w:leader="none"/>
        </w:tabs>
        <w:spacing w:lineRule="auto" w:line="240"/>
        <w:ind w:firstLine="709" w:left="0"/>
        <w:outlineLvl w:val="1"/>
        <w:rPr>
          <w:sz w:val="24"/>
          <w:szCs w:val="24"/>
        </w:rPr>
      </w:pPr>
      <w:r>
        <w:rPr>
          <w:kern w:val="2"/>
          <w:sz w:val="24"/>
          <w:szCs w:val="24"/>
          <w:u w:val="single"/>
        </w:rPr>
        <w:t>Лицензиат</w:t>
      </w:r>
      <w:r>
        <w:rPr>
          <w:sz w:val="24"/>
          <w:szCs w:val="24"/>
          <w:u w:val="single"/>
        </w:rPr>
        <w:t xml:space="preserve"> вправе</w:t>
      </w:r>
      <w:r>
        <w:rPr>
          <w:sz w:val="24"/>
          <w:szCs w:val="24"/>
        </w:rPr>
        <w:t>:</w:t>
      </w:r>
      <w:bookmarkStart w:id="13" w:name="Par8"/>
      <w:bookmarkEnd w:id="13"/>
    </w:p>
    <w:p>
      <w:pPr>
        <w:pStyle w:val="ListParagraph"/>
        <w:numPr>
          <w:ilvl w:val="2"/>
          <w:numId w:val="8"/>
        </w:numPr>
        <w:tabs>
          <w:tab w:val="clear" w:pos="708"/>
          <w:tab w:val="left" w:pos="1134" w:leader="none"/>
          <w:tab w:val="left" w:pos="1418" w:leader="none"/>
        </w:tabs>
        <w:ind w:firstLine="709" w:left="0"/>
        <w:jc w:val="both"/>
        <w:outlineLvl w:val="1"/>
        <w:rPr/>
      </w:pPr>
      <w:r>
        <w:rPr>
          <w:kern w:val="2"/>
        </w:rPr>
        <w:t>Осуществлять</w:t>
      </w:r>
      <w:r>
        <w:rPr/>
        <w:t xml:space="preserve"> действия, необходимые для функционирования ПО (в том числе в ходе использования в соответствии с назначением), включая запись и хранение в памяти ЭВМ (пользователя сети), внесение в ПО изменений исключительно в целях функционирования на технических средствах Лицензиата, исправления явных ошибок.</w:t>
      </w:r>
    </w:p>
    <w:p>
      <w:pPr>
        <w:pStyle w:val="ListParagraph"/>
        <w:numPr>
          <w:ilvl w:val="2"/>
          <w:numId w:val="8"/>
        </w:numPr>
        <w:tabs>
          <w:tab w:val="clear" w:pos="708"/>
          <w:tab w:val="left" w:pos="1134" w:leader="none"/>
          <w:tab w:val="left" w:pos="1418" w:leader="none"/>
        </w:tabs>
        <w:ind w:firstLine="709" w:left="0"/>
        <w:jc w:val="both"/>
        <w:outlineLvl w:val="1"/>
        <w:rPr/>
      </w:pPr>
      <w:r>
        <w:rPr/>
        <w:t>Изготовлять копии ПО при условии, что такие копии предназначены исключительно для архивных целей или для замены правомерно приобретенного экземпляра ПО в случаях, когда такой экземпляр утерян, уничтожен или стал непригоден для использования. При этом копии ПО не могут быть использованы в иных целях и должны быть уничтожены, если владение экземпляром такой ПО перестало быть правомерным.</w:t>
      </w:r>
    </w:p>
    <w:p>
      <w:pPr>
        <w:pStyle w:val="ListParagraph"/>
        <w:numPr>
          <w:ilvl w:val="2"/>
          <w:numId w:val="8"/>
        </w:numPr>
        <w:tabs>
          <w:tab w:val="clear" w:pos="708"/>
          <w:tab w:val="left" w:pos="1134" w:leader="none"/>
          <w:tab w:val="left" w:pos="1418" w:leader="none"/>
        </w:tabs>
        <w:ind w:firstLine="709" w:left="0"/>
        <w:jc w:val="both"/>
        <w:outlineLvl w:val="1"/>
        <w:rPr/>
      </w:pPr>
      <w:r>
        <w:rPr/>
        <w:t xml:space="preserve">Усовершенствовать ПО при условии предварительного письменного уведомления об этом Лицензиара в срок не позднее 10 (десяти) календарных дней до даты начала работ по усовершенствованию ПО. </w:t>
      </w:r>
    </w:p>
    <w:p>
      <w:pPr>
        <w:pStyle w:val="ListParagraph"/>
        <w:numPr>
          <w:ilvl w:val="0"/>
          <w:numId w:val="0"/>
        </w:numPr>
        <w:tabs>
          <w:tab w:val="clear" w:pos="708"/>
          <w:tab w:val="left" w:pos="1134" w:leader="none"/>
          <w:tab w:val="left" w:pos="1418" w:leader="none"/>
        </w:tabs>
        <w:ind w:firstLine="709" w:left="0"/>
        <w:jc w:val="both"/>
        <w:outlineLvl w:val="1"/>
        <w:rPr/>
      </w:pPr>
      <w:r>
        <w:rPr/>
        <w:t>В случае возникновения в результате усовершенствования ПО патентоспособного результата, Лицензиат не позднее 10 (десяти) календарных дней обязуется письменно сообщить об этом Лицензиару, и Стороны обязуются в разумный срок заключить дополнительное соглашение к Договору о порядке регистрации прав Лицензиата на такой результат интеллектуальной деятельности без уплаты Лицензиатом дополнительного вознаграждения.</w:t>
      </w:r>
    </w:p>
    <w:p>
      <w:pPr>
        <w:pStyle w:val="ListParagraph"/>
        <w:numPr>
          <w:ilvl w:val="2"/>
          <w:numId w:val="8"/>
        </w:numPr>
        <w:tabs>
          <w:tab w:val="clear" w:pos="708"/>
          <w:tab w:val="left" w:pos="1134" w:leader="none"/>
          <w:tab w:val="left" w:pos="1418" w:leader="none"/>
        </w:tabs>
        <w:ind w:firstLine="709" w:left="0"/>
        <w:jc w:val="both"/>
        <w:outlineLvl w:val="1"/>
        <w:rPr/>
      </w:pPr>
      <w:r>
        <w:rPr/>
        <w:t>Воспроизводить и преобразовывать объектный код в исходный текст (декомпилировать ПО) или поручать иным лицам осуществлять эти действия, если они необходимы для достижения способности к взаимодействию независимо от разработанной этим лицом ПО с другими программами, которые могут взаимодействовать с декомпилируемой ПО при соблюдении следующих условий:</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информация, необходимая для достижения способности к взаимодействию, ранее не была доступна Лицензиату из других источников;</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указанные действия осуществляются в отношении только тех частей декомпилируемой ПО, которые необходимы для достижения способности к взаимодействию;</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информация, полученная в результате декомпилирования, может использоваться лишь для достижения способности к взаимодействию независимо от разработанной ПО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от разработанной ПО с другими программами, а также не может использоваться для разработки ПО по своему виду существенно схожей с декомпилируемой ПО или для осуществления другого действия, нарушающего исключительное право Лицензиара на ПО.</w:t>
      </w:r>
    </w:p>
    <w:p>
      <w:pPr>
        <w:pStyle w:val="ListParagraph"/>
        <w:numPr>
          <w:ilvl w:val="2"/>
          <w:numId w:val="8"/>
        </w:numPr>
        <w:tabs>
          <w:tab w:val="clear" w:pos="708"/>
          <w:tab w:val="left" w:pos="1134" w:leader="none"/>
          <w:tab w:val="left" w:pos="1418" w:leader="none"/>
        </w:tabs>
        <w:ind w:firstLine="709" w:left="0"/>
        <w:jc w:val="both"/>
        <w:outlineLvl w:val="1"/>
        <w:rPr>
          <w:kern w:val="2"/>
        </w:rPr>
      </w:pPr>
      <w:r>
        <w:rPr>
          <w:kern w:val="2"/>
        </w:rPr>
        <w:t>Использовать ПО в пределах (объеме) и способами, установленными Договором.</w:t>
      </w:r>
    </w:p>
    <w:p>
      <w:pPr>
        <w:pStyle w:val="ListParagraph"/>
        <w:numPr>
          <w:ilvl w:val="2"/>
          <w:numId w:val="10"/>
        </w:numPr>
        <w:tabs>
          <w:tab w:val="clear" w:pos="708"/>
          <w:tab w:val="left" w:pos="1418" w:leader="none"/>
        </w:tabs>
        <w:ind w:firstLine="709" w:left="0"/>
        <w:rPr/>
      </w:pPr>
      <w:r>
        <w:rPr/>
        <w:t>Лицензиат не вправе предоставлять третьим лицам право использования ПО.</w:t>
      </w:r>
    </w:p>
    <w:p>
      <w:pPr>
        <w:pStyle w:val="ListParagraph"/>
        <w:tabs>
          <w:tab w:val="clear" w:pos="708"/>
          <w:tab w:val="left" w:pos="1418" w:leader="none"/>
        </w:tabs>
        <w:ind w:hanging="0" w:left="709"/>
        <w:rPr/>
      </w:pPr>
      <w:r>
        <w:rPr/>
      </w:r>
    </w:p>
    <w:p>
      <w:pPr>
        <w:pStyle w:val="Normal"/>
        <w:numPr>
          <w:ilvl w:val="1"/>
          <w:numId w:val="10"/>
        </w:numPr>
        <w:tabs>
          <w:tab w:val="clear" w:pos="708"/>
          <w:tab w:val="left" w:pos="1134" w:leader="none"/>
          <w:tab w:val="left" w:pos="1418" w:leader="none"/>
        </w:tabs>
        <w:spacing w:lineRule="auto" w:line="240"/>
        <w:ind w:firstLine="709" w:left="0"/>
        <w:outlineLvl w:val="1"/>
        <w:rPr>
          <w:kern w:val="2"/>
          <w:sz w:val="24"/>
          <w:szCs w:val="24"/>
        </w:rPr>
      </w:pPr>
      <w:r>
        <w:rPr>
          <w:kern w:val="2"/>
          <w:sz w:val="24"/>
          <w:szCs w:val="24"/>
          <w:u w:val="single"/>
        </w:rPr>
        <w:t>Лицензиар обязан</w:t>
      </w:r>
      <w:r>
        <w:rPr>
          <w:kern w:val="2"/>
          <w:sz w:val="24"/>
          <w:szCs w:val="24"/>
        </w:rPr>
        <w:t>:</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kern w:val="2"/>
        </w:rPr>
        <w:t>Предоставить Лицензиату право использования ПО в порядке и сроки, установленные Договором.</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kern w:val="2"/>
        </w:rPr>
        <w:t>Предоставить Лицензиату документацию, необходимую для использования ПО в пределах (объеме) и способами, установленными Договором, в том числе передать инструкцию по установке и использованию ПО или оказать необходимую техническую поддержку силами специалистов Лицензиара.</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kern w:val="2"/>
        </w:rPr>
        <w:t>За свой счет устранить неполадки в функционировании ПО в случае, если неполадки произошли не по вине Лицензиата, в срок, указанный в соответствующем обращении Лицензиата.</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kern w:val="2"/>
        </w:rPr>
        <w:t>В течение срока действия Договора 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 (объеме).</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t>Подписать акты сверки взаимных расчетов, направленные Лицензиатом в 2 (двух) экземплярах, и вернуть 1 (один) экземпляр Лицензиату в течение 5 (пяти) рабочих дней с даты получения экземпляров актов сверки расчетов от Лицензиата.</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kern w:val="2"/>
        </w:rPr>
        <w:t>Исполнять иные обязанности, предусмотренные Договором и законодательством Российской Федерации.</w:t>
      </w:r>
    </w:p>
    <w:p>
      <w:pPr>
        <w:pStyle w:val="ListParagraph"/>
        <w:numPr>
          <w:ilvl w:val="0"/>
          <w:numId w:val="0"/>
        </w:numPr>
        <w:tabs>
          <w:tab w:val="clear" w:pos="708"/>
          <w:tab w:val="left" w:pos="1134" w:leader="none"/>
          <w:tab w:val="left" w:pos="1418" w:leader="none"/>
        </w:tabs>
        <w:ind w:hanging="0" w:left="0"/>
        <w:jc w:val="both"/>
        <w:outlineLvl w:val="1"/>
        <w:rPr>
          <w:kern w:val="2"/>
        </w:rPr>
      </w:pPr>
      <w:r>
        <w:rPr>
          <w:kern w:val="2"/>
        </w:rPr>
      </w:r>
    </w:p>
    <w:p>
      <w:pPr>
        <w:pStyle w:val="ListParagraph"/>
        <w:numPr>
          <w:ilvl w:val="1"/>
          <w:numId w:val="11"/>
        </w:numPr>
        <w:tabs>
          <w:tab w:val="clear" w:pos="708"/>
          <w:tab w:val="left" w:pos="1134" w:leader="none"/>
          <w:tab w:val="left" w:pos="1418" w:leader="none"/>
        </w:tabs>
        <w:ind w:firstLine="709" w:left="0"/>
        <w:outlineLvl w:val="1"/>
        <w:rPr>
          <w:kern w:val="2"/>
        </w:rPr>
      </w:pPr>
      <w:r>
        <w:rPr>
          <w:kern w:val="2"/>
          <w:u w:val="single"/>
        </w:rPr>
        <w:t>Лицензиар вправе</w:t>
      </w:r>
      <w:r>
        <w:rPr>
          <w:kern w:val="2"/>
        </w:rPr>
        <w:t>:</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bCs/>
          <w:kern w:val="2"/>
        </w:rPr>
        <w:t>Самостоятельно передавать право использования ПО третьим лицам</w:t>
      </w:r>
      <w:r>
        <w:rPr>
          <w:kern w:val="2"/>
        </w:rPr>
        <w:t>.</w:t>
      </w:r>
    </w:p>
    <w:p>
      <w:pPr>
        <w:pStyle w:val="ListParagraph"/>
        <w:numPr>
          <w:ilvl w:val="2"/>
          <w:numId w:val="11"/>
        </w:numPr>
        <w:tabs>
          <w:tab w:val="clear" w:pos="708"/>
          <w:tab w:val="left" w:pos="1134" w:leader="none"/>
          <w:tab w:val="left" w:pos="1418" w:leader="none"/>
        </w:tabs>
        <w:ind w:firstLine="709" w:left="0"/>
        <w:jc w:val="both"/>
        <w:outlineLvl w:val="1"/>
        <w:rPr>
          <w:kern w:val="2"/>
        </w:rPr>
      </w:pPr>
      <w:r>
        <w:rPr>
          <w:kern w:val="2"/>
        </w:rPr>
        <w:t>Отказаться от Договора (исполнения Договора) в одностороннем порядке по основаниям, предусмотренным Договором и законодательством Российской Федерации.</w:t>
      </w:r>
    </w:p>
    <w:p>
      <w:pPr>
        <w:pStyle w:val="ListParagraph"/>
        <w:tabs>
          <w:tab w:val="clear" w:pos="708"/>
          <w:tab w:val="left" w:pos="142" w:leader="none"/>
          <w:tab w:val="left" w:pos="1134" w:leader="none"/>
        </w:tabs>
        <w:spacing w:before="0" w:after="0"/>
        <w:ind w:hanging="0" w:left="0"/>
        <w:contextualSpacing w:val="false"/>
        <w:jc w:val="both"/>
        <w:rPr/>
      </w:pPr>
      <w:r>
        <w:rPr/>
      </w:r>
    </w:p>
    <w:p>
      <w:pPr>
        <w:pStyle w:val="ListParagraph"/>
        <w:numPr>
          <w:ilvl w:val="0"/>
          <w:numId w:val="11"/>
        </w:numPr>
        <w:tabs>
          <w:tab w:val="clear" w:pos="708"/>
          <w:tab w:val="left" w:pos="284" w:leader="none"/>
          <w:tab w:val="left" w:pos="1418" w:leader="none"/>
        </w:tabs>
        <w:ind w:hanging="0" w:left="0"/>
        <w:jc w:val="center"/>
        <w:rPr/>
      </w:pPr>
      <w:r>
        <w:rPr>
          <w:b/>
        </w:rPr>
        <w:t>Ответственность Сторон</w:t>
      </w:r>
    </w:p>
    <w:p>
      <w:pPr>
        <w:pStyle w:val="ListParagraph"/>
        <w:numPr>
          <w:ilvl w:val="1"/>
          <w:numId w:val="12"/>
        </w:numPr>
        <w:tabs>
          <w:tab w:val="clear" w:pos="708"/>
          <w:tab w:val="left" w:pos="1276" w:leader="none"/>
          <w:tab w:val="left" w:pos="1418" w:leader="none"/>
        </w:tabs>
        <w:ind w:firstLine="709" w:left="0"/>
        <w:jc w:val="both"/>
        <w:outlineLvl w:val="1"/>
        <w:rPr>
          <w:bCs/>
        </w:rPr>
      </w:pPr>
      <w:r>
        <w:rPr>
          <w:bCs/>
        </w:rPr>
        <w:t xml:space="preserve">За </w:t>
      </w:r>
      <w:r>
        <w:rPr>
          <w:kern w:val="2"/>
        </w:rPr>
        <w:t>неисполнение</w:t>
      </w:r>
      <w:r>
        <w:rPr>
          <w:bCs/>
        </w:rPr>
        <w:t xml:space="preserve">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 xml:space="preserve">В случае нарушения Лицензиатом сроков оплаты, установленных Договором, Лицензиар вправе требовать уплаты Лицензиатом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В случае нарушения Лицензиаром обязательств по предоставлению права использования ПО, в том числе сроков предоставления права использования, а также в случае несвоевременного устранения выявленных несоответствий / недостатков, Лицензиат вправе требовать уплаты Лицензиаром неустойки в размере 0,1 (ноль целых и одна десятая) процента от Цены Договора за каждый день просрочки.</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Лицензиар несет ответственность перед Лицензиатом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Лицензиаром своих обязательств, произведенных для восстановления нарушенного права, а также упущенной выгоды.</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Учитывая, что для Лицензиата надлежащее и своевременное выполнение Лицензиаром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Лицензиаром соответствующих обязательств по Договору.</w:t>
      </w:r>
    </w:p>
    <w:p>
      <w:pPr>
        <w:pStyle w:val="Normal"/>
        <w:numPr>
          <w:ilvl w:val="1"/>
          <w:numId w:val="12"/>
        </w:numPr>
        <w:tabs>
          <w:tab w:val="clear" w:pos="708"/>
          <w:tab w:val="left" w:pos="1134" w:leader="none"/>
          <w:tab w:val="left" w:pos="1418" w:leader="none"/>
        </w:tabs>
        <w:spacing w:lineRule="auto" w:line="240"/>
        <w:ind w:firstLine="709" w:left="0"/>
        <w:outlineLvl w:val="1"/>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tabs>
          <w:tab w:val="clear" w:pos="708"/>
          <w:tab w:val="left" w:pos="1418" w:leader="none"/>
        </w:tabs>
        <w:ind w:firstLine="709" w:left="0"/>
        <w:jc w:val="both"/>
        <w:rPr/>
      </w:pPr>
      <w:r>
        <w:rPr/>
      </w:r>
    </w:p>
    <w:p>
      <w:pPr>
        <w:pStyle w:val="ListParagraph"/>
        <w:numPr>
          <w:ilvl w:val="0"/>
          <w:numId w:val="12"/>
        </w:numPr>
        <w:tabs>
          <w:tab w:val="clear" w:pos="708"/>
          <w:tab w:val="left" w:pos="284" w:leader="none"/>
          <w:tab w:val="left" w:pos="851" w:leader="none"/>
        </w:tabs>
        <w:ind w:hanging="0" w:left="0"/>
        <w:jc w:val="center"/>
        <w:rPr>
          <w:b/>
          <w:bCs/>
        </w:rPr>
      </w:pPr>
      <w:r>
        <w:rPr>
          <w:b/>
        </w:rPr>
        <w:t>Конфиденциальность</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Под конфиденциальной информацией (далее – «Информация») для целей Договора понимается любая информация, передаваемая Лицензиатом Лицензиару в документарной форме, в виде электронного файла, в любом другом виде, а также полученная Лицензиаром самостоятельно в ходе визитов на территорию Лицензиата в процессе проведения переговоров, заключения и исполнения Договора, в отношении которой соблюдаются следующие условия:</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данная Информация имеет действительную или потенциальную коммерческую ценность для Лицензиата в силу неизвестности ее третьим лицам, в том числе по причине введения в отношении нее режима Коммерческой тайны;</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данная Информация не относится к категории общедоступной или обязательной к раскрытию Лицензиатом в соответствии с законодательством Российской Федерации.</w:t>
      </w:r>
    </w:p>
    <w:p>
      <w:pPr>
        <w:pStyle w:val="ListParagraph"/>
        <w:numPr>
          <w:ilvl w:val="1"/>
          <w:numId w:val="12"/>
        </w:numPr>
        <w:shd w:val="clear" w:color="auto" w:fill="FFFFFF"/>
        <w:tabs>
          <w:tab w:val="clear" w:pos="708"/>
          <w:tab w:val="left" w:pos="1134" w:leader="none"/>
          <w:tab w:val="left" w:pos="1418" w:leader="none"/>
        </w:tabs>
        <w:ind w:firstLine="709" w:left="0"/>
        <w:jc w:val="both"/>
        <w:rPr/>
      </w:pPr>
      <w:r>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w:t>
      </w:r>
    </w:p>
    <w:p>
      <w:pPr>
        <w:pStyle w:val="ListParagraph"/>
        <w:numPr>
          <w:ilvl w:val="1"/>
          <w:numId w:val="12"/>
        </w:numPr>
        <w:shd w:val="clear" w:color="auto" w:fill="FFFFFF"/>
        <w:tabs>
          <w:tab w:val="clear" w:pos="708"/>
          <w:tab w:val="left" w:pos="1134" w:leader="none"/>
          <w:tab w:val="left" w:pos="1418" w:leader="none"/>
        </w:tabs>
        <w:ind w:firstLine="709" w:left="0"/>
        <w:jc w:val="both"/>
        <w:rPr/>
      </w:pPr>
      <w: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 xml:space="preserve">На </w:t>
      </w:r>
      <w:r>
        <w:rPr/>
        <w:t>документ</w:t>
      </w:r>
      <w:r>
        <w:rPr>
          <w:bCs/>
        </w:rPr>
        <w:t>, содержащий Информацию, Лицензиатом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t>Информация</w:t>
      </w:r>
      <w:r>
        <w:rPr>
          <w:bCs/>
        </w:rPr>
        <w:t xml:space="preserve"> может включать в себя, в том числе, но не ограничиваясь:</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финансовую (бухгалтерскую) отчетность;</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учетные регистры бухгалтерского учета;</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бизнес-планы;</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договоры (соглашения), заключаемые или заключенные непосредственно Лицензиатом либо в его пользу, а также информацию и сведения, содержащиеся в данных договорах (соглашениях);</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сведения о финансовых, правовых, организационных и других взаимоотношениях между Лицензиатом и третьими лицами;</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сведения о находящихся на регистрации товарных знаках Лицензиата, а также об объектах интеллектуальной собственности Лицензиата, сведения о которых не являются опубликованными;</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сведения о подрядчиках, поставщиках оборудования и материалов, а также о покупателях продукции Лицензиата и их аффилированных лицах;</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сведения об объемах производства и / или реализации продукции и услуг Лицензиата или его аффилированных лиц;</w:t>
      </w:r>
    </w:p>
    <w:p>
      <w:pPr>
        <w:pStyle w:val="ListParagraph"/>
        <w:numPr>
          <w:ilvl w:val="0"/>
          <w:numId w:val="3"/>
        </w:numPr>
        <w:shd w:val="clear" w:color="auto" w:fill="FFFFFF"/>
        <w:tabs>
          <w:tab w:val="clear" w:pos="708"/>
          <w:tab w:val="left" w:pos="-3544" w:leader="none"/>
          <w:tab w:val="left" w:pos="1134" w:leader="none"/>
          <w:tab w:val="left" w:pos="1418" w:leader="none"/>
        </w:tabs>
        <w:ind w:firstLine="709" w:left="0"/>
        <w:jc w:val="both"/>
        <w:rPr/>
      </w:pPr>
      <w:r>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bookmarkStart w:id="14" w:name="_Ref361337849"/>
      <w:r>
        <w:rPr/>
        <w:t>Лицензиар</w:t>
      </w:r>
      <w:r>
        <w:rPr>
          <w:bCs/>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4"/>
      <w:r>
        <w:rPr>
          <w:bCs/>
        </w:rPr>
        <w:t xml:space="preserve"> </w:t>
      </w:r>
    </w:p>
    <w:p>
      <w:pPr>
        <w:pStyle w:val="ListParagraph"/>
        <w:numPr>
          <w:ilvl w:val="2"/>
          <w:numId w:val="12"/>
        </w:numPr>
        <w:shd w:val="clear" w:color="auto" w:fill="FFFFFF"/>
        <w:tabs>
          <w:tab w:val="clear" w:pos="708"/>
          <w:tab w:val="left" w:pos="1418" w:leader="none"/>
        </w:tabs>
        <w:ind w:firstLine="709" w:left="0"/>
        <w:jc w:val="both"/>
        <w:rPr>
          <w:bCs/>
        </w:rPr>
      </w:pPr>
      <w:r>
        <w:rPr>
          <w:bCs/>
        </w:rPr>
        <w:t xml:space="preserve">не </w:t>
      </w:r>
      <w:r>
        <w:rPr/>
        <w:t>разглашать</w:t>
      </w:r>
      <w:r>
        <w:rPr>
          <w:bCs/>
        </w:rPr>
        <w:t>,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Лицензиата, за исключением случаев, предусмотренных законодательством Российской Федерации и пунктом 6.6.7 Договора;</w:t>
      </w:r>
    </w:p>
    <w:p>
      <w:pPr>
        <w:pStyle w:val="ListParagraph"/>
        <w:numPr>
          <w:ilvl w:val="2"/>
          <w:numId w:val="12"/>
        </w:numPr>
        <w:shd w:val="clear" w:color="auto" w:fill="FFFFFF"/>
        <w:tabs>
          <w:tab w:val="clear" w:pos="708"/>
          <w:tab w:val="left" w:pos="1418" w:leader="none"/>
        </w:tabs>
        <w:ind w:firstLine="709" w:left="0"/>
        <w:jc w:val="both"/>
        <w:rPr>
          <w:bCs/>
        </w:rPr>
      </w:pPr>
      <w:r>
        <w:rPr>
          <w:bCs/>
        </w:rPr>
        <w:t>принимать меры предосторожности, обычно используемые для защиты такого рода информации в деловом обороте, при этом если Лицензиар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Лицензиар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8"/>
          <w:tab w:val="left" w:pos="1418" w:leader="none"/>
        </w:tabs>
        <w:ind w:firstLine="709" w:left="0"/>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8"/>
          <w:tab w:val="left" w:pos="1418" w:leader="none"/>
        </w:tabs>
        <w:ind w:firstLine="709" w:left="0"/>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8"/>
          <w:tab w:val="left" w:pos="1418" w:leader="none"/>
        </w:tabs>
        <w:ind w:firstLine="709" w:left="0"/>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Лицензиата, а также обеспечить содействие, которое потребует Лицензиат для предотвращения такого несанкционированного раскрытия;</w:t>
      </w:r>
    </w:p>
    <w:p>
      <w:pPr>
        <w:pStyle w:val="ListParagraph"/>
        <w:numPr>
          <w:ilvl w:val="2"/>
          <w:numId w:val="12"/>
        </w:numPr>
        <w:shd w:val="clear" w:color="auto" w:fill="FFFFFF"/>
        <w:tabs>
          <w:tab w:val="clear" w:pos="708"/>
          <w:tab w:val="left" w:pos="1418" w:leader="none"/>
        </w:tabs>
        <w:ind w:firstLine="709" w:left="0"/>
        <w:jc w:val="both"/>
        <w:rPr>
          <w:bCs/>
        </w:rPr>
      </w:pPr>
      <w:r>
        <w:rPr>
          <w:bCs/>
        </w:rPr>
        <w:t xml:space="preserve">по требованию Лицензиата уничтожить всю Информацию, которую будет невозможно передать Лицензиату по его запросу или которая будет находиться на технических средствах Лицензиара. При этом Лицензиар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8"/>
          <w:tab w:val="left" w:pos="1418" w:leader="none"/>
        </w:tabs>
        <w:ind w:firstLine="709" w:left="0"/>
        <w:jc w:val="both"/>
        <w:rPr>
          <w:bCs/>
        </w:rPr>
      </w:pPr>
      <w:bookmarkStart w:id="15"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2"/>
        </w:numPr>
        <w:shd w:val="clear" w:color="auto" w:fill="FFFFFF"/>
        <w:tabs>
          <w:tab w:val="clear" w:pos="708"/>
          <w:tab w:val="left" w:pos="1418" w:leader="none"/>
        </w:tabs>
        <w:ind w:firstLine="709" w:left="0"/>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bookmarkStart w:id="16" w:name="_Ref361337863"/>
      <w:r>
        <w:rPr>
          <w:bCs/>
        </w:rPr>
        <w:t>Лицензиар, нарушивший условия настоящего раздела Договора, возмещает Лицензиату убытки, вызванные таким нарушением, в течение 10 (десяти) календарных дней с даты получения соответствующего письменного требования Лицензиата.</w:t>
      </w:r>
      <w:bookmarkEnd w:id="16"/>
      <w:r>
        <w:rPr>
          <w:bCs/>
        </w:rPr>
        <w:t xml:space="preserve"> </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Условия защиты Информации, представляемой Сторонами друг другу, могут быть дополнительно урегулированы отдельно заключаемым Сторонами соглашением.</w:t>
      </w:r>
    </w:p>
    <w:p>
      <w:pPr>
        <w:pStyle w:val="ListParagraph"/>
        <w:tabs>
          <w:tab w:val="clear" w:pos="708"/>
          <w:tab w:val="left" w:pos="1418" w:leader="none"/>
        </w:tabs>
        <w:ind w:firstLine="709" w:left="0"/>
        <w:jc w:val="both"/>
        <w:rPr/>
      </w:pPr>
      <w:r>
        <w:rPr/>
      </w:r>
    </w:p>
    <w:p>
      <w:pPr>
        <w:pStyle w:val="ListParagraph"/>
        <w:numPr>
          <w:ilvl w:val="0"/>
          <w:numId w:val="12"/>
        </w:numPr>
        <w:tabs>
          <w:tab w:val="clear" w:pos="708"/>
          <w:tab w:val="left" w:pos="284" w:leader="none"/>
          <w:tab w:val="left" w:pos="1418" w:leader="none"/>
        </w:tabs>
        <w:ind w:hanging="0" w:left="0"/>
        <w:jc w:val="center"/>
        <w:rPr>
          <w:b/>
          <w:bCs/>
        </w:rPr>
      </w:pPr>
      <w:r>
        <w:rPr>
          <w:b/>
        </w:rPr>
        <w:t>Антикоррупционная</w:t>
      </w:r>
      <w:r>
        <w:rPr>
          <w:b/>
          <w:bCs/>
        </w:rPr>
        <w:t xml:space="preserve"> оговорка</w:t>
      </w:r>
    </w:p>
    <w:p>
      <w:pPr>
        <w:pStyle w:val="ListParagraph"/>
        <w:widowControl w:val="false"/>
        <w:numPr>
          <w:ilvl w:val="1"/>
          <w:numId w:val="12"/>
        </w:numPr>
        <w:shd w:val="clear" w:color="auto" w:fill="FFFFFF"/>
        <w:tabs>
          <w:tab w:val="clear" w:pos="708"/>
          <w:tab w:val="left" w:pos="1134" w:leader="none"/>
        </w:tabs>
        <w:ind w:firstLine="709" w:left="0"/>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7.2.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7.3.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7.4.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7.5.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7.6.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spacing w:lineRule="auto" w:line="240"/>
        <w:ind w:firstLine="709"/>
        <w:rPr>
          <w:color w:val="000000"/>
          <w:sz w:val="24"/>
          <w:szCs w:val="24"/>
        </w:rPr>
      </w:pPr>
      <w:r>
        <w:rPr>
          <w:color w:val="000000"/>
          <w:sz w:val="24"/>
          <w:szCs w:val="24"/>
        </w:rPr>
        <w:t xml:space="preserve">7.7.  Каналы связи Линия доверия Группы РусГидро: </w:t>
      </w:r>
    </w:p>
    <w:p>
      <w:pPr>
        <w:pStyle w:val="Normal"/>
        <w:shd w:val="clear" w:color="auto" w:fill="FFFFFF"/>
        <w:tabs>
          <w:tab w:val="clear" w:pos="708"/>
          <w:tab w:val="left" w:pos="567" w:leader="none"/>
          <w:tab w:val="left" w:pos="1134" w:leader="none"/>
        </w:tabs>
        <w:spacing w:lineRule="auto" w:line="240"/>
        <w:ind w:firstLine="709"/>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spacing w:lineRule="auto" w:line="240"/>
        <w:ind w:firstLine="709"/>
        <w:rPr>
          <w:sz w:val="24"/>
          <w:szCs w:val="24"/>
        </w:rPr>
      </w:pPr>
      <w:r>
        <w:rPr>
          <w:sz w:val="24"/>
          <w:szCs w:val="24"/>
        </w:rPr>
        <w:t>7.7.2.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08"/>
          <w:tab w:val="left" w:pos="1418" w:leader="none"/>
        </w:tabs>
        <w:ind w:firstLine="709" w:left="0"/>
        <w:jc w:val="both"/>
        <w:rPr/>
      </w:pPr>
      <w:r>
        <w:rPr/>
      </w:r>
    </w:p>
    <w:p>
      <w:pPr>
        <w:pStyle w:val="ListParagraph"/>
        <w:numPr>
          <w:ilvl w:val="0"/>
          <w:numId w:val="12"/>
        </w:numPr>
        <w:tabs>
          <w:tab w:val="clear" w:pos="708"/>
          <w:tab w:val="left" w:pos="284" w:leader="none"/>
          <w:tab w:val="left" w:pos="1418" w:leader="none"/>
        </w:tabs>
        <w:ind w:hanging="0" w:left="0"/>
        <w:jc w:val="center"/>
        <w:rPr>
          <w:b/>
          <w:bCs/>
        </w:rPr>
      </w:pPr>
      <w:r>
        <w:rPr>
          <w:b/>
        </w:rPr>
        <w:t>Разрешение</w:t>
      </w:r>
      <w:r>
        <w:rPr>
          <w:b/>
          <w:bCs/>
        </w:rPr>
        <w:t xml:space="preserve"> споров</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firstLine="709" w:left="0"/>
        <w:jc w:val="both"/>
        <w:rPr>
          <w:bCs/>
        </w:rPr>
      </w:pPr>
      <w:r>
        <w:rPr>
          <w:bCs/>
        </w:rPr>
      </w:r>
    </w:p>
    <w:p>
      <w:pPr>
        <w:pStyle w:val="ListParagraph"/>
        <w:numPr>
          <w:ilvl w:val="0"/>
          <w:numId w:val="12"/>
        </w:numPr>
        <w:tabs>
          <w:tab w:val="clear" w:pos="708"/>
          <w:tab w:val="left" w:pos="426" w:leader="none"/>
          <w:tab w:val="left" w:pos="1418" w:leader="none"/>
        </w:tabs>
        <w:ind w:hanging="0" w:left="0"/>
        <w:jc w:val="center"/>
        <w:rPr>
          <w:b/>
          <w:bCs/>
        </w:rPr>
      </w:pPr>
      <w:r>
        <w:rPr>
          <w:b/>
        </w:rPr>
        <w:t>Обстоятельства</w:t>
      </w:r>
      <w:r>
        <w:rPr>
          <w:b/>
          <w:bCs/>
        </w:rPr>
        <w:t xml:space="preserve"> непреодолимой силы (форс-мажор)</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 xml:space="preserve">Стороны освобождаются от ответственности за неисполнение </w:t>
        <w:br/>
        <w:t>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clear" w:pos="708"/>
          <w:tab w:val="left" w:pos="1134" w:leader="none"/>
          <w:tab w:val="left" w:pos="1418" w:leader="none"/>
        </w:tabs>
        <w:ind w:firstLine="709" w:left="0"/>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8"/>
          <w:tab w:val="left" w:pos="1418" w:leader="none"/>
        </w:tabs>
        <w:ind w:firstLine="709" w:left="0"/>
        <w:jc w:val="both"/>
        <w:rPr>
          <w:bCs/>
        </w:rPr>
      </w:pPr>
      <w:r>
        <w:rPr>
          <w:bCs/>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clear" w:pos="708"/>
          <w:tab w:val="left" w:pos="1418" w:leader="none"/>
        </w:tabs>
        <w:ind w:firstLine="709" w:left="0"/>
        <w:jc w:val="both"/>
        <w:rPr>
          <w:bCs/>
        </w:rPr>
      </w:pPr>
      <w:r>
        <w:rPr>
          <w:bCs/>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clear" w:pos="708"/>
          <w:tab w:val="left" w:pos="1276" w:leader="none"/>
          <w:tab w:val="left" w:pos="1418" w:leader="none"/>
        </w:tabs>
        <w:ind w:firstLine="709" w:left="0"/>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firstLine="709" w:left="0"/>
        <w:jc w:val="both"/>
        <w:rPr>
          <w:bCs/>
        </w:rPr>
      </w:pPr>
      <w:r>
        <w:rPr>
          <w:bCs/>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tabs>
          <w:tab w:val="clear" w:pos="708"/>
          <w:tab w:val="left" w:pos="1134" w:leader="none"/>
          <w:tab w:val="left" w:pos="1418" w:leader="none"/>
        </w:tabs>
        <w:spacing w:lineRule="auto" w:line="240"/>
        <w:ind w:firstLine="709"/>
        <w:rPr>
          <w:bCs/>
        </w:rPr>
      </w:pPr>
      <w:r>
        <w:rPr>
          <w:bCs/>
        </w:rPr>
      </w:r>
    </w:p>
    <w:p>
      <w:pPr>
        <w:pStyle w:val="ListParagraph"/>
        <w:numPr>
          <w:ilvl w:val="0"/>
          <w:numId w:val="12"/>
        </w:numPr>
        <w:tabs>
          <w:tab w:val="clear" w:pos="708"/>
          <w:tab w:val="left" w:pos="426" w:leader="none"/>
          <w:tab w:val="left" w:pos="1418" w:leader="none"/>
        </w:tabs>
        <w:ind w:hanging="0" w:left="0"/>
        <w:jc w:val="center"/>
        <w:rPr>
          <w:b/>
        </w:rPr>
      </w:pPr>
      <w:r>
        <w:rPr>
          <w:b/>
          <w:bCs/>
        </w:rPr>
        <w:t>Заверения</w:t>
      </w:r>
      <w:r>
        <w:rPr>
          <w:b/>
        </w:rPr>
        <w:t xml:space="preserve"> Сторон</w:t>
      </w:r>
    </w:p>
    <w:p>
      <w:pPr>
        <w:pStyle w:val="ListParagraph"/>
        <w:numPr>
          <w:ilvl w:val="1"/>
          <w:numId w:val="12"/>
        </w:numPr>
        <w:shd w:val="clear" w:color="auto" w:fill="FFFFFF"/>
        <w:tabs>
          <w:tab w:val="clear" w:pos="708"/>
          <w:tab w:val="left" w:pos="1418" w:leader="none"/>
        </w:tabs>
        <w:ind w:firstLine="709" w:left="0"/>
        <w:jc w:val="both"/>
        <w:rPr/>
      </w:pPr>
      <w:r>
        <w:rPr>
          <w:bCs/>
        </w:rPr>
        <w:t>Каждая</w:t>
      </w:r>
      <w:r>
        <w:rPr/>
        <w:t xml:space="preserve"> из Сторон заявляет и подтверждает другой Стороне, что: </w:t>
      </w:r>
    </w:p>
    <w:p>
      <w:pPr>
        <w:pStyle w:val="Normal"/>
        <w:numPr>
          <w:ilvl w:val="0"/>
          <w:numId w:val="4"/>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4"/>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4"/>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4"/>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numPr>
          <w:ilvl w:val="0"/>
          <w:numId w:val="4"/>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8"/>
          <w:tab w:val="left" w:pos="1134" w:leader="none"/>
          <w:tab w:val="left" w:pos="1418" w:leader="none"/>
        </w:tabs>
        <w:ind w:firstLine="709" w:left="0"/>
        <w:jc w:val="both"/>
        <w:rPr/>
      </w:pPr>
      <w:r>
        <w:rPr/>
        <w:t>Лицензиар заявляет и заверяет Лицензиата, что</w:t>
      </w:r>
      <w:r>
        <w:rPr>
          <w:bCs/>
        </w:rPr>
        <w:t xml:space="preserve"> на момент заключения Договора</w:t>
      </w:r>
      <w:r>
        <w:rPr/>
        <w:t xml:space="preserve">: </w:t>
      </w:r>
    </w:p>
    <w:p>
      <w:pPr>
        <w:pStyle w:val="ListParagraph"/>
        <w:numPr>
          <w:ilvl w:val="0"/>
          <w:numId w:val="4"/>
        </w:numPr>
        <w:shd w:val="clear" w:color="auto" w:fill="FFFFFF"/>
        <w:tabs>
          <w:tab w:val="clear" w:pos="708"/>
          <w:tab w:val="left" w:pos="709" w:leader="none"/>
          <w:tab w:val="left" w:pos="1418" w:leader="none"/>
        </w:tabs>
        <w:ind w:firstLine="709" w:left="0"/>
        <w:jc w:val="both"/>
        <w:rPr/>
      </w:pPr>
      <w:r>
        <w:rPr/>
        <w:t>исключительное право на ПО, указанное в пункте 1.1 Договора, не отчуждено, не арестовано, не заложено, не передано в доверительное управление, в уставной (складочный) капитал третьих лиц, отсутствуют иные права третьих лиц в отношении ПО, не является предметом судебного, административного или иного разбирательства, не обременено правами третьих лиц, вытекающими из лицензионных и иных договоров;</w:t>
      </w:r>
    </w:p>
    <w:p>
      <w:pPr>
        <w:pStyle w:val="ListParagraph"/>
        <w:numPr>
          <w:ilvl w:val="0"/>
          <w:numId w:val="4"/>
        </w:numPr>
        <w:shd w:val="clear" w:color="auto" w:fill="FFFFFF"/>
        <w:tabs>
          <w:tab w:val="clear" w:pos="708"/>
          <w:tab w:val="left" w:pos="709" w:leader="none"/>
          <w:tab w:val="left" w:pos="1418" w:leader="none"/>
        </w:tabs>
        <w:ind w:firstLine="709" w:left="0"/>
        <w:jc w:val="both"/>
        <w:rPr/>
      </w:pPr>
      <w:r>
        <w:rPr/>
        <w:t xml:space="preserve">в </w:t>
      </w:r>
      <w:r>
        <w:rPr>
          <w:bCs/>
          <w:kern w:val="2"/>
        </w:rPr>
        <w:t>ПО</w:t>
      </w:r>
      <w:r>
        <w:rPr/>
        <w:t xml:space="preserve"> не используются никакие элементы, права на которые принадлежат третьим лицам, и которые могут уменьшить или ограничить исключительное право на ПО, в том числе возможность распоряжения таким ПО;</w:t>
      </w:r>
    </w:p>
    <w:p>
      <w:pPr>
        <w:pStyle w:val="ListParagraph"/>
        <w:numPr>
          <w:ilvl w:val="0"/>
          <w:numId w:val="4"/>
        </w:numPr>
        <w:shd w:val="clear" w:color="auto" w:fill="FFFFFF"/>
        <w:tabs>
          <w:tab w:val="clear" w:pos="708"/>
          <w:tab w:val="left" w:pos="709" w:leader="none"/>
          <w:tab w:val="left" w:pos="1418" w:leader="none"/>
        </w:tabs>
        <w:ind w:firstLine="709" w:left="0"/>
        <w:jc w:val="both"/>
        <w:rPr>
          <w:bCs/>
        </w:rPr>
      </w:pPr>
      <w:r>
        <w:rPr/>
        <w:t xml:space="preserve">Лицензиар </w:t>
      </w:r>
      <w:r>
        <w:rPr>
          <w:bCs/>
        </w:rPr>
        <w:t xml:space="preserve">вправе предоставлять право использования </w:t>
      </w:r>
      <w:r>
        <w:rPr/>
        <w:t>ПО</w:t>
      </w:r>
      <w:r>
        <w:rPr>
          <w:bCs/>
        </w:rPr>
        <w:t xml:space="preserve"> на условиях Договора и что ему ничего не известно о правах третьих лиц, которые могли бы быть нарушены предоставлением прав использования </w:t>
      </w:r>
      <w:r>
        <w:rPr/>
        <w:t>ПО</w:t>
      </w:r>
      <w:r>
        <w:rPr>
          <w:bCs/>
        </w:rPr>
        <w:t>.</w:t>
      </w:r>
    </w:p>
    <w:p>
      <w:pPr>
        <w:pStyle w:val="ListParagraph"/>
        <w:numPr>
          <w:ilvl w:val="1"/>
          <w:numId w:val="12"/>
        </w:numPr>
        <w:shd w:val="clear" w:color="auto" w:fill="FFFFFF"/>
        <w:tabs>
          <w:tab w:val="clear" w:pos="708"/>
          <w:tab w:val="left" w:pos="1418" w:leader="none"/>
        </w:tabs>
        <w:ind w:firstLine="709" w:left="0"/>
        <w:jc w:val="both"/>
        <w:rPr>
          <w:bCs/>
        </w:rPr>
      </w:pPr>
      <w:r>
        <w:rPr>
          <w:bCs/>
        </w:rPr>
        <w:t>Лицензиар заявляет и заверяет Лицензиата в том, что на момент заключения Договора:</w:t>
      </w:r>
    </w:p>
    <w:p>
      <w:pPr>
        <w:pStyle w:val="Normal"/>
        <w:numPr>
          <w:ilvl w:val="0"/>
          <w:numId w:val="6"/>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 xml:space="preserve">Лицензиар фактически находится по адресу, указанному в Едином государственном реестре юридических лиц; </w:t>
      </w:r>
    </w:p>
    <w:p>
      <w:pPr>
        <w:pStyle w:val="Normal"/>
        <w:numPr>
          <w:ilvl w:val="0"/>
          <w:numId w:val="6"/>
        </w:numPr>
        <w:shd w:val="clear" w:color="auto" w:fill="FFFFFF"/>
        <w:tabs>
          <w:tab w:val="clear" w:pos="708"/>
          <w:tab w:val="left" w:pos="709" w:leader="none"/>
          <w:tab w:val="left" w:pos="1418" w:leader="none"/>
        </w:tabs>
        <w:spacing w:lineRule="auto" w:line="240" w:before="0" w:after="0"/>
        <w:ind w:firstLine="709" w:left="0"/>
        <w:contextualSpacing/>
        <w:rPr>
          <w:sz w:val="24"/>
          <w:szCs w:val="24"/>
        </w:rPr>
      </w:pPr>
      <w:r>
        <w:rPr>
          <w:sz w:val="24"/>
          <w:szCs w:val="24"/>
        </w:rPr>
        <w:t>Лицензиар своевременно и в полном объеме уплачивает налоги и сборы в соответствии с законодательством Российской Федерации;</w:t>
      </w:r>
    </w:p>
    <w:p>
      <w:pPr>
        <w:pStyle w:val="Normal"/>
        <w:numPr>
          <w:ilvl w:val="0"/>
          <w:numId w:val="5"/>
        </w:numPr>
        <w:shd w:val="clear" w:color="auto" w:fill="FFFFFF"/>
        <w:tabs>
          <w:tab w:val="clear" w:pos="708"/>
          <w:tab w:val="left" w:pos="567" w:leader="none"/>
          <w:tab w:val="left" w:pos="1418" w:leader="none"/>
        </w:tabs>
        <w:spacing w:lineRule="auto" w:line="240" w:before="0" w:after="0"/>
        <w:ind w:firstLine="709" w:left="0"/>
        <w:contextualSpacing/>
        <w:rPr>
          <w:sz w:val="24"/>
          <w:szCs w:val="24"/>
        </w:rPr>
      </w:pPr>
      <w:r>
        <w:rPr>
          <w:sz w:val="24"/>
          <w:szCs w:val="24"/>
        </w:rPr>
        <w:t>Лицензиар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Лицензиара должным образом исполнять обязательства, возникающие из Договора или в связи с ним;</w:t>
      </w:r>
    </w:p>
    <w:p>
      <w:pPr>
        <w:pStyle w:val="Normal"/>
        <w:numPr>
          <w:ilvl w:val="0"/>
          <w:numId w:val="5"/>
        </w:numPr>
        <w:shd w:val="clear" w:color="auto" w:fill="FFFFFF"/>
        <w:tabs>
          <w:tab w:val="clear" w:pos="708"/>
          <w:tab w:val="left" w:pos="567" w:leader="none"/>
          <w:tab w:val="left" w:pos="1418" w:leader="none"/>
        </w:tabs>
        <w:spacing w:lineRule="auto" w:line="240" w:before="0" w:after="0"/>
        <w:ind w:firstLine="709" w:left="0"/>
        <w:contextualSpacing/>
        <w:rPr>
          <w:sz w:val="24"/>
          <w:szCs w:val="24"/>
        </w:rPr>
      </w:pPr>
      <w:r>
        <w:rPr>
          <w:sz w:val="24"/>
          <w:szCs w:val="24"/>
        </w:rPr>
        <w:t xml:space="preserve">Лицензиар тщательно изучил всю информацию, и принимает на себя все расходы, риски и трудности исполнения обязательств, возникающих из Договора или в связи с ним; </w:t>
      </w:r>
    </w:p>
    <w:p>
      <w:pPr>
        <w:pStyle w:val="Normal"/>
        <w:numPr>
          <w:ilvl w:val="0"/>
          <w:numId w:val="5"/>
        </w:numPr>
        <w:shd w:val="clear" w:color="auto" w:fill="FFFFFF"/>
        <w:tabs>
          <w:tab w:val="clear" w:pos="708"/>
          <w:tab w:val="left" w:pos="567" w:leader="none"/>
          <w:tab w:val="left" w:pos="1418" w:leader="none"/>
        </w:tabs>
        <w:spacing w:lineRule="auto" w:line="240" w:before="0" w:after="0"/>
        <w:ind w:firstLine="709" w:left="0"/>
        <w:contextualSpacing/>
        <w:rPr>
          <w:sz w:val="24"/>
          <w:szCs w:val="24"/>
        </w:rPr>
      </w:pPr>
      <w:r>
        <w:rPr>
          <w:sz w:val="24"/>
          <w:szCs w:val="24"/>
        </w:rPr>
        <w:t>Лицензиар тщательно изучил все регламенты Лицензиата и подтверждает готовность неукоснительного соблюдения в полном объеме предъявляемых Лицензиатом требований;</w:t>
      </w:r>
    </w:p>
    <w:p>
      <w:pPr>
        <w:pStyle w:val="Normal"/>
        <w:numPr>
          <w:ilvl w:val="0"/>
          <w:numId w:val="5"/>
        </w:numPr>
        <w:shd w:val="clear" w:color="auto" w:fill="FFFFFF"/>
        <w:tabs>
          <w:tab w:val="clear" w:pos="708"/>
          <w:tab w:val="left" w:pos="567" w:leader="none"/>
          <w:tab w:val="left" w:pos="1418" w:leader="none"/>
        </w:tabs>
        <w:spacing w:lineRule="auto" w:line="240" w:before="0" w:after="0"/>
        <w:ind w:firstLine="709" w:left="0"/>
        <w:contextualSpacing/>
        <w:rPr>
          <w:sz w:val="24"/>
          <w:szCs w:val="24"/>
        </w:rPr>
      </w:pPr>
      <w:r>
        <w:rPr>
          <w:sz w:val="24"/>
          <w:szCs w:val="24"/>
        </w:rPr>
        <w:t>Лицензиар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5"/>
        </w:numPr>
        <w:shd w:val="clear" w:color="auto" w:fill="FFFFFF"/>
        <w:tabs>
          <w:tab w:val="clear" w:pos="708"/>
          <w:tab w:val="left" w:pos="567" w:leader="none"/>
          <w:tab w:val="left" w:pos="1418" w:leader="none"/>
        </w:tabs>
        <w:spacing w:lineRule="auto" w:line="240" w:before="0" w:after="0"/>
        <w:ind w:firstLine="709" w:left="0"/>
        <w:contextualSpacing/>
        <w:rPr>
          <w:sz w:val="24"/>
          <w:szCs w:val="24"/>
        </w:rPr>
      </w:pPr>
      <w:r>
        <w:rPr>
          <w:sz w:val="24"/>
          <w:szCs w:val="24"/>
        </w:rPr>
        <w:t>вся информация, предоставленная Лицензиату, является достоверной, полной и точной и Лицензиар не скрыл никаких обстоятельств, которые при их обнаружении могли бы негативно повлиять на решение Лицензиата заключить Договор на указанных в нем условиях.</w:t>
      </w:r>
    </w:p>
    <w:p>
      <w:pPr>
        <w:pStyle w:val="ListParagraph"/>
        <w:numPr>
          <w:ilvl w:val="1"/>
          <w:numId w:val="12"/>
        </w:numPr>
        <w:shd w:val="clear" w:color="auto" w:fill="FFFFFF"/>
        <w:tabs>
          <w:tab w:val="clear" w:pos="708"/>
          <w:tab w:val="left" w:pos="1418" w:leader="none"/>
        </w:tabs>
        <w:ind w:firstLine="709" w:left="0"/>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r>
        <w:rPr>
          <w:bCs/>
        </w:rPr>
        <w:t>Договора</w:t>
      </w:r>
      <w:r>
        <w:rPr/>
        <w:t xml:space="preserve">. </w:t>
      </w:r>
    </w:p>
    <w:p>
      <w:pPr>
        <w:pStyle w:val="Normal"/>
        <w:tabs>
          <w:tab w:val="clear" w:pos="708"/>
          <w:tab w:val="left" w:pos="1418" w:leader="none"/>
        </w:tabs>
        <w:spacing w:lineRule="auto" w:line="240"/>
        <w:ind w:firstLine="709"/>
        <w:rPr>
          <w:sz w:val="24"/>
          <w:szCs w:val="24"/>
        </w:rPr>
      </w:pPr>
      <w:r>
        <w:rPr>
          <w:sz w:val="24"/>
          <w:szCs w:val="24"/>
        </w:rPr>
        <w:t xml:space="preserve">В случае, если </w:t>
      </w:r>
      <w:r>
        <w:rPr>
          <w:bCs/>
          <w:sz w:val="24"/>
          <w:szCs w:val="24"/>
        </w:rPr>
        <w:t>Лицензиар</w:t>
      </w:r>
      <w:r>
        <w:rPr>
          <w:sz w:val="24"/>
          <w:szCs w:val="24"/>
        </w:rPr>
        <w:t xml:space="preserve"> при заключении Договора предоставил Лицензиату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Лицензиар </w:t>
      </w:r>
      <w:r>
        <w:rPr>
          <w:sz w:val="24"/>
          <w:szCs w:val="24"/>
        </w:rPr>
        <w:t>обязан по письменному требованию Лицензиата возместить убытки, причиненные недостоверностью таких заверений.</w:t>
      </w:r>
    </w:p>
    <w:p>
      <w:pPr>
        <w:pStyle w:val="ListParagraph"/>
        <w:numPr>
          <w:ilvl w:val="1"/>
          <w:numId w:val="12"/>
        </w:numPr>
        <w:shd w:val="clear" w:color="auto" w:fill="FFFFFF"/>
        <w:tabs>
          <w:tab w:val="clear" w:pos="708"/>
          <w:tab w:val="left" w:pos="1418" w:leader="none"/>
        </w:tabs>
        <w:ind w:firstLine="709" w:left="0"/>
        <w:jc w:val="both"/>
        <w:rPr>
          <w:bCs/>
        </w:rPr>
      </w:pPr>
      <w:r>
        <w:rPr>
          <w:bCs/>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418" w:leader="none"/>
        </w:tabs>
        <w:ind w:hanging="0" w:left="709"/>
        <w:rPr>
          <w:bCs/>
        </w:rPr>
      </w:pPr>
      <w:r>
        <w:rPr>
          <w:bCs/>
        </w:rPr>
      </w:r>
    </w:p>
    <w:p>
      <w:pPr>
        <w:pStyle w:val="ListParagraph"/>
        <w:numPr>
          <w:ilvl w:val="0"/>
          <w:numId w:val="12"/>
        </w:numPr>
        <w:tabs>
          <w:tab w:val="clear" w:pos="708"/>
          <w:tab w:val="left" w:pos="426" w:leader="none"/>
          <w:tab w:val="left" w:pos="1418" w:leader="none"/>
        </w:tabs>
        <w:ind w:hanging="0" w:left="0"/>
        <w:jc w:val="center"/>
        <w:rPr>
          <w:b/>
        </w:rPr>
      </w:pPr>
      <w:r>
        <w:rPr>
          <w:b/>
          <w:bCs/>
        </w:rPr>
        <w:t>Прекращение (расторжение) Договора</w:t>
      </w:r>
    </w:p>
    <w:p>
      <w:pPr>
        <w:pStyle w:val="ListParagraph"/>
        <w:numPr>
          <w:ilvl w:val="1"/>
          <w:numId w:val="12"/>
        </w:numPr>
        <w:shd w:val="clear" w:color="auto" w:fill="FFFFFF"/>
        <w:tabs>
          <w:tab w:val="clear" w:pos="708"/>
          <w:tab w:val="left" w:pos="1418" w:leader="none"/>
        </w:tabs>
        <w:ind w:firstLine="709" w:left="0"/>
        <w:jc w:val="both"/>
        <w:rPr/>
      </w:pPr>
      <w:r>
        <w:rPr/>
        <w:t xml:space="preserve">Договор может быть прекращен (расторгнут) по соглашению Сторон. Сторона, имеющая намерение </w:t>
      </w:r>
      <w:r>
        <w:rPr>
          <w:bCs/>
        </w:rPr>
        <w:t>расторгнуть</w:t>
      </w:r>
      <w:r>
        <w:rPr/>
        <w:t xml:space="preserve">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8"/>
          <w:tab w:val="left" w:pos="1418" w:leader="none"/>
        </w:tabs>
        <w:ind w:firstLine="709" w:left="0"/>
        <w:jc w:val="both"/>
        <w:rPr/>
      </w:pPr>
      <w:r>
        <w:rPr/>
        <w:t>В случае существенного нарушения Договора Лицензиаром Лицензиат вправе в одностороннем внесудебном порядке отказаться от Договора и потребовать полного возмещения Лицензиаром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spacing w:lineRule="auto" w:line="240" w:before="0" w:after="0"/>
        <w:ind w:firstLine="709"/>
        <w:contextualSpacing/>
        <w:rPr>
          <w:sz w:val="24"/>
          <w:szCs w:val="24"/>
        </w:rPr>
      </w:pPr>
      <w:r>
        <w:rPr>
          <w:sz w:val="24"/>
          <w:szCs w:val="24"/>
        </w:rPr>
        <w:t>Лицензиат одновременно с уведомлением об отказе от Договора (исполнения Договора) направляет Лицензиару письменное требование о возмещении убытков с приложением расчета суммы убытков. Лицензиар обязан оплатить Лицензиату убытки не позднее 15 (пятнадцати) календарных дней с момента получения расчета суммы убытков от Лицензиата.</w:t>
      </w:r>
    </w:p>
    <w:p>
      <w:pPr>
        <w:pStyle w:val="ListParagraph"/>
        <w:numPr>
          <w:ilvl w:val="1"/>
          <w:numId w:val="12"/>
        </w:numPr>
        <w:shd w:val="clear" w:color="auto" w:fill="FFFFFF"/>
        <w:tabs>
          <w:tab w:val="clear" w:pos="708"/>
          <w:tab w:val="left" w:pos="1418" w:leader="none"/>
        </w:tabs>
        <w:ind w:firstLine="709" w:left="0"/>
        <w:jc w:val="both"/>
        <w:rPr/>
      </w:pPr>
      <w:r>
        <w:rPr/>
        <w:t>Стороны установили, что существенным нарушением Договора является:</w:t>
      </w:r>
    </w:p>
    <w:p>
      <w:pPr>
        <w:pStyle w:val="ListParagraph"/>
        <w:numPr>
          <w:ilvl w:val="2"/>
          <w:numId w:val="12"/>
        </w:numPr>
        <w:shd w:val="clear" w:color="auto" w:fill="FFFFFF"/>
        <w:ind w:firstLine="709" w:left="0"/>
        <w:jc w:val="both"/>
        <w:rPr/>
      </w:pPr>
      <w:r>
        <w:rPr/>
        <w:t>Установление Лицензиаром факта нарушения Лицензиатом пределов (объема) и способов использования ПО, право использования которых передано по Договору;</w:t>
      </w:r>
    </w:p>
    <w:p>
      <w:pPr>
        <w:pStyle w:val="ListParagraph"/>
        <w:numPr>
          <w:ilvl w:val="2"/>
          <w:numId w:val="12"/>
        </w:numPr>
        <w:shd w:val="clear" w:color="auto" w:fill="FFFFFF"/>
        <w:tabs>
          <w:tab w:val="clear" w:pos="708"/>
          <w:tab w:val="left" w:pos="1701" w:leader="none"/>
        </w:tabs>
        <w:ind w:firstLine="709" w:left="0"/>
        <w:jc w:val="both"/>
        <w:rPr/>
      </w:pPr>
      <w:r>
        <w:rPr/>
        <w:t>Неисполнение Лицензиатом обязательств по выплате Лицензиару вознаграждения за предоставленное право использования ПО в срок, установленный пунктом 2.2 Договора.</w:t>
      </w:r>
    </w:p>
    <w:p>
      <w:pPr>
        <w:pStyle w:val="ListParagraph"/>
        <w:numPr>
          <w:ilvl w:val="1"/>
          <w:numId w:val="12"/>
        </w:numPr>
        <w:shd w:val="clear" w:color="auto" w:fill="FFFFFF"/>
        <w:tabs>
          <w:tab w:val="clear" w:pos="708"/>
          <w:tab w:val="left" w:pos="1134" w:leader="none"/>
        </w:tabs>
        <w:ind w:firstLine="709" w:left="0"/>
        <w:jc w:val="both"/>
        <w:rPr/>
      </w:pPr>
      <w:r>
        <w:rPr/>
        <w:t>В случае отказа Лицензиара от Договора в случаях, предусмотренных Договором, последний считается прекращенным (расторгнутым):</w:t>
      </w:r>
    </w:p>
    <w:p>
      <w:pPr>
        <w:pStyle w:val="ListParagraph"/>
        <w:numPr>
          <w:ilvl w:val="0"/>
          <w:numId w:val="7"/>
        </w:numPr>
        <w:shd w:val="clear" w:color="auto" w:fill="FFFFFF"/>
        <w:tabs>
          <w:tab w:val="clear" w:pos="708"/>
          <w:tab w:val="left" w:pos="1418" w:leader="none"/>
        </w:tabs>
        <w:ind w:firstLine="709" w:left="0"/>
        <w:jc w:val="both"/>
        <w:rPr/>
      </w:pPr>
      <w:r>
        <w:rPr/>
        <w:t>в случае, указанном в пункте 11.3.1 Договора – со дня, следующего за днем получения Лицензиатом уведомления Лицензиара об отказе от Договора (исполнения Договора);</w:t>
      </w:r>
    </w:p>
    <w:p>
      <w:pPr>
        <w:pStyle w:val="ListParagraph"/>
        <w:numPr>
          <w:ilvl w:val="0"/>
          <w:numId w:val="7"/>
        </w:numPr>
        <w:shd w:val="clear" w:color="auto" w:fill="FFFFFF"/>
        <w:tabs>
          <w:tab w:val="clear" w:pos="708"/>
          <w:tab w:val="left" w:pos="1418" w:leader="none"/>
        </w:tabs>
        <w:ind w:firstLine="709" w:left="0"/>
        <w:jc w:val="both"/>
        <w:rPr/>
      </w:pPr>
      <w:r>
        <w:rPr/>
        <w:t>в случае, указанном в пункте 11.3.2 Договора – по истечении 30 (тридцати) календарных дней с даты получения Лицензиатом уведомления Лицензиара об отказе от Договора (исполнения Договора), если в указанный срок Лицензиат не исполнит обязанность по уплате вознаграждения.</w:t>
      </w:r>
    </w:p>
    <w:p>
      <w:pPr>
        <w:pStyle w:val="ListParagraph"/>
        <w:numPr>
          <w:ilvl w:val="1"/>
          <w:numId w:val="12"/>
        </w:numPr>
        <w:shd w:val="clear" w:color="auto" w:fill="FFFFFF"/>
        <w:tabs>
          <w:tab w:val="clear" w:pos="708"/>
          <w:tab w:val="left" w:pos="1418" w:leader="none"/>
        </w:tabs>
        <w:ind w:firstLine="709" w:left="0"/>
        <w:jc w:val="both"/>
        <w:rPr/>
      </w:pPr>
      <w:r>
        <w:rPr/>
        <w:t xml:space="preserve">С даты прекращения (расторжения) Договора Лицензиат обязан прекратить использование ПО, право использования которой предоставлено по Договору. </w:t>
      </w:r>
    </w:p>
    <w:p>
      <w:pPr>
        <w:pStyle w:val="ListParagraph"/>
        <w:numPr>
          <w:ilvl w:val="1"/>
          <w:numId w:val="12"/>
        </w:numPr>
        <w:shd w:val="clear" w:color="auto" w:fill="FFFFFF"/>
        <w:tabs>
          <w:tab w:val="clear" w:pos="708"/>
          <w:tab w:val="left" w:pos="1418" w:leader="none"/>
        </w:tabs>
        <w:ind w:firstLine="709" w:left="0"/>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Лицензиара по возмещению неустойки (пени), штрафов и убытков в случаях и размерах, предусмотренных Договором.</w:t>
      </w:r>
    </w:p>
    <w:p>
      <w:pPr>
        <w:pStyle w:val="ListParagraph"/>
        <w:tabs>
          <w:tab w:val="clear" w:pos="708"/>
          <w:tab w:val="left" w:pos="1418" w:leader="none"/>
        </w:tabs>
        <w:ind w:firstLine="709" w:left="0"/>
        <w:jc w:val="both"/>
        <w:rPr/>
      </w:pPr>
      <w:r>
        <w:rPr/>
      </w:r>
    </w:p>
    <w:p>
      <w:pPr>
        <w:pStyle w:val="ListParagraph"/>
        <w:numPr>
          <w:ilvl w:val="0"/>
          <w:numId w:val="12"/>
        </w:numPr>
        <w:tabs>
          <w:tab w:val="clear" w:pos="708"/>
          <w:tab w:val="left" w:pos="426" w:leader="none"/>
          <w:tab w:val="left" w:pos="1418" w:leader="none"/>
        </w:tabs>
        <w:ind w:hanging="0" w:left="0"/>
        <w:jc w:val="center"/>
        <w:rPr>
          <w:b/>
          <w:bCs/>
        </w:rPr>
      </w:pPr>
      <w:r>
        <w:rPr>
          <w:b/>
          <w:bCs/>
        </w:rPr>
        <w:t>Заключительные положения</w:t>
      </w:r>
    </w:p>
    <w:p>
      <w:pPr>
        <w:pStyle w:val="ListParagraph"/>
        <w:numPr>
          <w:ilvl w:val="1"/>
          <w:numId w:val="12"/>
        </w:numPr>
        <w:shd w:val="clear" w:color="auto" w:fill="FFFFFF"/>
        <w:tabs>
          <w:tab w:val="clear" w:pos="708"/>
          <w:tab w:val="left" w:pos="1134" w:leader="none"/>
        </w:tabs>
        <w:ind w:firstLine="567" w:left="0"/>
        <w:jc w:val="both"/>
        <w:rPr/>
      </w:pPr>
      <w:r>
        <w:rPr/>
        <w:t xml:space="preserve">Договор вступает в силу с даты его подписания Сторонами и действует до полного исполнения Сторонами принятых обязательств. </w:t>
      </w:r>
    </w:p>
    <w:p>
      <w:pPr>
        <w:pStyle w:val="ListParagraph"/>
        <w:numPr>
          <w:ilvl w:val="1"/>
          <w:numId w:val="12"/>
        </w:numPr>
        <w:shd w:val="clear" w:color="auto" w:fill="FFFFFF"/>
        <w:tabs>
          <w:tab w:val="clear" w:pos="708"/>
          <w:tab w:val="left" w:pos="1134" w:leader="none"/>
        </w:tabs>
        <w:ind w:firstLine="567" w:left="0"/>
        <w:jc w:val="both"/>
        <w:rPr/>
      </w:pPr>
      <w: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8"/>
          <w:tab w:val="left" w:pos="1134" w:leader="none"/>
        </w:tabs>
        <w:ind w:firstLine="567" w:left="0"/>
        <w:jc w:val="both"/>
        <w:rPr/>
      </w:pPr>
      <w: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12"/>
        </w:numPr>
        <w:shd w:val="clear" w:color="auto" w:fill="FFFFFF"/>
        <w:tabs>
          <w:tab w:val="clear" w:pos="708"/>
          <w:tab w:val="left" w:pos="1134" w:leader="none"/>
        </w:tabs>
        <w:ind w:firstLine="567" w:left="0"/>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Договором. </w:t>
      </w:r>
    </w:p>
    <w:p>
      <w:pPr>
        <w:pStyle w:val="ListParagraph"/>
        <w:numPr>
          <w:ilvl w:val="1"/>
          <w:numId w:val="12"/>
        </w:numPr>
        <w:shd w:val="clear" w:color="auto" w:fill="FFFFFF"/>
        <w:tabs>
          <w:tab w:val="clear" w:pos="708"/>
          <w:tab w:val="left" w:pos="1134" w:leader="none"/>
        </w:tabs>
        <w:ind w:firstLine="567" w:left="0"/>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2"/>
        </w:numPr>
        <w:shd w:val="clear" w:color="auto" w:fill="FFFFFF"/>
        <w:tabs>
          <w:tab w:val="clear" w:pos="708"/>
          <w:tab w:val="left" w:pos="1134" w:leader="none"/>
        </w:tabs>
        <w:ind w:firstLine="567" w:left="0"/>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2"/>
        </w:numPr>
        <w:shd w:val="clear" w:color="auto" w:fill="FFFFFF"/>
        <w:tabs>
          <w:tab w:val="clear" w:pos="708"/>
          <w:tab w:val="left" w:pos="1134" w:leader="none"/>
        </w:tabs>
        <w:ind w:firstLine="567" w:left="0"/>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w:t>
      </w:r>
    </w:p>
    <w:p>
      <w:pPr>
        <w:pStyle w:val="ListParagraph"/>
        <w:numPr>
          <w:ilvl w:val="1"/>
          <w:numId w:val="12"/>
        </w:numPr>
        <w:shd w:val="clear" w:color="auto" w:fill="FFFFFF"/>
        <w:tabs>
          <w:tab w:val="clear" w:pos="708"/>
          <w:tab w:val="left" w:pos="1134" w:leader="none"/>
        </w:tabs>
        <w:ind w:firstLine="567" w:left="0"/>
        <w:jc w:val="both"/>
        <w:rPr/>
      </w:pPr>
      <w:r>
        <w:rPr/>
        <w:t xml:space="preserve">Стороны обязуются уведомлять друг друга об изменении адреса и / или реквизитов, указанных в Договоре, не позднее 3 (трех) рабочих дней после такого изменения в порядке, установленном пунктом 12.8 Договора. </w:t>
      </w:r>
    </w:p>
    <w:p>
      <w:pPr>
        <w:pStyle w:val="ListParagraph"/>
        <w:numPr>
          <w:ilvl w:val="1"/>
          <w:numId w:val="12"/>
        </w:numPr>
        <w:shd w:val="clear" w:color="auto" w:fill="FFFFFF"/>
        <w:tabs>
          <w:tab w:val="clear" w:pos="708"/>
          <w:tab w:val="left" w:pos="1134" w:leader="none"/>
        </w:tabs>
        <w:ind w:firstLine="567" w:left="0"/>
        <w:jc w:val="both"/>
        <w:rPr/>
      </w:pPr>
      <w:r>
        <w:rPr/>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numPr>
          <w:ilvl w:val="2"/>
          <w:numId w:val="12"/>
        </w:numPr>
        <w:shd w:val="clear" w:color="auto" w:fill="FFFFFF"/>
        <w:tabs>
          <w:tab w:val="clear" w:pos="708"/>
          <w:tab w:val="left" w:pos="1134" w:leader="none"/>
        </w:tabs>
        <w:ind w:firstLine="567" w:left="0"/>
        <w:jc w:val="both"/>
        <w:rPr/>
      </w:pPr>
      <w:r>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2"/>
        </w:numPr>
        <w:shd w:val="clear" w:color="auto" w:fill="FFFFFF"/>
        <w:tabs>
          <w:tab w:val="clear" w:pos="708"/>
          <w:tab w:val="left" w:pos="1134" w:leader="none"/>
        </w:tabs>
        <w:ind w:firstLine="567" w:left="0"/>
        <w:jc w:val="both"/>
        <w:rPr/>
      </w:pPr>
      <w:r>
        <w:rPr/>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ListParagraph"/>
        <w:numPr>
          <w:ilvl w:val="2"/>
          <w:numId w:val="12"/>
        </w:numPr>
        <w:shd w:val="clear" w:color="auto" w:fill="FFFFFF"/>
        <w:tabs>
          <w:tab w:val="clear" w:pos="708"/>
          <w:tab w:val="left" w:pos="1134" w:leader="none"/>
        </w:tabs>
        <w:ind w:firstLine="567" w:left="0"/>
        <w:jc w:val="both"/>
        <w:rPr/>
      </w:pPr>
      <w:r>
        <w:rPr/>
        <w:t xml:space="preserve">Посредством электронной почты (e-mail)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134" w:leader="none"/>
        </w:tabs>
        <w:ind w:firstLine="567" w:left="0"/>
        <w:jc w:val="both"/>
        <w:rPr/>
      </w:pPr>
      <w: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ListParagraph"/>
        <w:numPr>
          <w:ilvl w:val="1"/>
          <w:numId w:val="12"/>
        </w:numPr>
        <w:shd w:val="clear" w:color="auto" w:fill="FFFFFF"/>
        <w:tabs>
          <w:tab w:val="clear" w:pos="708"/>
          <w:tab w:val="left" w:pos="1134" w:leader="none"/>
        </w:tabs>
        <w:ind w:firstLine="567" w:left="0"/>
        <w:jc w:val="both"/>
        <w:rPr/>
      </w:pPr>
      <w: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2"/>
        </w:numPr>
        <w:shd w:val="clear" w:color="auto" w:fill="FFFFFF"/>
        <w:tabs>
          <w:tab w:val="clear" w:pos="708"/>
          <w:tab w:val="left" w:pos="1134" w:leader="none"/>
        </w:tabs>
        <w:ind w:firstLine="567" w:left="0"/>
        <w:jc w:val="both"/>
        <w:rPr/>
      </w:pPr>
      <w:r>
        <w:rPr/>
        <w:t xml:space="preserve">Уступка, передача в залог прав (требований), принадлежащих Лицензиару на основании Договора, допускается только с предварительного письменного согласия Лицензиата. </w:t>
      </w:r>
    </w:p>
    <w:p>
      <w:pPr>
        <w:pStyle w:val="ListParagraph"/>
        <w:numPr>
          <w:ilvl w:val="1"/>
          <w:numId w:val="12"/>
        </w:numPr>
        <w:shd w:val="clear" w:color="auto" w:fill="FFFFFF"/>
        <w:tabs>
          <w:tab w:val="clear" w:pos="708"/>
          <w:tab w:val="left" w:pos="1134" w:leader="none"/>
        </w:tabs>
        <w:ind w:firstLine="567" w:left="0"/>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tabs>
          <w:tab w:val="clear" w:pos="708"/>
          <w:tab w:val="left" w:pos="1418" w:leader="none"/>
        </w:tabs>
        <w:ind w:firstLine="709" w:left="0"/>
        <w:jc w:val="both"/>
        <w:rPr/>
      </w:pPr>
      <w:r>
        <w:rPr/>
      </w:r>
    </w:p>
    <w:p>
      <w:pPr>
        <w:pStyle w:val="ListParagraph"/>
        <w:numPr>
          <w:ilvl w:val="0"/>
          <w:numId w:val="12"/>
        </w:numPr>
        <w:tabs>
          <w:tab w:val="clear" w:pos="708"/>
          <w:tab w:val="left" w:pos="426" w:leader="none"/>
          <w:tab w:val="left" w:pos="1418" w:leader="none"/>
        </w:tabs>
        <w:ind w:hanging="0" w:left="0"/>
        <w:jc w:val="center"/>
        <w:rPr>
          <w:b/>
          <w:bCs/>
        </w:rPr>
      </w:pPr>
      <w:r>
        <w:rPr>
          <w:b/>
          <w:bCs/>
        </w:rPr>
        <w:t>Список приложений</w:t>
      </w:r>
    </w:p>
    <w:p>
      <w:pPr>
        <w:pStyle w:val="ListParagraph"/>
        <w:numPr>
          <w:ilvl w:val="1"/>
          <w:numId w:val="12"/>
        </w:numPr>
        <w:shd w:val="clear" w:color="auto" w:fill="FFFFFF"/>
        <w:tabs>
          <w:tab w:val="clear" w:pos="708"/>
          <w:tab w:val="left" w:pos="1134" w:leader="none"/>
        </w:tabs>
        <w:ind w:firstLine="567" w:left="0"/>
        <w:jc w:val="both"/>
        <w:rPr/>
      </w:pPr>
      <w:r>
        <w:rPr/>
        <w:t>Приложение № 1 – Форма Акта об исполнении обязательств по передаче права использования ПО;</w:t>
      </w:r>
    </w:p>
    <w:p>
      <w:pPr>
        <w:pStyle w:val="ListParagraph"/>
        <w:numPr>
          <w:ilvl w:val="1"/>
          <w:numId w:val="12"/>
        </w:numPr>
        <w:shd w:val="clear" w:color="auto" w:fill="FFFFFF"/>
        <w:tabs>
          <w:tab w:val="clear" w:pos="708"/>
          <w:tab w:val="left" w:pos="1134" w:leader="none"/>
        </w:tabs>
        <w:ind w:firstLine="567" w:left="0"/>
        <w:jc w:val="both"/>
        <w:rPr/>
      </w:pPr>
      <w:r>
        <w:rPr/>
        <w:t>Приложение № 2 – Спецификация;</w:t>
      </w:r>
    </w:p>
    <w:p>
      <w:pPr>
        <w:pStyle w:val="ListParagraph"/>
        <w:numPr>
          <w:ilvl w:val="1"/>
          <w:numId w:val="12"/>
        </w:numPr>
        <w:shd w:val="clear" w:color="auto" w:fill="FFFFFF"/>
        <w:tabs>
          <w:tab w:val="clear" w:pos="708"/>
          <w:tab w:val="left" w:pos="1134" w:leader="none"/>
        </w:tabs>
        <w:ind w:firstLine="567" w:left="0"/>
        <w:jc w:val="both"/>
        <w:rPr/>
      </w:pPr>
      <w:r>
        <w:rPr/>
        <w:t>Приложение № 3 – Копии свидетельств о государственной регистрации программ для ЭВМ;</w:t>
      </w:r>
    </w:p>
    <w:p>
      <w:pPr>
        <w:pStyle w:val="ListParagraph"/>
        <w:numPr>
          <w:ilvl w:val="1"/>
          <w:numId w:val="12"/>
        </w:numPr>
        <w:shd w:val="clear" w:color="auto" w:fill="FFFFFF"/>
        <w:tabs>
          <w:tab w:val="clear" w:pos="708"/>
          <w:tab w:val="left" w:pos="1134" w:leader="none"/>
        </w:tabs>
        <w:ind w:firstLine="567" w:left="0"/>
        <w:jc w:val="both"/>
        <w:rPr/>
      </w:pPr>
      <w:r>
        <w:rPr/>
        <w:t>Приложение № 4 – Технические требования</w:t>
      </w:r>
    </w:p>
    <w:p>
      <w:pPr>
        <w:pStyle w:val="ListParagraph"/>
        <w:numPr>
          <w:ilvl w:val="0"/>
          <w:numId w:val="0"/>
        </w:numPr>
        <w:shd w:val="clear" w:color="auto" w:fill="FFFFFF"/>
        <w:tabs>
          <w:tab w:val="clear" w:pos="708"/>
          <w:tab w:val="left" w:pos="1134" w:leader="none"/>
        </w:tabs>
        <w:ind w:hanging="0" w:left="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ListParagraph"/>
        <w:shd w:val="clear" w:color="auto" w:fill="FFFFFF"/>
        <w:tabs>
          <w:tab w:val="clear" w:pos="708"/>
          <w:tab w:val="left" w:pos="1134" w:leader="none"/>
        </w:tabs>
        <w:ind w:hanging="0" w:left="567"/>
        <w:jc w:val="both"/>
        <w:rPr/>
      </w:pPr>
      <w:r>
        <w:rPr/>
      </w:r>
      <w:bookmarkStart w:id="17" w:name="_Toc349654413"/>
      <w:bookmarkStart w:id="18" w:name="_Toc349654413"/>
      <w:bookmarkEnd w:id="9"/>
      <w:bookmarkEnd w:id="10"/>
      <w:bookmarkEnd w:id="11"/>
      <w:bookmarkEnd w:id="12"/>
      <w:bookmarkEnd w:id="18"/>
    </w:p>
    <w:p>
      <w:pPr>
        <w:pStyle w:val="ListParagraph"/>
        <w:numPr>
          <w:ilvl w:val="0"/>
          <w:numId w:val="12"/>
        </w:numPr>
        <w:tabs>
          <w:tab w:val="clear" w:pos="708"/>
          <w:tab w:val="left" w:pos="426" w:leader="none"/>
          <w:tab w:val="left" w:pos="1418" w:leader="none"/>
        </w:tabs>
        <w:ind w:hanging="0" w:left="0"/>
        <w:jc w:val="center"/>
        <w:rPr>
          <w:b/>
          <w:bCs/>
        </w:rPr>
      </w:pPr>
      <w:r>
        <w:rPr>
          <w:b/>
          <w:bCs/>
        </w:rPr>
        <w:t>Адреса и реквизиты Сторон</w:t>
      </w:r>
    </w:p>
    <w:p>
      <w:pPr>
        <w:pStyle w:val="Normal"/>
        <w:tabs>
          <w:tab w:val="clear" w:pos="708"/>
          <w:tab w:val="left" w:pos="1418" w:leader="none"/>
        </w:tabs>
        <w:spacing w:lineRule="auto" w:line="240"/>
        <w:ind w:hanging="0"/>
        <w:jc w:val="left"/>
        <w:rPr>
          <w:b/>
          <w:sz w:val="24"/>
          <w:szCs w:val="24"/>
        </w:rPr>
      </w:pPr>
      <w:r>
        <w:rPr>
          <w:b/>
          <w:sz w:val="24"/>
          <w:szCs w:val="24"/>
        </w:rPr>
      </w:r>
    </w:p>
    <w:tbl>
      <w:tblPr>
        <w:tblW w:w="751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399"/>
        <w:gridCol w:w="603"/>
        <w:gridCol w:w="3515"/>
      </w:tblGrid>
      <w:tr>
        <w:trPr/>
        <w:tc>
          <w:tcPr>
            <w:tcW w:w="3399" w:type="dxa"/>
            <w:tcBorders/>
          </w:tcPr>
          <w:p>
            <w:pPr>
              <w:pStyle w:val="Normal"/>
              <w:widowControl w:val="false"/>
              <w:tabs>
                <w:tab w:val="clear" w:pos="708"/>
                <w:tab w:val="left" w:pos="284" w:leader="none"/>
                <w:tab w:val="left" w:pos="1418" w:leader="none"/>
              </w:tabs>
              <w:suppressAutoHyphens w:val="true"/>
              <w:spacing w:lineRule="auto" w:line="240"/>
              <w:ind w:hanging="0"/>
              <w:jc w:val="left"/>
              <w:rPr>
                <w:b/>
                <w:sz w:val="24"/>
                <w:szCs w:val="24"/>
                <w:lang w:eastAsia="ar-SA"/>
              </w:rPr>
            </w:pPr>
            <w:r>
              <w:rPr>
                <w:b/>
                <w:sz w:val="24"/>
                <w:szCs w:val="24"/>
                <w:lang w:eastAsia="ar-SA"/>
              </w:rPr>
              <w:t>ЛИЦЕНЗИАТ:</w:t>
            </w:r>
          </w:p>
        </w:tc>
        <w:tc>
          <w:tcPr>
            <w:tcW w:w="603" w:type="dxa"/>
            <w:tcBorders/>
          </w:tcPr>
          <w:p>
            <w:pPr>
              <w:pStyle w:val="Normal"/>
              <w:widowControl w:val="false"/>
              <w:tabs>
                <w:tab w:val="clear" w:pos="708"/>
                <w:tab w:val="left" w:pos="284" w:leader="none"/>
                <w:tab w:val="left" w:pos="1418" w:leader="none"/>
              </w:tabs>
              <w:suppressAutoHyphens w:val="true"/>
              <w:spacing w:lineRule="auto" w:line="240"/>
              <w:ind w:hanging="0"/>
              <w:jc w:val="left"/>
              <w:rPr>
                <w:b/>
                <w:sz w:val="24"/>
                <w:szCs w:val="24"/>
                <w:lang w:eastAsia="ar-SA"/>
              </w:rPr>
            </w:pPr>
            <w:r>
              <w:rPr>
                <w:b/>
                <w:sz w:val="24"/>
                <w:szCs w:val="24"/>
                <w:lang w:eastAsia="ar-SA"/>
              </w:rPr>
            </w:r>
          </w:p>
        </w:tc>
        <w:tc>
          <w:tcPr>
            <w:tcW w:w="3515" w:type="dxa"/>
            <w:tcBorders/>
          </w:tcPr>
          <w:p>
            <w:pPr>
              <w:pStyle w:val="Normal"/>
              <w:widowControl w:val="false"/>
              <w:tabs>
                <w:tab w:val="clear" w:pos="708"/>
                <w:tab w:val="left" w:pos="284" w:leader="none"/>
                <w:tab w:val="left" w:pos="1418" w:leader="none"/>
              </w:tabs>
              <w:suppressAutoHyphens w:val="true"/>
              <w:spacing w:lineRule="auto" w:line="240"/>
              <w:ind w:hanging="267"/>
              <w:jc w:val="center"/>
              <w:rPr>
                <w:b/>
                <w:sz w:val="24"/>
                <w:szCs w:val="24"/>
                <w:lang w:eastAsia="ar-SA"/>
              </w:rPr>
            </w:pPr>
            <w:r>
              <w:rPr>
                <w:b/>
                <w:sz w:val="24"/>
                <w:szCs w:val="24"/>
                <w:lang w:eastAsia="ar-SA"/>
              </w:rPr>
              <w:t>ЛИЦЕНЗИАР:</w:t>
            </w:r>
          </w:p>
        </w:tc>
      </w:tr>
    </w:tbl>
    <w:tbl>
      <w:tblPr>
        <w:tblStyle w:val="a9"/>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3"/>
        <w:gridCol w:w="4813"/>
      </w:tblGrid>
      <w:tr>
        <w:trPr/>
        <w:tc>
          <w:tcPr>
            <w:tcW w:w="4813" w:type="dxa"/>
            <w:tcBorders>
              <w:top w:val="nil"/>
              <w:left w:val="nil"/>
              <w:bottom w:val="nil"/>
              <w:right w:val="nil"/>
            </w:tcBorders>
          </w:tcPr>
          <w:p>
            <w:pPr>
              <w:pStyle w:val="Normal"/>
              <w:widowControl w:val="false"/>
              <w:suppressAutoHyphens w:val="true"/>
              <w:spacing w:lineRule="auto" w:line="240" w:before="0" w:after="0"/>
              <w:ind w:hanging="0"/>
              <w:rPr>
                <w:sz w:val="24"/>
                <w:szCs w:val="24"/>
              </w:rPr>
            </w:pPr>
            <w:r>
              <w:rPr>
                <w:b/>
                <w:kern w:val="0"/>
                <w:sz w:val="24"/>
                <w:szCs w:val="24"/>
                <w:lang w:val="ru-RU" w:bidi="ar-SA"/>
              </w:rPr>
              <w:t>Акционерное общество «Гидроремонт-ВКК» (АО «Гидроремонт-ВКК»)</w:t>
            </w:r>
          </w:p>
          <w:p>
            <w:pPr>
              <w:pStyle w:val="Normal"/>
              <w:widowControl w:val="false"/>
              <w:suppressAutoHyphens w:val="true"/>
              <w:spacing w:lineRule="auto" w:line="240" w:before="0" w:after="0"/>
              <w:ind w:hanging="0"/>
              <w:rPr>
                <w:b/>
              </w:rPr>
            </w:pPr>
            <w:r>
              <w:rPr>
                <w:b/>
              </w:rPr>
            </w:r>
          </w:p>
          <w:p>
            <w:pPr>
              <w:pStyle w:val="Normal"/>
              <w:widowControl w:val="false"/>
              <w:suppressAutoHyphens w:val="true"/>
              <w:spacing w:lineRule="auto" w:line="240" w:before="0" w:after="0"/>
              <w:ind w:hanging="0"/>
              <w:rPr>
                <w:sz w:val="24"/>
                <w:szCs w:val="24"/>
              </w:rPr>
            </w:pPr>
            <w:r>
              <w:rPr>
                <w:kern w:val="0"/>
                <w:sz w:val="24"/>
                <w:szCs w:val="24"/>
                <w:lang w:val="ru-RU" w:bidi="ar-SA"/>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uppressAutoHyphens w:val="true"/>
              <w:spacing w:lineRule="auto" w:line="240" w:before="0" w:after="0"/>
              <w:ind w:hanging="0"/>
              <w:rPr>
                <w:sz w:val="24"/>
                <w:szCs w:val="24"/>
              </w:rPr>
            </w:pPr>
            <w:r>
              <w:rPr>
                <w:kern w:val="0"/>
                <w:sz w:val="24"/>
                <w:szCs w:val="24"/>
                <w:lang w:val="ru-RU" w:bidi="ar-SA"/>
              </w:rPr>
              <w:t>Фактический (почтовый) адрес:  603140, Нижегородская обл., г.о. город Нижний Новгород, г. Нижний Новгород, пер. Мотальный, д.8 помещ. ВП31, офис С1А</w:t>
            </w:r>
          </w:p>
          <w:p>
            <w:pPr>
              <w:pStyle w:val="Normal"/>
              <w:widowControl w:val="false"/>
              <w:suppressAutoHyphens w:val="true"/>
              <w:spacing w:lineRule="auto" w:line="240" w:before="0" w:after="0"/>
              <w:ind w:hanging="0"/>
              <w:rPr>
                <w:sz w:val="24"/>
                <w:szCs w:val="24"/>
              </w:rPr>
            </w:pPr>
            <w:r>
              <w:rPr>
                <w:kern w:val="0"/>
                <w:sz w:val="24"/>
                <w:szCs w:val="24"/>
                <w:lang w:val="ru-RU" w:bidi="ar-SA"/>
              </w:rPr>
              <w:t>ИНН 6345012488 КПП 525801001</w:t>
            </w:r>
          </w:p>
          <w:p>
            <w:pPr>
              <w:pStyle w:val="Normal"/>
              <w:widowControl w:val="false"/>
              <w:spacing w:lineRule="auto" w:line="240"/>
              <w:ind w:hanging="0"/>
              <w:rPr/>
            </w:pPr>
            <w:r>
              <w:rPr>
                <w:rStyle w:val="Style17"/>
                <w:kern w:val="0"/>
                <w:sz w:val="24"/>
                <w:szCs w:val="24"/>
                <w:lang w:val="ru-RU" w:bidi="ar-SA"/>
              </w:rPr>
              <w:t xml:space="preserve">e-mail: </w:t>
            </w:r>
            <w:hyperlink r:id="rId2" w:tgtFrame="_top">
              <w:r>
                <w:rPr>
                  <w:rStyle w:val="Hyperlink"/>
                  <w:kern w:val="0"/>
                  <w:sz w:val="24"/>
                  <w:szCs w:val="24"/>
                  <w:lang w:val="ru-RU" w:bidi="ar-SA"/>
                </w:rPr>
                <w:t>gidroremont@rushydro.ru</w:t>
              </w:r>
            </w:hyperlink>
          </w:p>
          <w:p>
            <w:pPr>
              <w:pStyle w:val="Normal"/>
              <w:widowControl w:val="false"/>
              <w:suppressAutoHyphens w:val="true"/>
              <w:spacing w:lineRule="auto" w:line="240" w:before="0" w:after="0"/>
              <w:ind w:hanging="0"/>
              <w:rPr>
                <w:sz w:val="24"/>
                <w:szCs w:val="24"/>
              </w:rPr>
            </w:pPr>
            <w:r>
              <w:rPr>
                <w:i w:val="false"/>
                <w:iCs w:val="false"/>
                <w:kern w:val="0"/>
                <w:sz w:val="24"/>
                <w:szCs w:val="24"/>
                <w:lang w:val="ru-RU" w:bidi="ar-SA"/>
              </w:rPr>
              <w:t>Банковские</w:t>
            </w:r>
            <w:r>
              <w:rPr>
                <w:kern w:val="0"/>
                <w:sz w:val="24"/>
                <w:szCs w:val="24"/>
                <w:lang w:val="ru-RU" w:bidi="ar-SA"/>
              </w:rPr>
              <w:t xml:space="preserve"> реквизиты:</w:t>
            </w:r>
          </w:p>
          <w:p>
            <w:pPr>
              <w:pStyle w:val="Normal"/>
              <w:widowControl w:val="false"/>
              <w:suppressAutoHyphens w:val="true"/>
              <w:spacing w:lineRule="auto" w:line="240" w:before="0" w:after="0"/>
              <w:ind w:hanging="0"/>
              <w:rPr>
                <w:sz w:val="24"/>
                <w:szCs w:val="24"/>
              </w:rPr>
            </w:pPr>
            <w:r>
              <w:rPr>
                <w:kern w:val="0"/>
                <w:sz w:val="24"/>
                <w:szCs w:val="24"/>
                <w:lang w:val="ru-RU" w:bidi="ar-SA"/>
              </w:rPr>
              <w:t>р/с 40702810793000009296</w:t>
            </w:r>
          </w:p>
          <w:p>
            <w:pPr>
              <w:pStyle w:val="Normal"/>
              <w:widowControl w:val="false"/>
              <w:suppressAutoHyphens w:val="true"/>
              <w:spacing w:lineRule="auto" w:line="240" w:before="0" w:after="0"/>
              <w:ind w:hanging="0"/>
              <w:rPr>
                <w:sz w:val="24"/>
                <w:szCs w:val="24"/>
              </w:rPr>
            </w:pPr>
            <w:r>
              <w:rPr>
                <w:kern w:val="0"/>
                <w:sz w:val="24"/>
                <w:szCs w:val="24"/>
                <w:lang w:val="ru-RU" w:bidi="ar-SA"/>
              </w:rPr>
              <w:t>в Банке ГПБ (АО) г. Москва</w:t>
            </w:r>
          </w:p>
          <w:p>
            <w:pPr>
              <w:pStyle w:val="Normal"/>
              <w:widowControl w:val="false"/>
              <w:suppressAutoHyphens w:val="true"/>
              <w:spacing w:lineRule="auto" w:line="240" w:before="0" w:after="0"/>
              <w:ind w:hanging="0"/>
              <w:rPr>
                <w:sz w:val="24"/>
                <w:szCs w:val="24"/>
              </w:rPr>
            </w:pPr>
            <w:r>
              <w:rPr>
                <w:kern w:val="0"/>
                <w:sz w:val="24"/>
                <w:szCs w:val="24"/>
                <w:lang w:val="ru-RU" w:bidi="ar-SA"/>
              </w:rPr>
              <w:t>БИК 044525823</w:t>
            </w:r>
          </w:p>
          <w:p>
            <w:pPr>
              <w:pStyle w:val="Normal"/>
              <w:widowControl w:val="false"/>
              <w:suppressAutoHyphens w:val="true"/>
              <w:spacing w:lineRule="auto" w:line="240" w:before="0" w:after="0"/>
              <w:ind w:hanging="0"/>
              <w:rPr>
                <w:sz w:val="24"/>
                <w:szCs w:val="24"/>
              </w:rPr>
            </w:pPr>
            <w:r>
              <w:rPr>
                <w:kern w:val="0"/>
                <w:sz w:val="24"/>
                <w:szCs w:val="24"/>
                <w:lang w:val="ru-RU" w:bidi="ar-SA"/>
              </w:rPr>
              <w:t>к/с 30101810200000000823</w:t>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kern w:val="0"/>
                <w:sz w:val="24"/>
                <w:szCs w:val="24"/>
                <w:lang w:val="ru-RU" w:bidi="ar-SA"/>
              </w:rPr>
              <w:t>Генеральный директор</w:t>
            </w:r>
          </w:p>
          <w:p>
            <w:pPr>
              <w:pStyle w:val="Normal"/>
              <w:widowControl w:val="false"/>
              <w:suppressAutoHyphens w:val="true"/>
              <w:spacing w:lineRule="auto" w:line="240" w:before="0" w:after="0"/>
              <w:ind w:hanging="0"/>
              <w:rPr>
                <w:sz w:val="24"/>
                <w:szCs w:val="24"/>
              </w:rPr>
            </w:pPr>
            <w:r>
              <w:rPr>
                <w:kern w:val="0"/>
                <w:sz w:val="24"/>
                <w:szCs w:val="24"/>
                <w:lang w:val="ru-RU" w:bidi="ar-SA"/>
              </w:rPr>
              <w:t>АО «Гидроремонт-ВКК»</w:t>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sz w:val="24"/>
                <w:szCs w:val="24"/>
              </w:rPr>
            </w:r>
          </w:p>
          <w:p>
            <w:pPr>
              <w:pStyle w:val="Normal"/>
              <w:widowControl w:val="false"/>
              <w:suppressAutoHyphens w:val="true"/>
              <w:spacing w:lineRule="auto" w:line="240" w:before="0" w:after="0"/>
              <w:ind w:hanging="0"/>
              <w:rPr>
                <w:sz w:val="24"/>
                <w:szCs w:val="24"/>
              </w:rPr>
            </w:pPr>
            <w:r>
              <w:rPr>
                <w:kern w:val="0"/>
                <w:sz w:val="24"/>
                <w:szCs w:val="24"/>
                <w:lang w:val="ru-RU" w:bidi="ar-SA"/>
              </w:rPr>
              <w:t>_____________________  Ханцев А.В./</w:t>
            </w:r>
          </w:p>
          <w:p>
            <w:pPr>
              <w:pStyle w:val="Normal"/>
              <w:widowControl w:val="false"/>
              <w:suppressAutoHyphens w:val="true"/>
              <w:spacing w:lineRule="auto" w:line="240" w:before="0" w:after="0"/>
              <w:ind w:hanging="0"/>
              <w:rPr>
                <w:sz w:val="24"/>
                <w:szCs w:val="24"/>
              </w:rPr>
            </w:pPr>
            <w:r>
              <w:rPr>
                <w:kern w:val="0"/>
                <w:sz w:val="24"/>
                <w:szCs w:val="24"/>
                <w:lang w:val="ru-RU" w:bidi="ar-SA"/>
              </w:rPr>
              <w:t xml:space="preserve">          </w:t>
            </w:r>
          </w:p>
          <w:p>
            <w:pPr>
              <w:pStyle w:val="Normal"/>
              <w:widowControl w:val="false"/>
              <w:suppressAutoHyphens w:val="true"/>
              <w:spacing w:lineRule="auto" w:line="240" w:before="0" w:after="0"/>
              <w:ind w:hanging="0"/>
              <w:rPr>
                <w:sz w:val="24"/>
                <w:szCs w:val="24"/>
              </w:rPr>
            </w:pPr>
            <w:r>
              <w:rPr>
                <w:kern w:val="0"/>
                <w:sz w:val="24"/>
                <w:szCs w:val="24"/>
                <w:lang w:val="ru-RU" w:bidi="ar-SA"/>
              </w:rPr>
              <w:t xml:space="preserve">   </w:t>
            </w:r>
            <w:r>
              <w:rPr>
                <w:kern w:val="0"/>
                <w:sz w:val="24"/>
                <w:szCs w:val="24"/>
                <w:lang w:val="ru-RU" w:bidi="ar-SA"/>
              </w:rPr>
              <w:t>м.п.</w:t>
            </w:r>
          </w:p>
          <w:p>
            <w:pPr>
              <w:pStyle w:val="Normal"/>
              <w:widowControl w:val="false"/>
              <w:suppressAutoHyphens w:val="true"/>
              <w:spacing w:lineRule="auto" w:line="240" w:before="0" w:after="0"/>
              <w:ind w:hanging="0"/>
              <w:rPr>
                <w:sz w:val="24"/>
                <w:szCs w:val="24"/>
              </w:rPr>
            </w:pPr>
            <w:r>
              <w:rPr>
                <w:sz w:val="24"/>
                <w:szCs w:val="24"/>
              </w:rPr>
            </w:r>
          </w:p>
        </w:tc>
        <w:tc>
          <w:tcPr>
            <w:tcW w:w="4813" w:type="dxa"/>
            <w:tcBorders>
              <w:top w:val="nil"/>
              <w:left w:val="nil"/>
              <w:bottom w:val="nil"/>
              <w:right w:val="nil"/>
            </w:tcBorders>
          </w:tcPr>
          <w:p>
            <w:pPr>
              <w:pStyle w:val="Normal"/>
              <w:widowControl w:val="false"/>
              <w:tabs>
                <w:tab w:val="clear" w:pos="708"/>
                <w:tab w:val="left" w:pos="0" w:leader="none"/>
              </w:tabs>
              <w:suppressAutoHyphens w:val="true"/>
              <w:bidi w:val="0"/>
              <w:spacing w:lineRule="auto" w:line="240" w:before="0" w:after="0"/>
              <w:ind w:hanging="0"/>
              <w:jc w:val="left"/>
              <w:rPr>
                <w:b/>
                <w:bCs/>
              </w:rPr>
            </w:pPr>
            <w:r>
              <w:rPr>
                <w:b/>
                <w:bCs/>
              </w:rPr>
            </w:r>
          </w:p>
        </w:tc>
      </w:tr>
    </w:tbl>
    <w:p>
      <w:pPr>
        <w:pStyle w:val="Normal"/>
        <w:tabs>
          <w:tab w:val="clear" w:pos="708"/>
          <w:tab w:val="left" w:pos="1418" w:leader="none"/>
        </w:tabs>
        <w:snapToGrid w:val="false"/>
        <w:spacing w:lineRule="auto" w:line="240"/>
        <w:ind w:firstLine="5103"/>
        <w:jc w:val="right"/>
        <w:rPr>
          <w:sz w:val="24"/>
          <w:szCs w:val="24"/>
        </w:rPr>
      </w:pPr>
      <w:r>
        <w:rPr>
          <w:sz w:val="24"/>
          <w:szCs w:val="24"/>
        </w:rPr>
      </w:r>
    </w:p>
    <w:p>
      <w:pPr>
        <w:pStyle w:val="Normal"/>
        <w:tabs>
          <w:tab w:val="clear" w:pos="708"/>
          <w:tab w:val="left" w:pos="1418" w:leader="none"/>
        </w:tabs>
        <w:snapToGrid w:val="false"/>
        <w:spacing w:lineRule="auto" w:line="240"/>
        <w:ind w:firstLine="5103"/>
        <w:jc w:val="right"/>
        <w:rPr>
          <w:sz w:val="24"/>
          <w:szCs w:val="24"/>
        </w:rPr>
      </w:pPr>
      <w:r>
        <w:rPr>
          <w:sz w:val="24"/>
          <w:szCs w:val="24"/>
        </w:rPr>
      </w:r>
      <w:r>
        <w:br w:type="page"/>
      </w:r>
    </w:p>
    <w:p>
      <w:pPr>
        <w:pStyle w:val="Normal"/>
        <w:tabs>
          <w:tab w:val="clear" w:pos="708"/>
          <w:tab w:val="left" w:pos="1418" w:leader="none"/>
        </w:tabs>
        <w:snapToGrid w:val="false"/>
        <w:spacing w:lineRule="auto" w:line="240"/>
        <w:ind w:firstLine="5103"/>
        <w:jc w:val="right"/>
        <w:rPr>
          <w:sz w:val="24"/>
          <w:szCs w:val="24"/>
        </w:rPr>
      </w:pPr>
      <w:r>
        <w:rPr>
          <w:sz w:val="24"/>
          <w:szCs w:val="24"/>
        </w:rPr>
        <w:t>Приложение № 1</w:t>
      </w:r>
    </w:p>
    <w:p>
      <w:pPr>
        <w:pStyle w:val="Normal"/>
        <w:tabs>
          <w:tab w:val="clear" w:pos="708"/>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8"/>
          <w:tab w:val="left" w:pos="1418" w:leader="none"/>
        </w:tabs>
        <w:snapToGrid w:val="false"/>
        <w:spacing w:lineRule="auto" w:line="240"/>
        <w:ind w:firstLine="4536"/>
        <w:jc w:val="right"/>
        <w:rPr>
          <w:sz w:val="24"/>
          <w:szCs w:val="24"/>
        </w:rPr>
      </w:pPr>
      <w:r>
        <w:rPr>
          <w:sz w:val="24"/>
          <w:szCs w:val="24"/>
        </w:rPr>
        <w:t xml:space="preserve">от «____» __________ 20__ г. № ______________ </w:t>
      </w:r>
    </w:p>
    <w:p>
      <w:pPr>
        <w:pStyle w:val="Normal"/>
        <w:tabs>
          <w:tab w:val="clear" w:pos="708"/>
          <w:tab w:val="left" w:pos="1418" w:leader="none"/>
        </w:tabs>
        <w:spacing w:lineRule="auto" w:line="240"/>
        <w:ind w:hanging="0"/>
        <w:jc w:val="center"/>
        <w:rPr>
          <w:b/>
          <w:sz w:val="24"/>
          <w:szCs w:val="24"/>
          <w:lang w:val="x-none"/>
        </w:rPr>
      </w:pPr>
      <w:r>
        <w:rPr>
          <w:b/>
          <w:sz w:val="24"/>
          <w:szCs w:val="24"/>
          <w:lang w:val="x-none"/>
        </w:rPr>
      </w:r>
    </w:p>
    <w:p>
      <w:pPr>
        <w:pStyle w:val="Normal"/>
        <w:tabs>
          <w:tab w:val="clear" w:pos="708"/>
          <w:tab w:val="left" w:pos="1418" w:leader="none"/>
        </w:tabs>
        <w:spacing w:lineRule="auto" w:line="240"/>
        <w:ind w:hanging="0"/>
        <w:jc w:val="center"/>
        <w:rPr>
          <w:b/>
          <w:sz w:val="24"/>
          <w:szCs w:val="24"/>
          <w:lang w:val="x-none"/>
        </w:rPr>
      </w:pPr>
      <w:r>
        <w:rPr>
          <w:b/>
          <w:sz w:val="24"/>
          <w:szCs w:val="24"/>
          <w:lang w:val="x-none"/>
        </w:rPr>
      </w:r>
    </w:p>
    <w:p>
      <w:pPr>
        <w:pStyle w:val="Normal"/>
        <w:tabs>
          <w:tab w:val="clear" w:pos="708"/>
          <w:tab w:val="left" w:pos="1418" w:leader="none"/>
        </w:tabs>
        <w:spacing w:lineRule="auto" w:line="240"/>
        <w:ind w:hanging="0"/>
        <w:jc w:val="center"/>
        <w:rPr>
          <w:b/>
          <w:sz w:val="24"/>
          <w:szCs w:val="24"/>
        </w:rPr>
      </w:pPr>
      <w:r>
        <w:rPr>
          <w:b/>
          <w:sz w:val="24"/>
          <w:szCs w:val="24"/>
          <w:lang w:val="x-none"/>
        </w:rPr>
        <w:t>Акт</w:t>
      </w:r>
      <w:r>
        <w:rPr>
          <w:b/>
          <w:sz w:val="24"/>
          <w:szCs w:val="24"/>
        </w:rPr>
        <w:t xml:space="preserve"> об исполнении обязательств </w:t>
      </w:r>
    </w:p>
    <w:p>
      <w:pPr>
        <w:pStyle w:val="Normal"/>
        <w:tabs>
          <w:tab w:val="clear" w:pos="708"/>
          <w:tab w:val="left" w:pos="1418" w:leader="none"/>
        </w:tabs>
        <w:spacing w:lineRule="auto" w:line="240"/>
        <w:ind w:hanging="0"/>
        <w:jc w:val="center"/>
        <w:rPr>
          <w:b/>
          <w:sz w:val="24"/>
          <w:szCs w:val="24"/>
        </w:rPr>
      </w:pPr>
      <w:r>
        <w:rPr>
          <w:b/>
          <w:sz w:val="24"/>
          <w:szCs w:val="24"/>
        </w:rPr>
        <w:t xml:space="preserve">по передаче права использования ПО </w:t>
      </w:r>
    </w:p>
    <w:p>
      <w:pPr>
        <w:pStyle w:val="Normal"/>
        <w:tabs>
          <w:tab w:val="clear" w:pos="708"/>
          <w:tab w:val="left" w:pos="1418" w:leader="none"/>
        </w:tabs>
        <w:spacing w:lineRule="auto" w:line="240"/>
        <w:ind w:hanging="0"/>
        <w:jc w:val="center"/>
        <w:rPr>
          <w:sz w:val="24"/>
          <w:szCs w:val="24"/>
        </w:rPr>
      </w:pPr>
      <w:r>
        <w:rPr>
          <w:b/>
          <w:sz w:val="24"/>
          <w:szCs w:val="24"/>
        </w:rPr>
        <w:t>(форма)</w:t>
      </w:r>
    </w:p>
    <w:p>
      <w:pPr>
        <w:pStyle w:val="Normal"/>
        <w:tabs>
          <w:tab w:val="clear" w:pos="708"/>
          <w:tab w:val="left" w:pos="1418" w:leader="none"/>
        </w:tabs>
        <w:spacing w:lineRule="auto" w:line="240"/>
        <w:ind w:hanging="0"/>
        <w:rPr>
          <w:sz w:val="24"/>
          <w:szCs w:val="24"/>
        </w:rPr>
      </w:pPr>
      <w:r>
        <w:rPr>
          <w:sz w:val="24"/>
          <w:szCs w:val="24"/>
        </w:rPr>
      </w:r>
    </w:p>
    <w:tbl>
      <w:tblPr>
        <w:tblW w:w="95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571"/>
      </w:tblGrid>
      <w:tr>
        <w:trPr/>
        <w:tc>
          <w:tcPr>
            <w:tcW w:w="95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418" w:leader="none"/>
              </w:tabs>
              <w:spacing w:lineRule="auto" w:line="240"/>
              <w:ind w:hanging="0"/>
              <w:jc w:val="center"/>
              <w:rPr>
                <w:bCs/>
                <w:sz w:val="24"/>
                <w:szCs w:val="24"/>
                <w:lang w:val="x-none" w:eastAsia="x-none"/>
              </w:rPr>
            </w:pPr>
            <w:r>
              <w:rPr>
                <w:bCs/>
                <w:sz w:val="24"/>
                <w:szCs w:val="24"/>
                <w:lang w:val="x-none" w:eastAsia="x-none"/>
              </w:rPr>
              <w:t>Акт</w:t>
            </w:r>
          </w:p>
          <w:p>
            <w:pPr>
              <w:pStyle w:val="Normal"/>
              <w:widowControl w:val="false"/>
              <w:tabs>
                <w:tab w:val="clear" w:pos="708"/>
                <w:tab w:val="left" w:pos="1418" w:leader="none"/>
              </w:tabs>
              <w:spacing w:lineRule="auto" w:line="240"/>
              <w:ind w:hanging="0"/>
              <w:jc w:val="center"/>
              <w:rPr>
                <w:sz w:val="24"/>
                <w:szCs w:val="24"/>
              </w:rPr>
            </w:pPr>
            <w:r>
              <w:rPr>
                <w:sz w:val="24"/>
                <w:szCs w:val="24"/>
              </w:rPr>
              <w:t>об исполнении обязательств по передаче права использования ПО</w:t>
            </w:r>
          </w:p>
          <w:p>
            <w:pPr>
              <w:pStyle w:val="Normal"/>
              <w:widowControl w:val="false"/>
              <w:tabs>
                <w:tab w:val="clear" w:pos="708"/>
                <w:tab w:val="left" w:pos="1418" w:leader="none"/>
              </w:tabs>
              <w:snapToGrid w:val="false"/>
              <w:spacing w:lineRule="auto" w:line="240"/>
              <w:ind w:hanging="0"/>
              <w:rPr>
                <w:sz w:val="24"/>
                <w:szCs w:val="24"/>
              </w:rPr>
            </w:pPr>
            <w:r>
              <w:rPr>
                <w:sz w:val="24"/>
                <w:szCs w:val="24"/>
              </w:rPr>
              <w:t>г.___________                                                                                   «_____» _________202_г.</w:t>
            </w:r>
          </w:p>
          <w:p>
            <w:pPr>
              <w:pStyle w:val="Normal"/>
              <w:widowControl w:val="false"/>
              <w:tabs>
                <w:tab w:val="clear" w:pos="708"/>
                <w:tab w:val="left" w:pos="1418" w:leader="none"/>
              </w:tabs>
              <w:snapToGrid w:val="false"/>
              <w:spacing w:lineRule="auto" w:line="240"/>
              <w:ind w:hanging="0"/>
              <w:rPr>
                <w:sz w:val="24"/>
                <w:szCs w:val="24"/>
              </w:rPr>
            </w:pPr>
            <w:r>
              <w:rPr>
                <w:sz w:val="24"/>
                <w:szCs w:val="24"/>
              </w:rPr>
            </w:r>
          </w:p>
          <w:p>
            <w:pPr>
              <w:pStyle w:val="Normal"/>
              <w:widowControl w:val="false"/>
              <w:tabs>
                <w:tab w:val="clear" w:pos="708"/>
                <w:tab w:val="left" w:pos="1418" w:leader="none"/>
              </w:tabs>
              <w:snapToGrid w:val="false"/>
              <w:spacing w:lineRule="auto" w:line="240"/>
              <w:ind w:hanging="0"/>
              <w:rPr>
                <w:sz w:val="24"/>
                <w:szCs w:val="24"/>
              </w:rPr>
            </w:pPr>
            <w:r>
              <w:rPr>
                <w:sz w:val="24"/>
                <w:szCs w:val="24"/>
              </w:rPr>
              <w:t xml:space="preserve">____________________, именуемое далее «Лицензиар», в лице ________________, действующего на основании ______________, </w:t>
            </w:r>
          </w:p>
          <w:p>
            <w:pPr>
              <w:pStyle w:val="Normal"/>
              <w:widowControl w:val="false"/>
              <w:tabs>
                <w:tab w:val="clear" w:pos="708"/>
                <w:tab w:val="left" w:pos="1418" w:leader="none"/>
              </w:tabs>
              <w:snapToGrid w:val="false"/>
              <w:spacing w:lineRule="auto" w:line="240"/>
              <w:ind w:hanging="0"/>
              <w:rPr>
                <w:bCs/>
                <w:sz w:val="24"/>
                <w:szCs w:val="24"/>
              </w:rPr>
            </w:pPr>
            <w:r>
              <w:rPr>
                <w:sz w:val="24"/>
                <w:szCs w:val="24"/>
              </w:rPr>
              <w:t xml:space="preserve">____________________, именуемое далее «Лицензиат», в лице ________________, действующего на основании ______________, составили настоящий акт о том, что Лицензиар надлежащим образом исполнил свое обязательство по передаче прав использования ПО </w:t>
            </w:r>
            <w:r>
              <w:rPr>
                <w:bCs/>
                <w:sz w:val="24"/>
                <w:szCs w:val="24"/>
              </w:rPr>
              <w:t xml:space="preserve">по Лицензионному </w:t>
            </w:r>
            <w:r>
              <w:rPr>
                <w:sz w:val="24"/>
                <w:szCs w:val="24"/>
              </w:rPr>
              <w:t>договору</w:t>
            </w:r>
            <w:r>
              <w:rPr>
                <w:bCs/>
                <w:sz w:val="24"/>
                <w:szCs w:val="24"/>
              </w:rPr>
              <w:t xml:space="preserve"> №______ от __________на следующие ПО:</w:t>
            </w:r>
          </w:p>
          <w:p>
            <w:pPr>
              <w:pStyle w:val="Normal"/>
              <w:widowControl w:val="false"/>
              <w:tabs>
                <w:tab w:val="clear" w:pos="708"/>
                <w:tab w:val="left" w:pos="1418" w:leader="none"/>
              </w:tabs>
              <w:snapToGrid w:val="false"/>
              <w:spacing w:lineRule="auto" w:line="240"/>
              <w:ind w:hanging="0"/>
              <w:rPr>
                <w:bCs/>
                <w:sz w:val="24"/>
                <w:szCs w:val="24"/>
              </w:rPr>
            </w:pPr>
            <w:r>
              <w:rPr>
                <w:bCs/>
                <w:sz w:val="24"/>
                <w:szCs w:val="24"/>
              </w:rPr>
            </w:r>
          </w:p>
          <w:tbl>
            <w:tblPr>
              <w:tblW w:w="94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21"/>
              <w:gridCol w:w="867"/>
              <w:gridCol w:w="547"/>
              <w:gridCol w:w="734"/>
              <w:gridCol w:w="340"/>
              <w:gridCol w:w="596"/>
              <w:gridCol w:w="572"/>
              <w:gridCol w:w="1042"/>
              <w:gridCol w:w="684"/>
              <w:gridCol w:w="1017"/>
              <w:gridCol w:w="1424"/>
              <w:gridCol w:w="1269"/>
            </w:tblGrid>
            <w:tr>
              <w:trPr>
                <w:trHeight w:val="500" w:hRule="atLeast"/>
              </w:trPr>
              <w:tc>
                <w:tcPr>
                  <w:tcW w:w="321"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napToGrid w:val="false"/>
                    <w:spacing w:lineRule="auto" w:line="240"/>
                    <w:ind w:hanging="0"/>
                    <w:rPr>
                      <w:b/>
                      <w:sz w:val="14"/>
                      <w:szCs w:val="14"/>
                    </w:rPr>
                  </w:pPr>
                  <w:r>
                    <w:rPr>
                      <w:b/>
                      <w:sz w:val="14"/>
                      <w:szCs w:val="14"/>
                    </w:rPr>
                    <w:t xml:space="preserve">№ </w:t>
                  </w:r>
                  <w:r>
                    <w:rPr>
                      <w:b/>
                      <w:sz w:val="14"/>
                      <w:szCs w:val="14"/>
                    </w:rPr>
                    <w:t>п\п</w:t>
                  </w:r>
                </w:p>
              </w:tc>
              <w:tc>
                <w:tcPr>
                  <w:tcW w:w="867"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Артикул/код</w:t>
                  </w:r>
                </w:p>
              </w:tc>
              <w:tc>
                <w:tcPr>
                  <w:tcW w:w="1281" w:type="dxa"/>
                  <w:gridSpan w:val="2"/>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Наименование ПО</w:t>
                  </w:r>
                </w:p>
              </w:tc>
              <w:tc>
                <w:tcPr>
                  <w:tcW w:w="936" w:type="dxa"/>
                  <w:gridSpan w:val="2"/>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Номер в РРПО</w:t>
                  </w:r>
                  <w:r>
                    <w:rPr>
                      <w:rStyle w:val="FootnoteReference"/>
                      <w:b/>
                      <w:sz w:val="14"/>
                      <w:szCs w:val="14"/>
                    </w:rPr>
                    <w:footnoteReference w:id="2"/>
                  </w:r>
                </w:p>
              </w:tc>
              <w:tc>
                <w:tcPr>
                  <w:tcW w:w="572"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rPr>
                      <w:b/>
                      <w:sz w:val="14"/>
                      <w:szCs w:val="14"/>
                    </w:rPr>
                  </w:pPr>
                  <w:r>
                    <w:rPr>
                      <w:b/>
                      <w:sz w:val="14"/>
                      <w:szCs w:val="14"/>
                    </w:rPr>
                    <w:t>Ед. изм</w:t>
                  </w:r>
                </w:p>
              </w:tc>
              <w:tc>
                <w:tcPr>
                  <w:tcW w:w="1042"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Количество</w:t>
                  </w:r>
                </w:p>
              </w:tc>
              <w:tc>
                <w:tcPr>
                  <w:tcW w:w="684"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Цена, руб. без НДС</w:t>
                  </w:r>
                </w:p>
              </w:tc>
              <w:tc>
                <w:tcPr>
                  <w:tcW w:w="1017"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Стоимость, руб. без НДС</w:t>
                  </w:r>
                </w:p>
              </w:tc>
              <w:tc>
                <w:tcPr>
                  <w:tcW w:w="1424"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Дата начала предоставления права использования ПО</w:t>
                  </w:r>
                </w:p>
              </w:tc>
              <w:tc>
                <w:tcPr>
                  <w:tcW w:w="1269" w:type="dxa"/>
                  <w:tcBorders>
                    <w:top w:val="single" w:sz="6" w:space="0" w:color="000000"/>
                    <w:left w:val="single" w:sz="6" w:space="0" w:color="000000"/>
                    <w:bottom w:val="single" w:sz="6" w:space="0" w:color="000000"/>
                    <w:right w:val="single" w:sz="6" w:space="0" w:color="000000"/>
                  </w:tcBorders>
                  <w:shd w:color="auto" w:fill="D0CECE" w:val="clear"/>
                </w:tcPr>
                <w:p>
                  <w:pPr>
                    <w:pStyle w:val="Normal"/>
                    <w:widowControl w:val="false"/>
                    <w:spacing w:lineRule="auto" w:line="240"/>
                    <w:ind w:hanging="0"/>
                    <w:jc w:val="center"/>
                    <w:rPr>
                      <w:b/>
                      <w:sz w:val="14"/>
                      <w:szCs w:val="14"/>
                    </w:rPr>
                  </w:pPr>
                  <w:r>
                    <w:rPr>
                      <w:b/>
                      <w:sz w:val="14"/>
                      <w:szCs w:val="14"/>
                    </w:rPr>
                    <w:t>Дата окончания предоставления права использования ПО</w:t>
                  </w:r>
                </w:p>
              </w:tc>
            </w:tr>
            <w:tr>
              <w:trPr>
                <w:trHeight w:val="145" w:hRule="atLeast"/>
              </w:trPr>
              <w:tc>
                <w:tcPr>
                  <w:tcW w:w="3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4"/>
                      <w:szCs w:val="14"/>
                    </w:rPr>
                  </w:pPr>
                  <w:r>
                    <w:rPr>
                      <w:sz w:val="14"/>
                      <w:szCs w:val="14"/>
                    </w:rPr>
                  </w:r>
                </w:p>
              </w:tc>
              <w:tc>
                <w:tcPr>
                  <w:tcW w:w="86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8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93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57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68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4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r>
            <w:tr>
              <w:trPr>
                <w:trHeight w:val="157" w:hRule="atLeast"/>
              </w:trPr>
              <w:tc>
                <w:tcPr>
                  <w:tcW w:w="3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4"/>
                      <w:szCs w:val="14"/>
                    </w:rPr>
                  </w:pPr>
                  <w:r>
                    <w:rPr>
                      <w:sz w:val="14"/>
                      <w:szCs w:val="14"/>
                    </w:rPr>
                  </w:r>
                </w:p>
              </w:tc>
              <w:tc>
                <w:tcPr>
                  <w:tcW w:w="86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8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93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57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68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4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r>
            <w:tr>
              <w:trPr>
                <w:trHeight w:val="157" w:hRule="atLeast"/>
              </w:trPr>
              <w:tc>
                <w:tcPr>
                  <w:tcW w:w="32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rPr>
                      <w:sz w:val="14"/>
                      <w:szCs w:val="14"/>
                    </w:rPr>
                  </w:pPr>
                  <w:r>
                    <w:rPr>
                      <w:sz w:val="14"/>
                      <w:szCs w:val="14"/>
                    </w:rPr>
                  </w:r>
                </w:p>
              </w:tc>
              <w:tc>
                <w:tcPr>
                  <w:tcW w:w="86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81"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936"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57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68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1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42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6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r>
            <w:tr>
              <w:trPr>
                <w:trHeight w:val="145" w:hRule="atLeast"/>
              </w:trPr>
              <w:tc>
                <w:tcPr>
                  <w:tcW w:w="321"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rPr>
                      <w:sz w:val="14"/>
                      <w:szCs w:val="14"/>
                    </w:rPr>
                  </w:pPr>
                  <w:r>
                    <w:rPr>
                      <w:sz w:val="14"/>
                      <w:szCs w:val="14"/>
                    </w:rPr>
                  </w:r>
                </w:p>
              </w:tc>
              <w:tc>
                <w:tcPr>
                  <w:tcW w:w="867"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281" w:type="dxa"/>
                  <w:gridSpan w:val="2"/>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936" w:type="dxa"/>
                  <w:gridSpan w:val="2"/>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572"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042"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684" w:type="dxa"/>
                  <w:tcBorders>
                    <w:top w:val="single" w:sz="6" w:space="0" w:color="000000"/>
                    <w:left w:val="single" w:sz="6" w:space="0" w:color="000000"/>
                    <w:bottom w:val="single" w:sz="4" w:space="0" w:color="000000"/>
                    <w:right w:val="single" w:sz="4" w:space="0" w:color="000000"/>
                  </w:tcBorders>
                </w:tcPr>
                <w:p>
                  <w:pPr>
                    <w:pStyle w:val="Normal"/>
                    <w:widowControl w:val="false"/>
                    <w:spacing w:lineRule="auto" w:line="240"/>
                    <w:ind w:firstLine="34"/>
                    <w:rPr>
                      <w:sz w:val="14"/>
                      <w:szCs w:val="14"/>
                    </w:rPr>
                  </w:pPr>
                  <w:r>
                    <w:rPr>
                      <w:sz w:val="14"/>
                      <w:szCs w:val="14"/>
                    </w:rPr>
                  </w:r>
                </w:p>
              </w:tc>
              <w:tc>
                <w:tcPr>
                  <w:tcW w:w="1017"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c>
                <w:tcPr>
                  <w:tcW w:w="1424" w:type="dxa"/>
                  <w:tcBorders>
                    <w:top w:val="single" w:sz="6" w:space="0" w:color="000000"/>
                    <w:left w:val="single" w:sz="4" w:space="0" w:color="000000"/>
                    <w:bottom w:val="single" w:sz="6" w:space="0" w:color="000000"/>
                    <w:right w:val="single" w:sz="4" w:space="0" w:color="000000"/>
                  </w:tcBorders>
                </w:tcPr>
                <w:p>
                  <w:pPr>
                    <w:pStyle w:val="Normal"/>
                    <w:widowControl w:val="false"/>
                    <w:spacing w:lineRule="auto" w:line="240"/>
                    <w:ind w:firstLine="34"/>
                    <w:rPr>
                      <w:sz w:val="14"/>
                      <w:szCs w:val="14"/>
                    </w:rPr>
                  </w:pPr>
                  <w:r>
                    <w:rPr>
                      <w:sz w:val="14"/>
                      <w:szCs w:val="14"/>
                    </w:rPr>
                  </w:r>
                </w:p>
              </w:tc>
              <w:tc>
                <w:tcPr>
                  <w:tcW w:w="1269"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ind w:firstLine="34"/>
                    <w:rPr>
                      <w:sz w:val="14"/>
                      <w:szCs w:val="14"/>
                    </w:rPr>
                  </w:pPr>
                  <w:r>
                    <w:rPr>
                      <w:sz w:val="14"/>
                      <w:szCs w:val="14"/>
                    </w:rPr>
                  </w:r>
                </w:p>
              </w:tc>
            </w:tr>
            <w:tr>
              <w:trPr>
                <w:trHeight w:val="157" w:hRule="atLeast"/>
              </w:trPr>
              <w:tc>
                <w:tcPr>
                  <w:tcW w:w="1735" w:type="dxa"/>
                  <w:gridSpan w:val="3"/>
                  <w:tcBorders>
                    <w:top w:val="single" w:sz="4" w:space="0" w:color="000000"/>
                  </w:tcBorders>
                </w:tcPr>
                <w:p>
                  <w:pPr>
                    <w:pStyle w:val="Normal"/>
                    <w:widowControl w:val="false"/>
                    <w:spacing w:lineRule="auto" w:line="240"/>
                    <w:jc w:val="right"/>
                    <w:rPr>
                      <w:b/>
                      <w:sz w:val="14"/>
                      <w:szCs w:val="14"/>
                    </w:rPr>
                  </w:pPr>
                  <w:r>
                    <w:rPr>
                      <w:b/>
                      <w:sz w:val="14"/>
                      <w:szCs w:val="14"/>
                    </w:rPr>
                  </w:r>
                </w:p>
              </w:tc>
              <w:tc>
                <w:tcPr>
                  <w:tcW w:w="1074" w:type="dxa"/>
                  <w:gridSpan w:val="2"/>
                  <w:tcBorders>
                    <w:top w:val="single" w:sz="4" w:space="0" w:color="000000"/>
                  </w:tcBorders>
                </w:tcPr>
                <w:p>
                  <w:pPr>
                    <w:pStyle w:val="Normal"/>
                    <w:widowControl w:val="false"/>
                    <w:spacing w:lineRule="auto" w:line="240"/>
                    <w:jc w:val="right"/>
                    <w:rPr>
                      <w:b/>
                      <w:sz w:val="14"/>
                      <w:szCs w:val="14"/>
                    </w:rPr>
                  </w:pPr>
                  <w:r>
                    <w:rPr>
                      <w:b/>
                      <w:sz w:val="14"/>
                      <w:szCs w:val="14"/>
                    </w:rPr>
                  </w:r>
                </w:p>
              </w:tc>
              <w:tc>
                <w:tcPr>
                  <w:tcW w:w="2894" w:type="dxa"/>
                  <w:gridSpan w:val="4"/>
                  <w:tcBorders>
                    <w:top w:val="single" w:sz="4" w:space="0" w:color="000000"/>
                    <w:right w:val="single" w:sz="4" w:space="0" w:color="000000"/>
                  </w:tcBorders>
                </w:tcPr>
                <w:p>
                  <w:pPr>
                    <w:pStyle w:val="Normal"/>
                    <w:widowControl w:val="false"/>
                    <w:spacing w:lineRule="auto" w:line="240"/>
                    <w:jc w:val="right"/>
                    <w:rPr>
                      <w:b/>
                      <w:sz w:val="14"/>
                      <w:szCs w:val="14"/>
                    </w:rPr>
                  </w:pPr>
                  <w:r>
                    <w:rPr>
                      <w:b/>
                      <w:sz w:val="14"/>
                      <w:szCs w:val="14"/>
                    </w:rPr>
                    <w:t>Итого:</w:t>
                  </w:r>
                </w:p>
              </w:tc>
              <w:tc>
                <w:tcPr>
                  <w:tcW w:w="1017"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ind w:hanging="0"/>
                    <w:rPr>
                      <w:b/>
                      <w:sz w:val="14"/>
                      <w:szCs w:val="14"/>
                    </w:rPr>
                  </w:pPr>
                  <w:r>
                    <w:rPr>
                      <w:b/>
                      <w:sz w:val="14"/>
                      <w:szCs w:val="14"/>
                    </w:rPr>
                  </w:r>
                </w:p>
              </w:tc>
              <w:tc>
                <w:tcPr>
                  <w:tcW w:w="1424" w:type="dxa"/>
                  <w:tcBorders>
                    <w:top w:val="single" w:sz="6" w:space="0" w:color="000000"/>
                    <w:left w:val="single" w:sz="4" w:space="0" w:color="000000"/>
                    <w:bottom w:val="single" w:sz="6" w:space="0" w:color="000000"/>
                    <w:right w:val="single" w:sz="4" w:space="0" w:color="000000"/>
                  </w:tcBorders>
                </w:tcPr>
                <w:p>
                  <w:pPr>
                    <w:pStyle w:val="Normal"/>
                    <w:widowControl w:val="false"/>
                    <w:spacing w:lineRule="auto" w:line="240"/>
                    <w:rPr>
                      <w:b/>
                      <w:sz w:val="14"/>
                      <w:szCs w:val="14"/>
                    </w:rPr>
                  </w:pPr>
                  <w:r>
                    <w:rPr>
                      <w:b/>
                      <w:sz w:val="14"/>
                      <w:szCs w:val="14"/>
                    </w:rPr>
                  </w:r>
                </w:p>
              </w:tc>
              <w:tc>
                <w:tcPr>
                  <w:tcW w:w="1269" w:type="dxa"/>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ind w:firstLine="7"/>
                    <w:rPr>
                      <w:b/>
                      <w:sz w:val="14"/>
                      <w:szCs w:val="14"/>
                    </w:rPr>
                  </w:pPr>
                  <w:r>
                    <w:rPr>
                      <w:b/>
                      <w:sz w:val="14"/>
                      <w:szCs w:val="14"/>
                    </w:rPr>
                  </w:r>
                </w:p>
              </w:tc>
            </w:tr>
          </w:tbl>
          <w:p>
            <w:pPr>
              <w:pStyle w:val="Normal"/>
              <w:widowControl w:val="false"/>
              <w:spacing w:lineRule="auto" w:line="240"/>
              <w:ind w:hanging="0"/>
              <w:jc w:val="left"/>
              <w:rPr>
                <w:rFonts w:ascii="Times New Roman" w:hAnsi="Times New Roman"/>
              </w:rPr>
            </w:pPr>
            <w:r>
              <w:rPr>
                <w:rFonts w:eastAsia="Calibri" w:cs="TimesNewRomanPSMT" w:eastAsiaTheme="minorHAnsi"/>
                <w:sz w:val="22"/>
                <w:szCs w:val="22"/>
                <w:lang w:eastAsia="en-US"/>
              </w:rPr>
              <w:t xml:space="preserve">Итого на сумму: </w:t>
            </w:r>
            <w:r>
              <w:rPr>
                <w:rFonts w:eastAsia="Calibri" w:cs="TimesNewRomanPS-BoldMT" w:eastAsiaTheme="minorHAnsi"/>
                <w:bCs/>
                <w:sz w:val="22"/>
                <w:szCs w:val="22"/>
                <w:lang w:eastAsia="en-US"/>
              </w:rPr>
              <w:t xml:space="preserve">_________, </w:t>
            </w:r>
            <w:r>
              <w:rPr>
                <w:rFonts w:eastAsia="Calibri" w:cs="TimesNewRomanPSMT" w:eastAsiaTheme="minorHAnsi"/>
                <w:sz w:val="22"/>
                <w:szCs w:val="22"/>
                <w:lang w:eastAsia="en-US"/>
              </w:rPr>
              <w:t>НДС не облагается на основании подпункта 26 пункта 2 статьи 149 Налогового кодекса Российской Федерации.</w:t>
            </w:r>
          </w:p>
          <w:p>
            <w:pPr>
              <w:pStyle w:val="Normal"/>
              <w:widowControl w:val="false"/>
              <w:tabs>
                <w:tab w:val="clear" w:pos="708"/>
                <w:tab w:val="left" w:pos="1418" w:leader="none"/>
              </w:tabs>
              <w:snapToGrid w:val="false"/>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cPr>
                <w:p>
                  <w:pPr>
                    <w:pStyle w:val="Normal"/>
                    <w:widowControl w:val="false"/>
                    <w:tabs>
                      <w:tab w:val="clear" w:pos="708"/>
                      <w:tab w:val="left" w:pos="1418" w:leader="none"/>
                    </w:tabs>
                    <w:snapToGrid w:val="false"/>
                    <w:spacing w:lineRule="auto" w:line="240"/>
                    <w:ind w:hanging="0"/>
                    <w:rPr>
                      <w:bCs/>
                      <w:sz w:val="24"/>
                      <w:szCs w:val="24"/>
                    </w:rPr>
                  </w:pPr>
                  <w:r>
                    <w:rPr>
                      <w:bCs/>
                      <w:sz w:val="24"/>
                      <w:szCs w:val="24"/>
                    </w:rPr>
                    <w:t>Лицензиат:</w:t>
                  </w:r>
                </w:p>
              </w:tc>
              <w:tc>
                <w:tcPr>
                  <w:tcW w:w="4785" w:type="dxa"/>
                  <w:tcBorders/>
                </w:tcPr>
                <w:p>
                  <w:pPr>
                    <w:pStyle w:val="Normal"/>
                    <w:widowControl w:val="false"/>
                    <w:tabs>
                      <w:tab w:val="clear" w:pos="708"/>
                      <w:tab w:val="left" w:pos="1418" w:leader="none"/>
                    </w:tabs>
                    <w:snapToGrid w:val="false"/>
                    <w:spacing w:lineRule="auto" w:line="240"/>
                    <w:ind w:hanging="0"/>
                    <w:rPr>
                      <w:bCs/>
                      <w:sz w:val="24"/>
                      <w:szCs w:val="24"/>
                    </w:rPr>
                  </w:pPr>
                  <w:r>
                    <w:rPr>
                      <w:bCs/>
                      <w:sz w:val="24"/>
                      <w:szCs w:val="24"/>
                    </w:rPr>
                    <w:t>Лицензиар:</w:t>
                  </w:r>
                </w:p>
              </w:tc>
            </w:tr>
            <w:tr>
              <w:trPr/>
              <w:tc>
                <w:tcPr>
                  <w:tcW w:w="4785" w:type="dxa"/>
                  <w:tcBorders/>
                </w:tcPr>
                <w:p>
                  <w:pPr>
                    <w:pStyle w:val="Normal"/>
                    <w:widowControl w:val="false"/>
                    <w:tabs>
                      <w:tab w:val="clear" w:pos="708"/>
                      <w:tab w:val="left" w:pos="1418" w:leader="none"/>
                    </w:tabs>
                    <w:snapToGrid w:val="false"/>
                    <w:spacing w:lineRule="auto" w:line="240"/>
                    <w:ind w:hanging="0"/>
                    <w:rPr>
                      <w:sz w:val="24"/>
                      <w:szCs w:val="24"/>
                    </w:rPr>
                  </w:pPr>
                  <w:r>
                    <w:rPr>
                      <w:sz w:val="24"/>
                      <w:szCs w:val="24"/>
                    </w:rPr>
                  </w:r>
                </w:p>
                <w:p>
                  <w:pPr>
                    <w:pStyle w:val="Normal"/>
                    <w:widowControl w:val="false"/>
                    <w:tabs>
                      <w:tab w:val="clear" w:pos="708"/>
                      <w:tab w:val="left" w:pos="1418" w:leader="none"/>
                    </w:tabs>
                    <w:snapToGrid w:val="false"/>
                    <w:spacing w:lineRule="auto" w:line="240"/>
                    <w:ind w:hanging="0"/>
                    <w:rPr>
                      <w:sz w:val="24"/>
                      <w:szCs w:val="24"/>
                    </w:rPr>
                  </w:pPr>
                  <w:r>
                    <w:rPr>
                      <w:sz w:val="24"/>
                      <w:szCs w:val="24"/>
                    </w:rPr>
                  </w:r>
                </w:p>
                <w:p>
                  <w:pPr>
                    <w:pStyle w:val="Normal"/>
                    <w:widowControl w:val="false"/>
                    <w:tabs>
                      <w:tab w:val="clear" w:pos="708"/>
                      <w:tab w:val="left" w:pos="1418" w:leader="none"/>
                    </w:tabs>
                    <w:snapToGrid w:val="false"/>
                    <w:spacing w:lineRule="auto" w:line="240"/>
                    <w:ind w:hanging="0"/>
                    <w:rPr>
                      <w:sz w:val="24"/>
                      <w:szCs w:val="24"/>
                    </w:rPr>
                  </w:pPr>
                  <w:r>
                    <w:rPr>
                      <w:sz w:val="24"/>
                      <w:szCs w:val="24"/>
                    </w:rPr>
                    <w:t xml:space="preserve">_______________ / _______________ </w:t>
                  </w:r>
                </w:p>
                <w:p>
                  <w:pPr>
                    <w:pStyle w:val="Normal"/>
                    <w:widowControl w:val="false"/>
                    <w:tabs>
                      <w:tab w:val="clear" w:pos="708"/>
                      <w:tab w:val="left" w:pos="1418" w:leader="none"/>
                    </w:tabs>
                    <w:snapToGrid w:val="false"/>
                    <w:spacing w:lineRule="auto" w:line="240"/>
                    <w:ind w:hanging="0"/>
                    <w:rPr>
                      <w:sz w:val="24"/>
                      <w:szCs w:val="24"/>
                    </w:rPr>
                  </w:pPr>
                  <w:r>
                    <w:rPr>
                      <w:sz w:val="24"/>
                      <w:szCs w:val="24"/>
                    </w:rPr>
                  </w:r>
                </w:p>
              </w:tc>
              <w:tc>
                <w:tcPr>
                  <w:tcW w:w="4785" w:type="dxa"/>
                  <w:tcBorders/>
                </w:tcPr>
                <w:p>
                  <w:pPr>
                    <w:pStyle w:val="Normal"/>
                    <w:widowControl w:val="false"/>
                    <w:tabs>
                      <w:tab w:val="clear" w:pos="708"/>
                      <w:tab w:val="left" w:pos="1418" w:leader="none"/>
                    </w:tabs>
                    <w:snapToGrid w:val="false"/>
                    <w:spacing w:lineRule="auto" w:line="240"/>
                    <w:ind w:hanging="0"/>
                    <w:rPr>
                      <w:sz w:val="24"/>
                      <w:szCs w:val="24"/>
                    </w:rPr>
                  </w:pPr>
                  <w:r>
                    <w:rPr>
                      <w:sz w:val="24"/>
                      <w:szCs w:val="24"/>
                    </w:rPr>
                  </w:r>
                </w:p>
                <w:p>
                  <w:pPr>
                    <w:pStyle w:val="Normal"/>
                    <w:widowControl w:val="false"/>
                    <w:tabs>
                      <w:tab w:val="clear" w:pos="708"/>
                      <w:tab w:val="left" w:pos="1418" w:leader="none"/>
                    </w:tabs>
                    <w:snapToGrid w:val="false"/>
                    <w:spacing w:lineRule="auto" w:line="240"/>
                    <w:ind w:hanging="0"/>
                    <w:rPr>
                      <w:sz w:val="24"/>
                      <w:szCs w:val="24"/>
                    </w:rPr>
                  </w:pPr>
                  <w:r>
                    <w:rPr>
                      <w:sz w:val="24"/>
                      <w:szCs w:val="24"/>
                    </w:rPr>
                  </w:r>
                </w:p>
                <w:p>
                  <w:pPr>
                    <w:pStyle w:val="Normal"/>
                    <w:widowControl w:val="false"/>
                    <w:tabs>
                      <w:tab w:val="clear" w:pos="708"/>
                      <w:tab w:val="left" w:pos="1418" w:leader="none"/>
                    </w:tabs>
                    <w:snapToGrid w:val="false"/>
                    <w:spacing w:lineRule="auto" w:line="240"/>
                    <w:ind w:hanging="0"/>
                    <w:rPr>
                      <w:sz w:val="24"/>
                      <w:szCs w:val="24"/>
                    </w:rPr>
                  </w:pPr>
                  <w:r>
                    <w:rPr>
                      <w:sz w:val="24"/>
                      <w:szCs w:val="24"/>
                    </w:rPr>
                    <w:t xml:space="preserve">_______________ / _______________ </w:t>
                  </w:r>
                </w:p>
                <w:p>
                  <w:pPr>
                    <w:pStyle w:val="Normal"/>
                    <w:widowControl w:val="false"/>
                    <w:tabs>
                      <w:tab w:val="clear" w:pos="708"/>
                      <w:tab w:val="left" w:pos="1418" w:leader="none"/>
                    </w:tabs>
                    <w:snapToGrid w:val="false"/>
                    <w:spacing w:lineRule="auto" w:line="240"/>
                    <w:ind w:hanging="0"/>
                    <w:rPr>
                      <w:sz w:val="24"/>
                      <w:szCs w:val="24"/>
                    </w:rPr>
                  </w:pPr>
                  <w:r>
                    <w:rPr>
                      <w:sz w:val="24"/>
                      <w:szCs w:val="24"/>
                    </w:rPr>
                  </w:r>
                </w:p>
              </w:tc>
            </w:tr>
          </w:tbl>
          <w:p>
            <w:pPr>
              <w:pStyle w:val="Normal"/>
              <w:widowControl w:val="false"/>
              <w:tabs>
                <w:tab w:val="clear" w:pos="708"/>
                <w:tab w:val="left" w:pos="1418" w:leader="none"/>
              </w:tabs>
              <w:spacing w:lineRule="auto" w:line="240"/>
              <w:ind w:hanging="0"/>
              <w:rPr>
                <w:b/>
                <w:i/>
                <w:i/>
                <w:iCs/>
                <w:sz w:val="24"/>
                <w:szCs w:val="24"/>
                <w:lang w:val="x-none"/>
              </w:rPr>
            </w:pPr>
            <w:r>
              <w:rPr>
                <w:b/>
                <w:i/>
                <w:iCs/>
                <w:sz w:val="24"/>
                <w:szCs w:val="24"/>
                <w:lang w:val="x-none"/>
              </w:rPr>
            </w:r>
          </w:p>
        </w:tc>
      </w:tr>
    </w:tbl>
    <w:p>
      <w:pPr>
        <w:pStyle w:val="Normal"/>
        <w:tabs>
          <w:tab w:val="clear" w:pos="708"/>
          <w:tab w:val="left" w:pos="1418" w:leader="none"/>
        </w:tabs>
        <w:spacing w:lineRule="auto" w:line="240"/>
        <w:ind w:hanging="0"/>
        <w:rPr>
          <w:sz w:val="24"/>
          <w:szCs w:val="24"/>
        </w:rPr>
      </w:pPr>
      <w:r>
        <w:rPr>
          <w:sz w:val="24"/>
          <w:szCs w:val="24"/>
        </w:rPr>
      </w:r>
    </w:p>
    <w:p>
      <w:pPr>
        <w:pStyle w:val="Normal"/>
        <w:tabs>
          <w:tab w:val="clear" w:pos="708"/>
          <w:tab w:val="left" w:pos="1418" w:leader="none"/>
        </w:tabs>
        <w:suppressAutoHyphens w:val="true"/>
        <w:spacing w:lineRule="auto" w:line="240"/>
        <w:rPr>
          <w:sz w:val="24"/>
          <w:szCs w:val="24"/>
          <w:lang w:eastAsia="ar-SA"/>
        </w:rPr>
      </w:pPr>
      <w:r>
        <w:rPr>
          <w:sz w:val="24"/>
          <w:szCs w:val="24"/>
          <w:lang w:eastAsia="ar-SA"/>
        </w:rPr>
      </w:r>
    </w:p>
    <w:tbl>
      <w:tblPr>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5103"/>
      </w:tblGrid>
      <w:tr>
        <w:trPr/>
        <w:tc>
          <w:tcPr>
            <w:tcW w:w="4785" w:type="dxa"/>
            <w:tcBorders/>
          </w:tcPr>
          <w:p>
            <w:pPr>
              <w:pStyle w:val="Normal"/>
              <w:widowControl w:val="false"/>
              <w:tabs>
                <w:tab w:val="clear" w:pos="708"/>
                <w:tab w:val="left" w:pos="1418" w:leader="none"/>
              </w:tabs>
              <w:snapToGrid w:val="false"/>
              <w:spacing w:lineRule="auto" w:line="240"/>
              <w:ind w:hanging="0"/>
              <w:jc w:val="left"/>
              <w:rPr>
                <w:rFonts w:ascii="Times New Roman" w:hAnsi="Times New Roman" w:eastAsia="Times New Roman" w:cs="Times New Roman"/>
                <w:b/>
                <w:color w:val="auto"/>
                <w:kern w:val="0"/>
                <w:sz w:val="24"/>
                <w:szCs w:val="24"/>
                <w:lang w:val="ru-RU" w:eastAsia="ru-RU" w:bidi="ar-SA"/>
              </w:rPr>
            </w:pPr>
            <w:r>
              <w:rPr>
                <w:rFonts w:eastAsia="Times New Roman" w:cs="Times New Roman"/>
                <w:b/>
                <w:color w:val="auto"/>
                <w:kern w:val="0"/>
                <w:sz w:val="24"/>
                <w:szCs w:val="24"/>
                <w:lang w:val="ru-RU" w:eastAsia="ru-RU" w:bidi="ar-SA"/>
              </w:rPr>
              <w:t>Лицензиат:</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Генеральный директор</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АО «Гидроремонт-ВКК»</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_____________________  Ханцев А.В./</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м.п.</w:t>
            </w:r>
          </w:p>
        </w:tc>
        <w:tc>
          <w:tcPr>
            <w:tcW w:w="5103" w:type="dxa"/>
            <w:tcBorders/>
          </w:tcPr>
          <w:p>
            <w:pPr>
              <w:pStyle w:val="Normal"/>
              <w:widowControl w:val="false"/>
              <w:tabs>
                <w:tab w:val="clear" w:pos="708"/>
                <w:tab w:val="left" w:pos="1418" w:leader="none"/>
              </w:tabs>
              <w:snapToGrid w:val="false"/>
              <w:spacing w:lineRule="auto" w:line="240"/>
              <w:ind w:hanging="0"/>
              <w:jc w:val="left"/>
              <w:rPr>
                <w:rFonts w:ascii="Times New Roman" w:hAnsi="Times New Roman" w:eastAsia="Times New Roman" w:cs="Times New Roman"/>
                <w:b/>
                <w:color w:val="auto"/>
                <w:kern w:val="0"/>
                <w:sz w:val="24"/>
                <w:szCs w:val="24"/>
                <w:lang w:val="ru-RU" w:eastAsia="ru-RU" w:bidi="ar-SA"/>
              </w:rPr>
            </w:pPr>
            <w:r>
              <w:rPr>
                <w:rFonts w:eastAsia="Times New Roman" w:cs="Times New Roman"/>
                <w:b/>
                <w:color w:val="auto"/>
                <w:kern w:val="0"/>
                <w:sz w:val="24"/>
                <w:szCs w:val="24"/>
                <w:lang w:val="ru-RU" w:eastAsia="ru-RU" w:bidi="ar-SA"/>
              </w:rPr>
            </w:r>
          </w:p>
        </w:tc>
      </w:tr>
    </w:tbl>
    <w:p>
      <w:pPr>
        <w:sectPr>
          <w:headerReference w:type="default" r:id="rId3"/>
          <w:headerReference w:type="first" r:id="rId4"/>
          <w:footerReference w:type="default" r:id="rId5"/>
          <w:footerReference w:type="first" r:id="rId6"/>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Pr>
      <w:r>
        <w:br w:type="page"/>
      </w:r>
    </w:p>
    <w:p>
      <w:pPr>
        <w:pStyle w:val="Normal"/>
        <w:tabs>
          <w:tab w:val="clear" w:pos="708"/>
          <w:tab w:val="left" w:pos="1418" w:leader="none"/>
        </w:tabs>
        <w:snapToGrid w:val="false"/>
        <w:spacing w:lineRule="auto" w:line="240"/>
        <w:ind w:firstLine="5103"/>
        <w:jc w:val="right"/>
        <w:rPr>
          <w:sz w:val="24"/>
          <w:szCs w:val="24"/>
        </w:rPr>
      </w:pPr>
      <w:r>
        <w:rPr>
          <w:sz w:val="24"/>
          <w:szCs w:val="24"/>
        </w:rPr>
        <w:t>Приложение № 2</w:t>
      </w:r>
    </w:p>
    <w:p>
      <w:pPr>
        <w:pStyle w:val="Normal"/>
        <w:tabs>
          <w:tab w:val="clear" w:pos="708"/>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8"/>
          <w:tab w:val="left" w:pos="1418" w:leader="none"/>
        </w:tabs>
        <w:snapToGrid w:val="false"/>
        <w:spacing w:lineRule="auto" w:line="240"/>
        <w:ind w:firstLine="4536"/>
        <w:jc w:val="right"/>
        <w:rPr>
          <w:sz w:val="24"/>
          <w:szCs w:val="24"/>
        </w:rPr>
      </w:pPr>
      <w:r>
        <w:rPr>
          <w:sz w:val="24"/>
          <w:szCs w:val="24"/>
        </w:rPr>
        <w:t xml:space="preserve">от «____» __________ 20__ г. № ____________ </w:t>
      </w:r>
    </w:p>
    <w:p>
      <w:pPr>
        <w:pStyle w:val="Normal"/>
        <w:tabs>
          <w:tab w:val="clear" w:pos="708"/>
          <w:tab w:val="left" w:pos="1418" w:leader="none"/>
        </w:tabs>
        <w:spacing w:lineRule="auto" w:line="240"/>
        <w:ind w:hanging="0"/>
        <w:jc w:val="center"/>
        <w:rPr>
          <w:b/>
          <w:sz w:val="24"/>
          <w:szCs w:val="24"/>
          <w:lang w:val="x-none"/>
        </w:rPr>
      </w:pPr>
      <w:r>
        <w:rPr>
          <w:b/>
          <w:sz w:val="24"/>
          <w:szCs w:val="24"/>
          <w:lang w:val="x-none"/>
        </w:rPr>
      </w:r>
    </w:p>
    <w:p>
      <w:pPr>
        <w:pStyle w:val="Normal"/>
        <w:tabs>
          <w:tab w:val="clear" w:pos="708"/>
          <w:tab w:val="left" w:pos="1418" w:leader="none"/>
        </w:tabs>
        <w:spacing w:lineRule="auto" w:line="240"/>
        <w:ind w:hanging="0"/>
        <w:jc w:val="center"/>
        <w:rPr>
          <w:b/>
          <w:sz w:val="24"/>
          <w:szCs w:val="24"/>
          <w:lang w:val="x-none"/>
        </w:rPr>
      </w:pPr>
      <w:r>
        <w:rPr>
          <w:b/>
          <w:sz w:val="24"/>
          <w:szCs w:val="24"/>
          <w:lang w:val="x-none"/>
        </w:rPr>
      </w:r>
    </w:p>
    <w:p>
      <w:pPr>
        <w:pStyle w:val="Normal"/>
        <w:tabs>
          <w:tab w:val="clear" w:pos="708"/>
          <w:tab w:val="left" w:pos="1418" w:leader="none"/>
        </w:tabs>
        <w:spacing w:lineRule="auto" w:line="240"/>
        <w:ind w:hanging="0"/>
        <w:jc w:val="center"/>
        <w:rPr>
          <w:b/>
          <w:sz w:val="24"/>
          <w:szCs w:val="24"/>
        </w:rPr>
      </w:pPr>
      <w:r>
        <w:rPr>
          <w:b/>
          <w:sz w:val="24"/>
          <w:szCs w:val="24"/>
        </w:rPr>
        <w:t xml:space="preserve">Спецификация </w:t>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tbl>
      <w:tblPr>
        <w:tblW w:w="5000" w:type="pct"/>
        <w:jc w:val="left"/>
        <w:tblInd w:w="-5" w:type="dxa"/>
        <w:tblLayout w:type="fixed"/>
        <w:tblCellMar>
          <w:top w:w="55" w:type="dxa"/>
          <w:left w:w="55" w:type="dxa"/>
          <w:bottom w:w="55" w:type="dxa"/>
          <w:right w:w="55" w:type="dxa"/>
        </w:tblCellMar>
      </w:tblPr>
      <w:tblGrid>
        <w:gridCol w:w="3683"/>
        <w:gridCol w:w="994"/>
        <w:gridCol w:w="2341"/>
        <w:gridCol w:w="2336"/>
      </w:tblGrid>
      <w:tr>
        <w:trPr/>
        <w:tc>
          <w:tcPr>
            <w:tcW w:w="3683" w:type="dxa"/>
            <w:tcBorders>
              <w:top w:val="single" w:sz="4" w:space="0" w:color="000000"/>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center"/>
              <w:rPr>
                <w:rFonts w:ascii="Times New Roman" w:hAnsi="Times New Roman"/>
                <w:b/>
                <w:bCs/>
                <w:sz w:val="24"/>
                <w:szCs w:val="24"/>
              </w:rPr>
            </w:pPr>
            <w:r>
              <w:rPr>
                <w:b/>
                <w:bCs/>
                <w:sz w:val="24"/>
                <w:szCs w:val="24"/>
              </w:rPr>
              <w:t>Наименование</w:t>
            </w:r>
          </w:p>
        </w:tc>
        <w:tc>
          <w:tcPr>
            <w:tcW w:w="994" w:type="dxa"/>
            <w:tcBorders>
              <w:top w:val="single" w:sz="4" w:space="0" w:color="000000"/>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center"/>
              <w:rPr>
                <w:rFonts w:ascii="Times New Roman" w:hAnsi="Times New Roman"/>
                <w:b/>
                <w:bCs/>
                <w:sz w:val="24"/>
                <w:szCs w:val="24"/>
              </w:rPr>
            </w:pPr>
            <w:r>
              <w:rPr>
                <w:b/>
                <w:bCs/>
                <w:sz w:val="24"/>
                <w:szCs w:val="24"/>
              </w:rPr>
              <w:t>Кол.</w:t>
            </w:r>
          </w:p>
        </w:tc>
        <w:tc>
          <w:tcPr>
            <w:tcW w:w="2341" w:type="dxa"/>
            <w:tcBorders>
              <w:top w:val="single" w:sz="4" w:space="0" w:color="000000"/>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center"/>
              <w:rPr>
                <w:rFonts w:ascii="Times New Roman" w:hAnsi="Times New Roman"/>
                <w:b/>
                <w:bCs/>
                <w:sz w:val="24"/>
                <w:szCs w:val="24"/>
              </w:rPr>
            </w:pPr>
            <w:r>
              <w:rPr>
                <w:b/>
                <w:bCs/>
                <w:sz w:val="24"/>
                <w:szCs w:val="24"/>
              </w:rPr>
              <w:t>Цена руб без НДС</w:t>
            </w:r>
          </w:p>
        </w:tc>
        <w:tc>
          <w:tcPr>
            <w:tcW w:w="2336" w:type="dxa"/>
            <w:tcBorders>
              <w:top w:val="single" w:sz="4" w:space="0" w:color="000000"/>
              <w:left w:val="single" w:sz="4" w:space="0" w:color="000000"/>
              <w:bottom w:val="single" w:sz="4" w:space="0" w:color="000000"/>
              <w:right w:val="single" w:sz="4" w:space="0" w:color="000000"/>
            </w:tcBorders>
          </w:tcPr>
          <w:p>
            <w:pPr>
              <w:pStyle w:val="Style21"/>
              <w:widowControl w:val="false"/>
              <w:suppressLineNumbers/>
              <w:suppressAutoHyphens w:val="true"/>
              <w:bidi w:val="0"/>
              <w:spacing w:lineRule="auto" w:line="360" w:before="0" w:after="0"/>
              <w:ind w:firstLine="57" w:left="0" w:right="0"/>
              <w:jc w:val="center"/>
              <w:rPr>
                <w:rFonts w:ascii="Times New Roman" w:hAnsi="Times New Roman"/>
                <w:b/>
                <w:bCs/>
                <w:sz w:val="24"/>
                <w:szCs w:val="24"/>
              </w:rPr>
            </w:pPr>
            <w:r>
              <w:rPr>
                <w:b/>
                <w:bCs/>
                <w:sz w:val="24"/>
                <w:szCs w:val="24"/>
              </w:rPr>
              <w:t>Стоимость без НДС</w:t>
            </w:r>
          </w:p>
        </w:tc>
      </w:tr>
      <w:tr>
        <w:trPr/>
        <w:tc>
          <w:tcPr>
            <w:tcW w:w="3683" w:type="dxa"/>
            <w:tcBorders>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both"/>
              <w:rPr>
                <w:rFonts w:ascii="Times New Roman" w:hAnsi="Times New Roman"/>
                <w:sz w:val="24"/>
                <w:szCs w:val="24"/>
              </w:rPr>
            </w:pPr>
            <w:r>
              <w:rPr/>
            </w:r>
          </w:p>
        </w:tc>
        <w:tc>
          <w:tcPr>
            <w:tcW w:w="994" w:type="dxa"/>
            <w:tcBorders>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both"/>
              <w:rPr>
                <w:rFonts w:ascii="Times New Roman" w:hAnsi="Times New Roman"/>
                <w:sz w:val="24"/>
                <w:szCs w:val="24"/>
              </w:rPr>
            </w:pPr>
            <w:r>
              <w:rPr>
                <w:sz w:val="24"/>
                <w:szCs w:val="24"/>
              </w:rPr>
              <w:t>1</w:t>
            </w:r>
          </w:p>
        </w:tc>
        <w:tc>
          <w:tcPr>
            <w:tcW w:w="2341" w:type="dxa"/>
            <w:tcBorders>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right"/>
              <w:rPr>
                <w:rFonts w:ascii="Times New Roman" w:hAnsi="Times New Roman"/>
                <w:sz w:val="24"/>
                <w:szCs w:val="24"/>
              </w:rPr>
            </w:pPr>
            <w:r>
              <w:rPr>
                <w:sz w:val="24"/>
                <w:szCs w:val="24"/>
              </w:rPr>
            </w:r>
          </w:p>
        </w:tc>
        <w:tc>
          <w:tcPr>
            <w:tcW w:w="2336" w:type="dxa"/>
            <w:tcBorders>
              <w:left w:val="single" w:sz="4" w:space="0" w:color="000000"/>
              <w:bottom w:val="single" w:sz="4" w:space="0" w:color="000000"/>
              <w:right w:val="single" w:sz="4" w:space="0" w:color="000000"/>
            </w:tcBorders>
          </w:tcPr>
          <w:p>
            <w:pPr>
              <w:pStyle w:val="Style21"/>
              <w:widowControl w:val="false"/>
              <w:suppressLineNumbers/>
              <w:suppressAutoHyphens w:val="true"/>
              <w:bidi w:val="0"/>
              <w:spacing w:lineRule="auto" w:line="360" w:before="0" w:after="0"/>
              <w:ind w:firstLine="57" w:left="0" w:right="0"/>
              <w:jc w:val="right"/>
              <w:rPr>
                <w:rFonts w:ascii="Times New Roman" w:hAnsi="Times New Roman"/>
                <w:sz w:val="24"/>
                <w:szCs w:val="24"/>
              </w:rPr>
            </w:pPr>
            <w:r>
              <w:rPr>
                <w:sz w:val="24"/>
                <w:szCs w:val="24"/>
              </w:rPr>
            </w:r>
          </w:p>
        </w:tc>
      </w:tr>
      <w:tr>
        <w:trPr/>
        <w:tc>
          <w:tcPr>
            <w:tcW w:w="3683" w:type="dxa"/>
            <w:tcBorders>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both"/>
              <w:rPr>
                <w:rFonts w:ascii="Times New Roman" w:hAnsi="Times New Roman"/>
                <w:b/>
                <w:bCs/>
                <w:sz w:val="24"/>
                <w:szCs w:val="24"/>
              </w:rPr>
            </w:pPr>
            <w:r>
              <w:rPr>
                <w:b/>
                <w:bCs/>
                <w:sz w:val="24"/>
                <w:szCs w:val="24"/>
              </w:rPr>
              <w:t>Итого:</w:t>
            </w:r>
          </w:p>
        </w:tc>
        <w:tc>
          <w:tcPr>
            <w:tcW w:w="994" w:type="dxa"/>
            <w:tcBorders>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both"/>
              <w:rPr>
                <w:rFonts w:ascii="Times New Roman" w:hAnsi="Times New Roman"/>
                <w:sz w:val="24"/>
                <w:szCs w:val="24"/>
              </w:rPr>
            </w:pPr>
            <w:r>
              <w:rPr>
                <w:sz w:val="24"/>
                <w:szCs w:val="24"/>
              </w:rPr>
            </w:r>
          </w:p>
        </w:tc>
        <w:tc>
          <w:tcPr>
            <w:tcW w:w="2341" w:type="dxa"/>
            <w:tcBorders>
              <w:left w:val="single" w:sz="4" w:space="0" w:color="000000"/>
              <w:bottom w:val="single" w:sz="4" w:space="0" w:color="000000"/>
            </w:tcBorders>
          </w:tcPr>
          <w:p>
            <w:pPr>
              <w:pStyle w:val="Style21"/>
              <w:widowControl w:val="false"/>
              <w:suppressLineNumbers/>
              <w:suppressAutoHyphens w:val="true"/>
              <w:bidi w:val="0"/>
              <w:spacing w:lineRule="auto" w:line="360" w:before="0" w:after="0"/>
              <w:ind w:firstLine="57" w:left="0" w:right="0"/>
              <w:jc w:val="right"/>
              <w:rPr>
                <w:rFonts w:ascii="Times New Roman" w:hAnsi="Times New Roman"/>
                <w:sz w:val="24"/>
                <w:szCs w:val="24"/>
              </w:rPr>
            </w:pPr>
            <w:r>
              <w:rPr>
                <w:sz w:val="24"/>
                <w:szCs w:val="24"/>
              </w:rPr>
            </w:r>
          </w:p>
        </w:tc>
        <w:tc>
          <w:tcPr>
            <w:tcW w:w="2336" w:type="dxa"/>
            <w:tcBorders>
              <w:left w:val="single" w:sz="4" w:space="0" w:color="000000"/>
              <w:bottom w:val="single" w:sz="4" w:space="0" w:color="000000"/>
              <w:right w:val="single" w:sz="4" w:space="0" w:color="000000"/>
            </w:tcBorders>
          </w:tcPr>
          <w:p>
            <w:pPr>
              <w:pStyle w:val="Style21"/>
              <w:widowControl w:val="false"/>
              <w:suppressLineNumbers/>
              <w:suppressAutoHyphens w:val="true"/>
              <w:bidi w:val="0"/>
              <w:spacing w:lineRule="auto" w:line="360" w:before="0" w:after="0"/>
              <w:ind w:firstLine="57" w:left="0" w:right="0"/>
              <w:jc w:val="right"/>
              <w:rPr>
                <w:rFonts w:ascii="Times New Roman" w:hAnsi="Times New Roman"/>
                <w:b/>
                <w:bCs/>
                <w:sz w:val="24"/>
                <w:szCs w:val="24"/>
              </w:rPr>
            </w:pPr>
            <w:r>
              <w:rPr>
                <w:b/>
                <w:bCs/>
                <w:sz w:val="24"/>
                <w:szCs w:val="24"/>
              </w:rPr>
            </w:r>
          </w:p>
        </w:tc>
      </w:tr>
    </w:tbl>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p>
      <w:pPr>
        <w:pStyle w:val="Normal"/>
        <w:tabs>
          <w:tab w:val="clear" w:pos="708"/>
          <w:tab w:val="left" w:pos="1418" w:leader="none"/>
        </w:tabs>
        <w:spacing w:lineRule="auto" w:line="240"/>
        <w:ind w:hanging="0"/>
        <w:jc w:val="center"/>
        <w:rPr>
          <w:b/>
          <w:sz w:val="24"/>
          <w:szCs w:val="24"/>
        </w:rPr>
      </w:pPr>
      <w:r>
        <w:rPr>
          <w:b/>
          <w:sz w:val="24"/>
          <w:szCs w:val="24"/>
        </w:rPr>
      </w:r>
    </w:p>
    <w:tbl>
      <w:tblPr>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5103"/>
      </w:tblGrid>
      <w:tr>
        <w:trPr/>
        <w:tc>
          <w:tcPr>
            <w:tcW w:w="4785" w:type="dxa"/>
            <w:tcBorders/>
          </w:tcPr>
          <w:p>
            <w:pPr>
              <w:pStyle w:val="Normal"/>
              <w:widowControl w:val="false"/>
              <w:tabs>
                <w:tab w:val="clear" w:pos="708"/>
                <w:tab w:val="left" w:pos="1418" w:leader="none"/>
              </w:tabs>
              <w:snapToGrid w:val="false"/>
              <w:spacing w:lineRule="auto" w:line="240"/>
              <w:ind w:hanging="0"/>
              <w:jc w:val="left"/>
              <w:rPr>
                <w:rFonts w:ascii="Times New Roman" w:hAnsi="Times New Roman" w:eastAsia="Times New Roman" w:cs="Times New Roman"/>
                <w:b/>
                <w:color w:val="auto"/>
                <w:kern w:val="0"/>
                <w:sz w:val="24"/>
                <w:szCs w:val="24"/>
                <w:lang w:val="ru-RU" w:eastAsia="ru-RU" w:bidi="ar-SA"/>
              </w:rPr>
            </w:pPr>
            <w:r>
              <w:rPr>
                <w:rFonts w:eastAsia="Times New Roman" w:cs="Times New Roman"/>
                <w:b/>
                <w:color w:val="auto"/>
                <w:kern w:val="0"/>
                <w:sz w:val="24"/>
                <w:szCs w:val="24"/>
                <w:lang w:val="ru-RU" w:eastAsia="ru-RU" w:bidi="ar-SA"/>
              </w:rPr>
              <w:t>Лицензиат:</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Генеральный директор</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АО «Гидроремонт-ВКК»</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_____________________  Ханцев А.В./</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4"/>
                <w:szCs w:val="24"/>
                <w:lang w:val="ru-RU" w:eastAsia="ru-RU" w:bidi="ar-SA"/>
              </w:rPr>
            </w:pPr>
            <w:r>
              <w:rPr>
                <w:rFonts w:eastAsia="Times New Roman" w:cs="Times New Roman"/>
                <w:b w:val="false"/>
                <w:bCs w:val="false"/>
                <w:color w:val="auto"/>
                <w:kern w:val="0"/>
                <w:sz w:val="24"/>
                <w:szCs w:val="24"/>
                <w:lang w:val="ru-RU" w:eastAsia="ru-RU" w:bidi="ar-SA"/>
              </w:rPr>
              <w:t>м.п.</w:t>
            </w:r>
          </w:p>
        </w:tc>
        <w:tc>
          <w:tcPr>
            <w:tcW w:w="5103" w:type="dxa"/>
            <w:tcBorders/>
          </w:tcPr>
          <w:p>
            <w:pPr>
              <w:pStyle w:val="Normal"/>
              <w:widowControl w:val="false"/>
              <w:tabs>
                <w:tab w:val="clear" w:pos="708"/>
                <w:tab w:val="left" w:pos="1418" w:leader="none"/>
              </w:tabs>
              <w:snapToGrid w:val="false"/>
              <w:spacing w:lineRule="auto" w:line="240"/>
              <w:ind w:hanging="0"/>
              <w:jc w:val="left"/>
              <w:rPr>
                <w:rFonts w:ascii="Times New Roman" w:hAnsi="Times New Roman" w:eastAsia="Times New Roman" w:cs="Times New Roman"/>
                <w:b/>
                <w:color w:val="auto"/>
                <w:kern w:val="0"/>
                <w:sz w:val="24"/>
                <w:szCs w:val="24"/>
                <w:lang w:val="ru-RU" w:eastAsia="ru-RU" w:bidi="ar-SA"/>
              </w:rPr>
            </w:pPr>
            <w:r>
              <w:rPr>
                <w:rFonts w:eastAsia="Times New Roman" w:cs="Times New Roman"/>
                <w:b/>
                <w:color w:val="auto"/>
                <w:kern w:val="0"/>
                <w:sz w:val="24"/>
                <w:szCs w:val="24"/>
                <w:lang w:val="ru-RU" w:eastAsia="ru-RU" w:bidi="ar-SA"/>
              </w:rPr>
            </w:r>
          </w:p>
        </w:tc>
      </w:tr>
    </w:tbl>
    <w:p>
      <w:pPr>
        <w:pStyle w:val="Normal"/>
        <w:tabs>
          <w:tab w:val="clear" w:pos="708"/>
          <w:tab w:val="left" w:pos="1418" w:leader="none"/>
        </w:tabs>
        <w:snapToGrid w:val="false"/>
        <w:spacing w:lineRule="auto" w:line="240"/>
        <w:ind w:firstLine="5103"/>
        <w:jc w:val="right"/>
        <w:rPr>
          <w:sz w:val="24"/>
          <w:szCs w:val="24"/>
        </w:rPr>
      </w:pPr>
      <w:r>
        <w:br w:type="page"/>
      </w:r>
      <w:r>
        <w:rPr>
          <w:sz w:val="24"/>
          <w:szCs w:val="24"/>
        </w:rPr>
        <w:t>Приложение № 3</w:t>
      </w:r>
    </w:p>
    <w:p>
      <w:pPr>
        <w:pStyle w:val="Normal"/>
        <w:tabs>
          <w:tab w:val="clear" w:pos="708"/>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8"/>
          <w:tab w:val="left" w:pos="1418" w:leader="none"/>
        </w:tabs>
        <w:snapToGrid w:val="false"/>
        <w:spacing w:lineRule="auto" w:line="240"/>
        <w:ind w:firstLine="4678"/>
        <w:jc w:val="right"/>
        <w:rPr>
          <w:sz w:val="24"/>
          <w:szCs w:val="24"/>
        </w:rPr>
      </w:pPr>
      <w:r>
        <w:rPr>
          <w:sz w:val="24"/>
          <w:szCs w:val="24"/>
        </w:rPr>
        <w:t xml:space="preserve">от «____» ________ 20__ г. №____________ </w:t>
      </w:r>
    </w:p>
    <w:p>
      <w:pPr>
        <w:pStyle w:val="Normal"/>
        <w:tabs>
          <w:tab w:val="clear" w:pos="708"/>
          <w:tab w:val="left" w:pos="1418" w:leader="none"/>
        </w:tabs>
        <w:snapToGrid w:val="false"/>
        <w:spacing w:lineRule="auto" w:line="240"/>
        <w:ind w:firstLine="5103"/>
        <w:jc w:val="right"/>
        <w:rPr>
          <w:sz w:val="24"/>
          <w:szCs w:val="24"/>
        </w:rPr>
      </w:pPr>
      <w:r>
        <w:rPr>
          <w:sz w:val="24"/>
          <w:szCs w:val="24"/>
        </w:rPr>
      </w:r>
    </w:p>
    <w:p>
      <w:pPr>
        <w:pStyle w:val="Normal"/>
        <w:tabs>
          <w:tab w:val="clear" w:pos="708"/>
          <w:tab w:val="left" w:pos="1418" w:leader="none"/>
        </w:tabs>
        <w:suppressAutoHyphens w:val="true"/>
        <w:spacing w:lineRule="auto" w:line="240"/>
        <w:ind w:hanging="0"/>
        <w:jc w:val="center"/>
        <w:rPr>
          <w:sz w:val="24"/>
          <w:szCs w:val="24"/>
        </w:rPr>
      </w:pPr>
      <w:r>
        <w:rPr>
          <w:b/>
          <w:bCs/>
          <w:sz w:val="24"/>
          <w:szCs w:val="24"/>
        </w:rPr>
        <w:t xml:space="preserve">Копии сертификата </w:t>
      </w:r>
    </w:p>
    <w:p>
      <w:pPr>
        <w:pStyle w:val="Normal"/>
        <w:tabs>
          <w:tab w:val="clear" w:pos="708"/>
          <w:tab w:val="left" w:pos="1418" w:leader="none"/>
        </w:tabs>
        <w:suppressAutoHyphens w:val="true"/>
        <w:spacing w:lineRule="auto" w:line="240"/>
        <w:ind w:hanging="0"/>
        <w:jc w:val="center"/>
        <w:rPr>
          <w:b/>
          <w:bCs/>
        </w:rPr>
      </w:pPr>
      <w:r>
        <w:rPr>
          <w:b/>
          <w:bCs/>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 w:val="left" w:pos="6080" w:leader="none"/>
        </w:tabs>
        <w:spacing w:lineRule="auto" w:line="240"/>
        <w:ind w:hanging="0"/>
        <w:jc w:val="center"/>
        <w:rPr/>
      </w:pPr>
      <w:r>
        <w:rPr/>
      </w:r>
    </w:p>
    <w:p>
      <w:pPr>
        <w:pStyle w:val="Normal"/>
        <w:tabs>
          <w:tab w:val="clear" w:pos="708"/>
          <w:tab w:val="left" w:pos="1418" w:leader="none"/>
        </w:tabs>
        <w:suppressAutoHyphens w:val="true"/>
        <w:spacing w:lineRule="auto" w:line="240"/>
        <w:ind w:hanging="0"/>
        <w:jc w:val="center"/>
        <w:rPr/>
      </w:pPr>
      <w:r>
        <w:rPr/>
      </w:r>
    </w:p>
    <w:p>
      <w:pPr>
        <w:pStyle w:val="Normal"/>
        <w:tabs>
          <w:tab w:val="clear" w:pos="708"/>
          <w:tab w:val="left" w:pos="1418" w:leader="none"/>
        </w:tabs>
        <w:suppressAutoHyphens w:val="true"/>
        <w:spacing w:lineRule="auto" w:line="240"/>
        <w:ind w:hanging="0"/>
        <w:jc w:val="center"/>
        <w:rPr/>
      </w:pPr>
      <w:r>
        <w:rPr/>
      </w:r>
    </w:p>
    <w:p>
      <w:pPr>
        <w:pStyle w:val="Normal"/>
        <w:tabs>
          <w:tab w:val="clear" w:pos="708"/>
          <w:tab w:val="left" w:pos="1418" w:leader="none"/>
        </w:tabs>
        <w:suppressAutoHyphens w:val="true"/>
        <w:spacing w:lineRule="auto" w:line="240"/>
        <w:ind w:hanging="0"/>
        <w:jc w:val="center"/>
        <w:rPr/>
      </w:pPr>
      <w:r>
        <w:rPr/>
      </w:r>
    </w:p>
    <w:p>
      <w:pPr>
        <w:pStyle w:val="Normal"/>
        <w:tabs>
          <w:tab w:val="clear" w:pos="708"/>
          <w:tab w:val="left" w:pos="1418" w:leader="none"/>
        </w:tabs>
        <w:suppressAutoHyphens w:val="true"/>
        <w:spacing w:lineRule="auto" w:line="240"/>
        <w:ind w:hanging="0"/>
        <w:jc w:val="center"/>
        <w:rPr/>
      </w:pPr>
      <w:r>
        <w:rPr/>
      </w:r>
    </w:p>
    <w:p>
      <w:pPr>
        <w:pStyle w:val="Normal"/>
        <w:tabs>
          <w:tab w:val="clear" w:pos="708"/>
          <w:tab w:val="left" w:pos="1418" w:leader="none"/>
        </w:tabs>
        <w:suppressAutoHyphens w:val="true"/>
        <w:spacing w:lineRule="auto" w:line="240"/>
        <w:ind w:hanging="0"/>
        <w:jc w:val="center"/>
        <w:rPr/>
      </w:pPr>
      <w:r>
        <w:rPr/>
      </w:r>
    </w:p>
    <w:tbl>
      <w:tblPr>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5103"/>
      </w:tblGrid>
      <w:tr>
        <w:trPr>
          <w:trHeight w:val="1243" w:hRule="atLeast"/>
        </w:trPr>
        <w:tc>
          <w:tcPr>
            <w:tcW w:w="4785" w:type="dxa"/>
            <w:tcBorders/>
          </w:tcPr>
          <w:p>
            <w:pPr>
              <w:pStyle w:val="Normal"/>
              <w:widowControl w:val="false"/>
              <w:tabs>
                <w:tab w:val="clear" w:pos="708"/>
                <w:tab w:val="left" w:pos="1418" w:leader="none"/>
              </w:tabs>
              <w:snapToGrid w:val="false"/>
              <w:spacing w:lineRule="auto" w:line="240"/>
              <w:ind w:hanging="0"/>
              <w:jc w:val="left"/>
              <w:rPr>
                <w:sz w:val="20"/>
                <w:szCs w:val="20"/>
              </w:rPr>
            </w:pPr>
            <w:r>
              <w:rPr>
                <w:rFonts w:eastAsia="Times New Roman" w:cs="Times New Roman"/>
                <w:b/>
                <w:color w:val="auto"/>
                <w:kern w:val="0"/>
                <w:sz w:val="20"/>
                <w:szCs w:val="20"/>
                <w:lang w:val="ru-RU" w:eastAsia="ru-RU" w:bidi="ar-SA"/>
              </w:rPr>
              <w:t>Лицензиат:</w:t>
            </w:r>
          </w:p>
          <w:p>
            <w:pPr>
              <w:pStyle w:val="Normal"/>
              <w:widowControl w:val="false"/>
              <w:suppressAutoHyphens w:val="true"/>
              <w:spacing w:lineRule="auto" w:line="240" w:before="0" w:after="0"/>
              <w:ind w:hanging="0"/>
              <w:rPr>
                <w:sz w:val="20"/>
                <w:szCs w:val="20"/>
              </w:rPr>
            </w:pPr>
            <w:r>
              <w:rPr>
                <w:rFonts w:eastAsia="Times New Roman" w:cs="Times New Roman"/>
                <w:b w:val="false"/>
                <w:bCs w:val="false"/>
                <w:color w:val="auto"/>
                <w:kern w:val="0"/>
                <w:sz w:val="20"/>
                <w:szCs w:val="20"/>
                <w:lang w:val="ru-RU" w:eastAsia="ru-RU" w:bidi="ar-SA"/>
              </w:rPr>
              <w:t>Генеральный директор</w:t>
            </w:r>
          </w:p>
          <w:p>
            <w:pPr>
              <w:pStyle w:val="Normal"/>
              <w:widowControl w:val="false"/>
              <w:suppressAutoHyphens w:val="true"/>
              <w:spacing w:lineRule="auto" w:line="240" w:before="0" w:after="0"/>
              <w:ind w:hanging="0"/>
              <w:rPr>
                <w:sz w:val="20"/>
                <w:szCs w:val="20"/>
              </w:rPr>
            </w:pPr>
            <w:r>
              <w:rPr>
                <w:rFonts w:eastAsia="Times New Roman" w:cs="Times New Roman"/>
                <w:b w:val="false"/>
                <w:bCs w:val="false"/>
                <w:color w:val="auto"/>
                <w:kern w:val="0"/>
                <w:sz w:val="20"/>
                <w:szCs w:val="20"/>
                <w:lang w:val="ru-RU" w:eastAsia="ru-RU" w:bidi="ar-SA"/>
              </w:rPr>
              <w:t>АО «Гидроремонт-ВКК»</w:t>
            </w:r>
          </w:p>
          <w:p>
            <w:pPr>
              <w:pStyle w:val="Normal"/>
              <w:widowControl w:val="false"/>
              <w:suppressAutoHyphens w:val="true"/>
              <w:spacing w:lineRule="auto" w:line="240" w:before="0" w:after="0"/>
              <w:ind w:hanging="0"/>
              <w:rPr>
                <w:rFonts w:ascii="Times New Roman" w:hAnsi="Times New Roman" w:eastAsia="Times New Roman" w:cs="Times New Roman"/>
                <w:b w:val="false"/>
                <w:bCs w:val="false"/>
                <w:color w:val="auto"/>
                <w:kern w:val="0"/>
                <w:sz w:val="20"/>
                <w:szCs w:val="20"/>
                <w:lang w:val="ru-RU" w:eastAsia="ru-RU" w:bidi="ar-SA"/>
              </w:rPr>
            </w:pPr>
            <w:r>
              <w:rPr>
                <w:rFonts w:eastAsia="Times New Roman" w:cs="Times New Roman"/>
                <w:b w:val="false"/>
                <w:bCs w:val="false"/>
                <w:color w:val="auto"/>
                <w:kern w:val="0"/>
                <w:sz w:val="20"/>
                <w:szCs w:val="20"/>
                <w:lang w:val="ru-RU" w:eastAsia="ru-RU" w:bidi="ar-SA"/>
              </w:rPr>
            </w:r>
          </w:p>
          <w:p>
            <w:pPr>
              <w:pStyle w:val="Normal"/>
              <w:widowControl w:val="false"/>
              <w:suppressAutoHyphens w:val="true"/>
              <w:spacing w:lineRule="auto" w:line="240" w:before="0" w:after="0"/>
              <w:ind w:hanging="0"/>
              <w:rPr>
                <w:sz w:val="20"/>
                <w:szCs w:val="20"/>
              </w:rPr>
            </w:pPr>
            <w:r>
              <w:rPr>
                <w:rFonts w:eastAsia="Times New Roman" w:cs="Times New Roman"/>
                <w:b w:val="false"/>
                <w:bCs w:val="false"/>
                <w:color w:val="auto"/>
                <w:kern w:val="0"/>
                <w:sz w:val="20"/>
                <w:szCs w:val="20"/>
                <w:lang w:val="ru-RU" w:eastAsia="ru-RU" w:bidi="ar-SA"/>
              </w:rPr>
              <w:t>_____________________  Ханцев А.В./</w:t>
            </w:r>
          </w:p>
        </w:tc>
        <w:tc>
          <w:tcPr>
            <w:tcW w:w="5103" w:type="dxa"/>
            <w:tcBorders/>
          </w:tcPr>
          <w:p>
            <w:pPr>
              <w:pStyle w:val="Normal"/>
              <w:widowControl w:val="false"/>
              <w:tabs>
                <w:tab w:val="clear" w:pos="708"/>
                <w:tab w:val="left" w:pos="1418" w:leader="none"/>
              </w:tabs>
              <w:snapToGrid w:val="false"/>
              <w:spacing w:lineRule="auto" w:line="240"/>
              <w:ind w:hanging="0"/>
              <w:jc w:val="left"/>
              <w:rPr>
                <w:sz w:val="20"/>
                <w:szCs w:val="20"/>
              </w:rPr>
            </w:pPr>
            <w:r>
              <w:rPr>
                <w:sz w:val="20"/>
                <w:szCs w:val="20"/>
              </w:rPr>
            </w:r>
          </w:p>
        </w:tc>
      </w:tr>
    </w:tbl>
    <w:p>
      <w:pPr>
        <w:sectPr>
          <w:headerReference w:type="default" r:id="rId7"/>
          <w:headerReference w:type="first" r:id="rId8"/>
          <w:footerReference w:type="default" r:id="rId9"/>
          <w:footerReference w:type="first" r:id="rId10"/>
          <w:footnotePr>
            <w:numFmt w:val="decimal"/>
          </w:footnotePr>
          <w:type w:val="nextPage"/>
          <w:pgSz w:w="11906" w:h="16838"/>
          <w:pgMar w:left="1701" w:right="850" w:gutter="0" w:header="493" w:top="718" w:footer="708" w:bottom="1134"/>
          <w:pgNumType w:fmt="decimal"/>
          <w:formProt w:val="false"/>
          <w:textDirection w:val="lrTb"/>
          <w:docGrid w:type="default" w:linePitch="360" w:charSpace="0"/>
        </w:sectPr>
      </w:pPr>
      <w:r>
        <w:br w:type="page"/>
      </w:r>
    </w:p>
    <w:p>
      <w:pPr>
        <w:pStyle w:val="Normal"/>
        <w:tabs>
          <w:tab w:val="clear" w:pos="708"/>
          <w:tab w:val="left" w:pos="1418" w:leader="none"/>
        </w:tabs>
        <w:snapToGrid w:val="false"/>
        <w:spacing w:lineRule="auto" w:line="240"/>
        <w:ind w:firstLine="5103"/>
        <w:jc w:val="right"/>
        <w:rPr>
          <w:sz w:val="24"/>
          <w:szCs w:val="24"/>
        </w:rPr>
      </w:pPr>
      <w:r>
        <w:rPr>
          <w:sz w:val="24"/>
          <w:szCs w:val="24"/>
        </w:rPr>
        <w:t>Приложение № 4</w:t>
      </w:r>
    </w:p>
    <w:p>
      <w:pPr>
        <w:pStyle w:val="Normal"/>
        <w:tabs>
          <w:tab w:val="clear" w:pos="708"/>
          <w:tab w:val="left" w:pos="1418" w:leader="none"/>
        </w:tabs>
        <w:snapToGrid w:val="false"/>
        <w:spacing w:lineRule="auto" w:line="240"/>
        <w:ind w:firstLine="5103"/>
        <w:jc w:val="right"/>
        <w:rPr>
          <w:sz w:val="24"/>
          <w:szCs w:val="24"/>
        </w:rPr>
      </w:pPr>
      <w:r>
        <w:rPr>
          <w:sz w:val="24"/>
          <w:szCs w:val="24"/>
        </w:rPr>
        <w:t xml:space="preserve">к Лицензионному договору </w:t>
      </w:r>
    </w:p>
    <w:p>
      <w:pPr>
        <w:pStyle w:val="Normal"/>
        <w:tabs>
          <w:tab w:val="clear" w:pos="708"/>
          <w:tab w:val="left" w:pos="1418" w:leader="none"/>
        </w:tabs>
        <w:snapToGrid w:val="false"/>
        <w:spacing w:lineRule="auto" w:line="240"/>
        <w:ind w:firstLine="4678"/>
        <w:jc w:val="right"/>
        <w:rPr>
          <w:sz w:val="24"/>
          <w:szCs w:val="24"/>
        </w:rPr>
      </w:pPr>
      <w:r>
        <w:rPr>
          <w:sz w:val="24"/>
          <w:szCs w:val="24"/>
        </w:rPr>
        <w:t>от «____» ________ 20__ г. №____________</w:t>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r>
    </w:p>
    <w:p>
      <w:pPr>
        <w:pStyle w:val="Normal"/>
        <w:keepNext w:val="true"/>
        <w:keepLines/>
        <w:jc w:val="center"/>
        <w:rPr>
          <w:rFonts w:eastAsia="Calibri"/>
          <w:b/>
          <w:i w:val="false"/>
          <w:i w:val="false"/>
          <w:iCs w:val="false"/>
          <w:sz w:val="26"/>
          <w:szCs w:val="26"/>
        </w:rPr>
      </w:pPr>
      <w:r>
        <w:rPr>
          <w:rFonts w:eastAsia="Calibri"/>
          <w:b/>
          <w:i w:val="false"/>
          <w:iCs w:val="false"/>
          <w:sz w:val="26"/>
          <w:szCs w:val="26"/>
        </w:rPr>
        <w:t>ТЕХНИЧЕСКИЕ ТРЕБОВАНИЯ</w:t>
      </w:r>
    </w:p>
    <w:p>
      <w:pPr>
        <w:pStyle w:val="Normal"/>
        <w:widowControl w:val="false"/>
        <w:tabs>
          <w:tab w:val="clear" w:pos="708"/>
          <w:tab w:val="left" w:pos="426" w:leader="none"/>
        </w:tabs>
        <w:spacing w:before="120" w:after="120"/>
        <w:jc w:val="center"/>
        <w:rPr/>
      </w:pPr>
      <w:r>
        <w:rPr>
          <w:rFonts w:eastAsia="Calibri" w:cs="Times New Roman"/>
          <w:b/>
          <w:i w:val="false"/>
          <w:iCs w:val="false"/>
          <w:kern w:val="0"/>
          <w:sz w:val="22"/>
          <w:szCs w:val="22"/>
          <w:lang w:val="ru-RU" w:eastAsia="en-US" w:bidi="ar-SA"/>
        </w:rPr>
        <w:t xml:space="preserve">ОКПД2 62.01.29.000 </w:t>
      </w:r>
      <w:r>
        <w:rPr>
          <w:rFonts w:eastAsia="Calibri" w:cs="Times New Roman"/>
          <w:b/>
          <w:i w:val="false"/>
          <w:iCs w:val="false"/>
          <w:kern w:val="0"/>
          <w:sz w:val="22"/>
          <w:szCs w:val="22"/>
          <w:lang w:val="ru-RU" w:eastAsia="en-US" w:bidi="ar-SA"/>
        </w:rPr>
        <w:t>Поставка</w:t>
      </w:r>
      <w:r>
        <w:rPr>
          <w:rFonts w:eastAsia="Calibri" w:cs="Times New Roman"/>
          <w:b/>
          <w:i w:val="false"/>
          <w:iCs w:val="false"/>
          <w:kern w:val="0"/>
          <w:sz w:val="22"/>
          <w:szCs w:val="22"/>
          <w:lang w:val="ru-RU" w:eastAsia="en-US" w:bidi="ar-SA"/>
        </w:rPr>
        <w:t xml:space="preserve"> Права на использование программы для ЭВМ «ГНИВЦ:Налоговый мониторинг. Дополнение к 1С:НМ, 1С:ERP.УХ, 1С:УХ 8.(версия 2027 г.). Электронная поставка. Продление» </w:t>
      </w:r>
      <w:r>
        <w:rPr>
          <w:rFonts w:eastAsia="Calibri" w:cs="Times New Roman"/>
          <w:b/>
          <w:i w:val="false"/>
          <w:iCs w:val="false"/>
          <w:kern w:val="0"/>
          <w:sz w:val="22"/>
          <w:szCs w:val="22"/>
          <w:lang w:val="ru-RU" w:eastAsia="en-US" w:bidi="ar-SA"/>
        </w:rPr>
        <w:t>для нужд Исполнительного аппарата</w:t>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p>
      <w:pPr>
        <w:pStyle w:val="Normal"/>
        <w:spacing w:lineRule="auto" w:line="360"/>
        <w:jc w:val="center"/>
        <w:rPr>
          <w:rFonts w:ascii="Times New Roman" w:hAnsi="Times New Roman"/>
          <w:i w:val="false"/>
          <w:i w:val="false"/>
          <w:iCs w:val="false"/>
        </w:rPr>
      </w:pPr>
      <w:r>
        <w:rPr>
          <w:i w:val="false"/>
          <w:iCs w:val="false"/>
        </w:rPr>
      </w:r>
    </w:p>
    <w:sectPr>
      <w:headerReference w:type="default" r:id="rId11"/>
      <w:headerReference w:type="first" r:id="rId12"/>
      <w:footerReference w:type="default" r:id="rId13"/>
      <w:footerReference w:type="first" r:id="rId14"/>
      <w:footnotePr>
        <w:numFmt w:val="decimal"/>
      </w:footnotePr>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84367510"/>
    </w:sdtPr>
    <w:sdtContent>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16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ind w:hanging="0"/>
        <w:rPr/>
      </w:pPr>
      <w:r>
        <w:rPr>
          <w:rStyle w:val="Style9"/>
        </w:rPr>
        <w:footnoteRef/>
      </w:r>
      <w:r>
        <w:rPr/>
        <w:t xml:space="preserve"> </w:t>
      </w:r>
      <w:r>
        <w:rPr/>
        <w:t>Порядковый номер реестровой записи, под которой ПО включено в единый реестр российских программ для ЭВМ и баз данных, предусмотренные Постановлением Правительства Российской Федерации от 16.11.2015 года № 1236 «Об установлении запрета на допуск иностранного программного обеспечения при покупках для государственных и муниципальных нужд»</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right"/>
      <w:rPr>
        <w:sz w:val="20"/>
        <w:szCs w:val="20"/>
        <w:lang w:val="ru-RU"/>
      </w:rPr>
    </w:pPr>
    <w:r>
      <w:rPr>
        <w:sz w:val="20"/>
        <w:szCs w:val="20"/>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ind w:hanging="0"/>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852"/>
        </w:tabs>
        <w:ind w:left="1561" w:hanging="708"/>
      </w:pPr>
      <w:rPr>
        <w:b/>
      </w:rPr>
    </w:lvl>
    <w:lvl w:ilvl="1">
      <w:start w:val="1"/>
      <w:numFmt w:val="decimal"/>
      <w:lvlText w:val="%1.%2."/>
      <w:lvlJc w:val="left"/>
      <w:pPr>
        <w:tabs>
          <w:tab w:val="num" w:pos="1276"/>
        </w:tabs>
        <w:ind w:left="1276" w:hanging="708"/>
      </w:pPr>
      <w:rPr>
        <w:sz w:val="24"/>
        <w:b w:val="false"/>
        <w:szCs w:val="24"/>
      </w:rPr>
    </w:lvl>
    <w:lvl w:ilvl="2">
      <w:start w:val="1"/>
      <w:numFmt w:val="decimal"/>
      <w:lvlText w:val="%1.%2.%3."/>
      <w:lvlJc w:val="left"/>
      <w:pPr>
        <w:tabs>
          <w:tab w:val="num" w:pos="1561"/>
        </w:tabs>
        <w:ind w:left="1561" w:hanging="709"/>
      </w:pPr>
      <w:rPr/>
    </w:lvl>
    <w:lvl w:ilvl="3">
      <w:start w:val="1"/>
      <w:numFmt w:val="decimal"/>
      <w:lvlText w:val="%1.%2.%3.%4."/>
      <w:lvlJc w:val="left"/>
      <w:pPr>
        <w:tabs>
          <w:tab w:val="num" w:pos="1932"/>
        </w:tabs>
        <w:ind w:left="1561" w:hanging="709"/>
      </w:pPr>
      <w:rPr>
        <w:i w:val="false"/>
        <w:b w:val="false"/>
      </w:rPr>
    </w:lvl>
    <w:lvl w:ilvl="4">
      <w:start w:val="1"/>
      <w:numFmt w:val="decimal"/>
      <w:lvlText w:val="%1.%2.%3.%4.%5."/>
      <w:lvlJc w:val="left"/>
      <w:pPr>
        <w:tabs>
          <w:tab w:val="num" w:pos="852"/>
        </w:tabs>
        <w:ind w:left="4392" w:hanging="708"/>
      </w:pPr>
      <w:rPr/>
    </w:lvl>
    <w:lvl w:ilvl="5">
      <w:start w:val="1"/>
      <w:numFmt w:val="decimal"/>
      <w:lvlText w:val="%1.%2.%3.%4.%5.%6."/>
      <w:lvlJc w:val="left"/>
      <w:pPr>
        <w:tabs>
          <w:tab w:val="num" w:pos="852"/>
        </w:tabs>
        <w:ind w:left="5100" w:hanging="708"/>
      </w:pPr>
      <w:rPr/>
    </w:lvl>
    <w:lvl w:ilvl="6">
      <w:start w:val="1"/>
      <w:numFmt w:val="decimal"/>
      <w:lvlText w:val="%1.%2.%3.%4.%5.%6.%7."/>
      <w:lvlJc w:val="left"/>
      <w:pPr>
        <w:tabs>
          <w:tab w:val="num" w:pos="852"/>
        </w:tabs>
        <w:ind w:left="5808" w:hanging="708"/>
      </w:pPr>
      <w:rPr/>
    </w:lvl>
    <w:lvl w:ilvl="7">
      <w:start w:val="1"/>
      <w:numFmt w:val="decimal"/>
      <w:lvlText w:val="%1.%2.%3.%4.%5.%6.%7.%8."/>
      <w:lvlJc w:val="left"/>
      <w:pPr>
        <w:tabs>
          <w:tab w:val="num" w:pos="852"/>
        </w:tabs>
        <w:ind w:left="6516" w:hanging="708"/>
      </w:pPr>
      <w:rPr/>
    </w:lvl>
    <w:lvl w:ilvl="8">
      <w:start w:val="1"/>
      <w:numFmt w:val="decimal"/>
      <w:lvlText w:val="%1.%2.%3.%4.%5.%6.%7.%8.%9."/>
      <w:lvlJc w:val="left"/>
      <w:pPr>
        <w:tabs>
          <w:tab w:val="num" w:pos="852"/>
        </w:tabs>
        <w:ind w:left="7224" w:hanging="708"/>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0"/>
        </w:tabs>
        <w:ind w:left="4887" w:hanging="360"/>
      </w:pPr>
      <w:rPr/>
    </w:lvl>
    <w:lvl w:ilvl="6">
      <w:start w:val="1"/>
      <w:numFmt w:val="decimal"/>
      <w:lvlText w:val="%7."/>
      <w:lvlJc w:val="left"/>
      <w:pPr>
        <w:tabs>
          <w:tab w:val="num" w:pos="0"/>
        </w:tabs>
        <w:ind w:left="5607" w:hanging="360"/>
      </w:pPr>
      <w:rPr/>
    </w:lvl>
    <w:lvl w:ilvl="7">
      <w:start w:val="1"/>
      <w:numFmt w:val="decimal"/>
      <w:lvlText w:val="%8."/>
      <w:lvlJc w:val="left"/>
      <w:pPr>
        <w:tabs>
          <w:tab w:val="num" w:pos="0"/>
        </w:tabs>
        <w:ind w:left="6327" w:hanging="360"/>
      </w:pPr>
      <w:rPr/>
    </w:lvl>
    <w:lvl w:ilvl="8">
      <w:start w:val="1"/>
      <w:numFmt w:val="decimal"/>
      <w:lvlText w:val="%9."/>
      <w:lvlJc w:val="left"/>
      <w:pPr>
        <w:tabs>
          <w:tab w:val="num" w:pos="0"/>
        </w:tabs>
        <w:ind w:left="7047" w:hanging="360"/>
      </w:pPr>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88" w:hanging="360"/>
      </w:pPr>
      <w:rPr>
        <w:rFonts w:ascii="Symbol" w:hAnsi="Symbol" w:cs="Symbol" w:hint="default"/>
      </w:rPr>
    </w:lvl>
    <w:lvl w:ilvl="1">
      <w:start w:val="1"/>
      <w:numFmt w:val="bullet"/>
      <w:lvlText w:val="o"/>
      <w:lvlJc w:val="left"/>
      <w:pPr>
        <w:tabs>
          <w:tab w:val="num" w:pos="0"/>
        </w:tabs>
        <w:ind w:left="2208" w:hanging="360"/>
      </w:pPr>
      <w:rPr>
        <w:rFonts w:ascii="Courier New" w:hAnsi="Courier New" w:cs="Courier New" w:hint="default"/>
      </w:rPr>
    </w:lvl>
    <w:lvl w:ilvl="2">
      <w:start w:val="1"/>
      <w:numFmt w:val="bullet"/>
      <w:lvlText w:val=""/>
      <w:lvlJc w:val="left"/>
      <w:pPr>
        <w:tabs>
          <w:tab w:val="num" w:pos="0"/>
        </w:tabs>
        <w:ind w:left="2928" w:hanging="360"/>
      </w:pPr>
      <w:rPr>
        <w:rFonts w:ascii="Wingdings" w:hAnsi="Wingdings" w:cs="Wingdings" w:hint="default"/>
      </w:rPr>
    </w:lvl>
    <w:lvl w:ilvl="3">
      <w:start w:val="1"/>
      <w:numFmt w:val="bullet"/>
      <w:lvlText w:val=""/>
      <w:lvlJc w:val="left"/>
      <w:pPr>
        <w:tabs>
          <w:tab w:val="num" w:pos="0"/>
        </w:tabs>
        <w:ind w:left="3648" w:hanging="360"/>
      </w:pPr>
      <w:rPr>
        <w:rFonts w:ascii="Symbol" w:hAnsi="Symbol" w:cs="Symbol" w:hint="default"/>
      </w:rPr>
    </w:lvl>
    <w:lvl w:ilvl="4">
      <w:start w:val="1"/>
      <w:numFmt w:val="bullet"/>
      <w:lvlText w:val="o"/>
      <w:lvlJc w:val="left"/>
      <w:pPr>
        <w:tabs>
          <w:tab w:val="num" w:pos="0"/>
        </w:tabs>
        <w:ind w:left="4368" w:hanging="360"/>
      </w:pPr>
      <w:rPr>
        <w:rFonts w:ascii="Courier New" w:hAnsi="Courier New" w:cs="Courier New" w:hint="default"/>
      </w:rPr>
    </w:lvl>
    <w:lvl w:ilvl="5">
      <w:start w:val="1"/>
      <w:numFmt w:val="bullet"/>
      <w:lvlText w:val=""/>
      <w:lvlJc w:val="left"/>
      <w:pPr>
        <w:tabs>
          <w:tab w:val="num" w:pos="0"/>
        </w:tabs>
        <w:ind w:left="5088" w:hanging="360"/>
      </w:pPr>
      <w:rPr>
        <w:rFonts w:ascii="Wingdings" w:hAnsi="Wingdings" w:cs="Wingdings" w:hint="default"/>
      </w:rPr>
    </w:lvl>
    <w:lvl w:ilvl="6">
      <w:start w:val="1"/>
      <w:numFmt w:val="bullet"/>
      <w:lvlText w:val=""/>
      <w:lvlJc w:val="left"/>
      <w:pPr>
        <w:tabs>
          <w:tab w:val="num" w:pos="0"/>
        </w:tabs>
        <w:ind w:left="5808" w:hanging="360"/>
      </w:pPr>
      <w:rPr>
        <w:rFonts w:ascii="Symbol" w:hAnsi="Symbol" w:cs="Symbol" w:hint="default"/>
      </w:rPr>
    </w:lvl>
    <w:lvl w:ilvl="7">
      <w:start w:val="1"/>
      <w:numFmt w:val="bullet"/>
      <w:lvlText w:val="o"/>
      <w:lvlJc w:val="left"/>
      <w:pPr>
        <w:tabs>
          <w:tab w:val="num" w:pos="0"/>
        </w:tabs>
        <w:ind w:left="6528" w:hanging="360"/>
      </w:pPr>
      <w:rPr>
        <w:rFonts w:ascii="Courier New" w:hAnsi="Courier New" w:cs="Courier New" w:hint="default"/>
      </w:rPr>
    </w:lvl>
    <w:lvl w:ilvl="8">
      <w:start w:val="1"/>
      <w:numFmt w:val="bullet"/>
      <w:lvlText w:val=""/>
      <w:lvlJc w:val="left"/>
      <w:pPr>
        <w:tabs>
          <w:tab w:val="num" w:pos="0"/>
        </w:tabs>
        <w:ind w:left="7248" w:hanging="360"/>
      </w:pPr>
      <w:rPr>
        <w:rFonts w:ascii="Wingdings" w:hAnsi="Wingdings" w:cs="Wingdings" w:hint="default"/>
      </w:rPr>
    </w:lvl>
  </w:abstractNum>
  <w:abstractNum w:abstractNumId="8">
    <w:lvl w:ilvl="0">
      <w:start w:val="3"/>
      <w:numFmt w:val="decimal"/>
      <w:lvlText w:val="%1."/>
      <w:lvlJc w:val="left"/>
      <w:pPr>
        <w:tabs>
          <w:tab w:val="num" w:pos="0"/>
        </w:tabs>
        <w:ind w:left="9098" w:hanging="450"/>
      </w:pPr>
      <w:rPr>
        <w:b/>
      </w:rPr>
    </w:lvl>
    <w:lvl w:ilvl="1">
      <w:start w:val="1"/>
      <w:numFmt w:val="decimal"/>
      <w:lvlText w:val="%1.%2."/>
      <w:lvlJc w:val="left"/>
      <w:pPr>
        <w:tabs>
          <w:tab w:val="num" w:pos="0"/>
        </w:tabs>
        <w:ind w:left="6816" w:hanging="720"/>
      </w:pPr>
      <w:rPr>
        <w:b w:val="false"/>
      </w:rPr>
    </w:lvl>
    <w:lvl w:ilvl="2">
      <w:start w:val="1"/>
      <w:numFmt w:val="decimal"/>
      <w:lvlText w:val="%1.%2.%3."/>
      <w:lvlJc w:val="left"/>
      <w:pPr>
        <w:tabs>
          <w:tab w:val="num" w:pos="0"/>
        </w:tabs>
        <w:ind w:left="8234" w:hanging="720"/>
      </w:pPr>
      <w:rPr>
        <w:color w:val="auto"/>
      </w:rPr>
    </w:lvl>
    <w:lvl w:ilvl="3">
      <w:start w:val="1"/>
      <w:numFmt w:val="decimal"/>
      <w:lvlText w:val="%1.%2.%3.%4."/>
      <w:lvlJc w:val="left"/>
      <w:pPr>
        <w:tabs>
          <w:tab w:val="num" w:pos="0"/>
        </w:tabs>
        <w:ind w:left="9161" w:hanging="1080"/>
      </w:pPr>
      <w:rPr/>
    </w:lvl>
    <w:lvl w:ilvl="4">
      <w:start w:val="1"/>
      <w:numFmt w:val="decimal"/>
      <w:lvlText w:val="%1.%2.%3.%4.%5."/>
      <w:lvlJc w:val="left"/>
      <w:pPr>
        <w:tabs>
          <w:tab w:val="num" w:pos="0"/>
        </w:tabs>
        <w:ind w:left="9728" w:hanging="1080"/>
      </w:pPr>
      <w:rPr/>
    </w:lvl>
    <w:lvl w:ilvl="5">
      <w:start w:val="1"/>
      <w:numFmt w:val="decimal"/>
      <w:lvlText w:val="%1.%2.%3.%4.%5.%6."/>
      <w:lvlJc w:val="left"/>
      <w:pPr>
        <w:tabs>
          <w:tab w:val="num" w:pos="0"/>
        </w:tabs>
        <w:ind w:left="10655" w:hanging="1440"/>
      </w:pPr>
      <w:rPr/>
    </w:lvl>
    <w:lvl w:ilvl="6">
      <w:start w:val="1"/>
      <w:numFmt w:val="decimal"/>
      <w:lvlText w:val="%1.%2.%3.%4.%5.%6.%7."/>
      <w:lvlJc w:val="left"/>
      <w:pPr>
        <w:tabs>
          <w:tab w:val="num" w:pos="0"/>
        </w:tabs>
        <w:ind w:left="11582" w:hanging="1800"/>
      </w:pPr>
      <w:rPr/>
    </w:lvl>
    <w:lvl w:ilvl="7">
      <w:start w:val="1"/>
      <w:numFmt w:val="decimal"/>
      <w:lvlText w:val="%1.%2.%3.%4.%5.%6.%7.%8."/>
      <w:lvlJc w:val="left"/>
      <w:pPr>
        <w:tabs>
          <w:tab w:val="num" w:pos="0"/>
        </w:tabs>
        <w:ind w:left="12149" w:hanging="1800"/>
      </w:pPr>
      <w:rPr/>
    </w:lvl>
    <w:lvl w:ilvl="8">
      <w:start w:val="1"/>
      <w:numFmt w:val="decimal"/>
      <w:lvlText w:val="%1.%2.%3.%4.%5.%6.%7.%8.%9."/>
      <w:lvlJc w:val="left"/>
      <w:pPr>
        <w:tabs>
          <w:tab w:val="num" w:pos="0"/>
        </w:tabs>
        <w:ind w:left="13076" w:hanging="2160"/>
      </w:pPr>
      <w:rPr/>
    </w:lvl>
  </w:abstractNum>
  <w:abstractNum w:abstractNumId="9">
    <w:lvl w:ilvl="0">
      <w:start w:val="2"/>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
    <w:lvl w:ilvl="0">
      <w:start w:val="4"/>
      <w:numFmt w:val="decimal"/>
      <w:lvlText w:val="%1."/>
      <w:lvlJc w:val="left"/>
      <w:pPr>
        <w:tabs>
          <w:tab w:val="num" w:pos="0"/>
        </w:tabs>
        <w:ind w:left="540" w:hanging="540"/>
      </w:pPr>
      <w:rPr/>
    </w:lvl>
    <w:lvl w:ilvl="1">
      <w:start w:val="2"/>
      <w:numFmt w:val="decimal"/>
      <w:lvlText w:val="%1.%2."/>
      <w:lvlJc w:val="left"/>
      <w:pPr>
        <w:tabs>
          <w:tab w:val="num" w:pos="0"/>
        </w:tabs>
        <w:ind w:left="4657" w:hanging="540"/>
      </w:pPr>
      <w:rPr/>
    </w:lvl>
    <w:lvl w:ilvl="2">
      <w:start w:val="6"/>
      <w:numFmt w:val="decimal"/>
      <w:lvlText w:val="%1.%2.%3."/>
      <w:lvlJc w:val="left"/>
      <w:pPr>
        <w:tabs>
          <w:tab w:val="num" w:pos="0"/>
        </w:tabs>
        <w:ind w:left="8954" w:hanging="720"/>
      </w:pPr>
      <w:rPr/>
    </w:lvl>
    <w:lvl w:ilvl="3">
      <w:start w:val="1"/>
      <w:numFmt w:val="decimal"/>
      <w:lvlText w:val="%1.%2.%3.%4."/>
      <w:lvlJc w:val="left"/>
      <w:pPr>
        <w:tabs>
          <w:tab w:val="num" w:pos="0"/>
        </w:tabs>
        <w:ind w:left="13071" w:hanging="720"/>
      </w:pPr>
      <w:rPr/>
    </w:lvl>
    <w:lvl w:ilvl="4">
      <w:start w:val="1"/>
      <w:numFmt w:val="decimal"/>
      <w:lvlText w:val="%1.%2.%3.%4.%5."/>
      <w:lvlJc w:val="left"/>
      <w:pPr>
        <w:tabs>
          <w:tab w:val="num" w:pos="0"/>
        </w:tabs>
        <w:ind w:left="17548" w:hanging="1080"/>
      </w:pPr>
      <w:rPr/>
    </w:lvl>
    <w:lvl w:ilvl="5">
      <w:start w:val="1"/>
      <w:numFmt w:val="decimal"/>
      <w:lvlText w:val="%1.%2.%3.%4.%5.%6."/>
      <w:lvlJc w:val="left"/>
      <w:pPr>
        <w:tabs>
          <w:tab w:val="num" w:pos="0"/>
        </w:tabs>
        <w:ind w:left="21665" w:hanging="1080"/>
      </w:pPr>
      <w:rPr/>
    </w:lvl>
    <w:lvl w:ilvl="6">
      <w:start w:val="1"/>
      <w:numFmt w:val="decimal"/>
      <w:lvlText w:val="%1.%2.%3.%4.%5.%6.%7."/>
      <w:lvlJc w:val="left"/>
      <w:pPr>
        <w:tabs>
          <w:tab w:val="num" w:pos="0"/>
        </w:tabs>
        <w:ind w:left="26142" w:hanging="1440"/>
      </w:pPr>
      <w:rPr/>
    </w:lvl>
    <w:lvl w:ilvl="7">
      <w:start w:val="1"/>
      <w:numFmt w:val="decimal"/>
      <w:lvlText w:val="%1.%2.%3.%4.%5.%6.%7.%8."/>
      <w:lvlJc w:val="left"/>
      <w:pPr>
        <w:tabs>
          <w:tab w:val="num" w:pos="0"/>
        </w:tabs>
        <w:ind w:left="30259" w:hanging="1440"/>
      </w:pPr>
      <w:rPr/>
    </w:lvl>
    <w:lvl w:ilvl="8">
      <w:start w:val="1"/>
      <w:numFmt w:val="decimal"/>
      <w:lvlText w:val="%1.%2.%3.%4.%5.%6.%7.%8.%9."/>
      <w:lvlJc w:val="left"/>
      <w:pPr>
        <w:tabs>
          <w:tab w:val="num" w:pos="0"/>
        </w:tabs>
        <w:ind w:left="-30800" w:hanging="1800"/>
      </w:pPr>
      <w:rPr/>
    </w:lvl>
  </w:abstractNum>
  <w:abstractNum w:abstractNumId="1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4" w:hanging="540"/>
      </w:pPr>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2">
    <w:lvl w:ilvl="0">
      <w:start w:val="5"/>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432e"/>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qFormat/>
    <w:pPr>
      <w:numPr>
        <w:ilvl w:val="0"/>
        <w:numId w:val="0"/>
      </w:numPr>
      <w:ind w:hanging="426" w:left="426" w:right="0"/>
      <w:outlineLvl w:val="0"/>
    </w:pPr>
    <w:rPr>
      <w:sz w:val="28"/>
      <w:szCs w:val="28"/>
    </w:rPr>
  </w:style>
  <w:style w:type="paragraph" w:styleId="Heading3">
    <w:name w:val="Heading 3"/>
    <w:basedOn w:val="Normal"/>
    <w:next w:val="Normal"/>
    <w:qFormat/>
    <w:pPr>
      <w:keepNext w:val="true"/>
      <w:numPr>
        <w:ilvl w:val="0"/>
        <w:numId w:val="0"/>
      </w:numPr>
      <w:tabs>
        <w:tab w:val="clear" w:pos="708"/>
        <w:tab w:val="left" w:pos="0" w:leader="none"/>
      </w:tabs>
      <w:spacing w:before="120" w:after="60"/>
      <w:ind w:hanging="426" w:left="426" w:right="0"/>
      <w:outlineLvl w:val="2"/>
    </w:pPr>
    <w:rPr>
      <w:rFonts w:eastAsia="Calibri"/>
      <w:b/>
      <w:sz w:val="24"/>
      <w:szCs w:val="24"/>
      <w:lang w:val="x-none" w:eastAsia="x-none"/>
    </w:rPr>
  </w:style>
  <w:style w:type="paragraph" w:styleId="Heading4">
    <w:name w:val="Heading 4"/>
    <w:basedOn w:val="Heading3"/>
    <w:next w:val="Normal"/>
    <w:qFormat/>
    <w:pPr>
      <w:numPr>
        <w:ilvl w:val="0"/>
        <w:numId w:val="0"/>
      </w:numPr>
      <w:ind w:hanging="426" w:left="426" w:right="0"/>
      <w:outlineLvl w:val="3"/>
    </w:pPr>
    <w:rPr>
      <w:bCs/>
    </w:rPr>
  </w:style>
  <w:style w:type="paragraph" w:styleId="Heading9">
    <w:name w:val="Heading 9"/>
    <w:basedOn w:val="Normal"/>
    <w:next w:val="Normal"/>
    <w:link w:val="9"/>
    <w:uiPriority w:val="9"/>
    <w:semiHidden/>
    <w:unhideWhenUsed/>
    <w:qFormat/>
    <w:rsid w:val="00c0432e"/>
    <w:pPr>
      <w:spacing w:lineRule="auto" w:line="240" w:before="240" w:after="60"/>
      <w:ind w:hanging="0"/>
      <w:jc w:val="left"/>
      <w:outlineLvl w:val="8"/>
    </w:pPr>
    <w:rPr>
      <w:rFonts w:ascii="Cambria" w:hAnsi="Cambria"/>
      <w:sz w:val="20"/>
      <w:szCs w:val="20"/>
      <w:lang w:val="x-none" w:eastAsia="x-none"/>
    </w:rPr>
  </w:style>
  <w:style w:type="character" w:styleId="DefaultParagraphFont" w:default="1">
    <w:name w:val="Default Paragraph Font"/>
    <w:uiPriority w:val="1"/>
    <w:semiHidden/>
    <w:unhideWhenUsed/>
    <w:qFormat/>
    <w:rPr/>
  </w:style>
  <w:style w:type="character" w:styleId="9" w:customStyle="1">
    <w:name w:val="Заголовок 9 Знак"/>
    <w:basedOn w:val="DefaultParagraphFont"/>
    <w:uiPriority w:val="9"/>
    <w:semiHidden/>
    <w:qFormat/>
    <w:rsid w:val="00c0432e"/>
    <w:rPr>
      <w:rFonts w:ascii="Cambria" w:hAnsi="Cambria" w:eastAsia="Times New Roman" w:cs="Times New Roman"/>
      <w:sz w:val="20"/>
      <w:szCs w:val="20"/>
      <w:lang w:val="x-none" w:eastAsia="x-none"/>
    </w:rPr>
  </w:style>
  <w:style w:type="character" w:styleId="Style5" w:customStyle="1">
    <w:name w:val="Верхний колонтитул Знак"/>
    <w:basedOn w:val="DefaultParagraphFont"/>
    <w:uiPriority w:val="99"/>
    <w:qFormat/>
    <w:rsid w:val="00c0432e"/>
    <w:rPr>
      <w:rFonts w:ascii="Times New Roman" w:hAnsi="Times New Roman" w:eastAsia="Times New Roman" w:cs="Times New Roman"/>
      <w:sz w:val="28"/>
      <w:szCs w:val="28"/>
      <w:lang w:val="x-none" w:eastAsia="x-none"/>
    </w:rPr>
  </w:style>
  <w:style w:type="character" w:styleId="Style6" w:customStyle="1">
    <w:name w:val="Нижний колонтитул Знак"/>
    <w:basedOn w:val="DefaultParagraphFont"/>
    <w:uiPriority w:val="99"/>
    <w:qFormat/>
    <w:rsid w:val="00c0432e"/>
    <w:rPr>
      <w:rFonts w:ascii="Times New Roman" w:hAnsi="Times New Roman" w:eastAsia="Times New Roman" w:cs="Times New Roman"/>
      <w:sz w:val="28"/>
      <w:szCs w:val="28"/>
      <w:lang w:val="x-none" w:eastAsia="x-none"/>
    </w:rPr>
  </w:style>
  <w:style w:type="character" w:styleId="Style7" w:customStyle="1">
    <w:name w:val="Абзац списка Знак"/>
    <w:link w:val="ListParagraph"/>
    <w:uiPriority w:val="34"/>
    <w:qFormat/>
    <w:locked/>
    <w:rsid w:val="00c0432e"/>
    <w:rPr>
      <w:rFonts w:ascii="Times New Roman" w:hAnsi="Times New Roman" w:eastAsia="Times New Roman" w:cs="Times New Roman"/>
      <w:sz w:val="24"/>
      <w:szCs w:val="24"/>
      <w:lang w:eastAsia="ru-RU"/>
    </w:rPr>
  </w:style>
  <w:style w:type="character" w:styleId="Style8" w:customStyle="1">
    <w:name w:val="Текст выноски Знак"/>
    <w:basedOn w:val="DefaultParagraphFont"/>
    <w:link w:val="BalloonText"/>
    <w:uiPriority w:val="99"/>
    <w:semiHidden/>
    <w:qFormat/>
    <w:rsid w:val="00c0432e"/>
    <w:rPr>
      <w:rFonts w:ascii="Segoe UI" w:hAnsi="Segoe UI" w:eastAsia="Times New Roman" w:cs="Segoe UI"/>
      <w:sz w:val="18"/>
      <w:szCs w:val="18"/>
      <w:lang w:eastAsia="ru-RU"/>
    </w:rPr>
  </w:style>
  <w:style w:type="character" w:styleId="Style9">
    <w:name w:val="Символ сноски"/>
    <w:uiPriority w:val="99"/>
    <w:qFormat/>
    <w:rsid w:val="00c0432e"/>
    <w:rPr>
      <w:vertAlign w:val="superscript"/>
    </w:rPr>
  </w:style>
  <w:style w:type="character" w:styleId="FootnoteReference">
    <w:name w:val="Footnote Reference"/>
    <w:rPr>
      <w:vertAlign w:val="superscript"/>
    </w:rPr>
  </w:style>
  <w:style w:type="character" w:styleId="Style10" w:customStyle="1">
    <w:name w:val="Текст сноски Знак"/>
    <w:basedOn w:val="DefaultParagraphFont"/>
    <w:uiPriority w:val="99"/>
    <w:qFormat/>
    <w:rsid w:val="00c0432e"/>
    <w:rPr>
      <w:rFonts w:ascii="Times New Roman" w:hAnsi="Times New Roman" w:eastAsia="Times New Roman" w:cs="Times New Roman"/>
      <w:sz w:val="20"/>
      <w:szCs w:val="20"/>
      <w:lang w:eastAsia="ru-RU"/>
    </w:rPr>
  </w:style>
  <w:style w:type="character" w:styleId="Annotationreference">
    <w:name w:val="annotation reference"/>
    <w:uiPriority w:val="99"/>
    <w:semiHidden/>
    <w:unhideWhenUsed/>
    <w:qFormat/>
    <w:rsid w:val="00c0432e"/>
    <w:rPr>
      <w:sz w:val="16"/>
      <w:szCs w:val="16"/>
    </w:rPr>
  </w:style>
  <w:style w:type="character" w:styleId="Style11" w:customStyle="1">
    <w:name w:val="Текст примечания Знак"/>
    <w:basedOn w:val="DefaultParagraphFont"/>
    <w:link w:val="Annotationtext"/>
    <w:uiPriority w:val="99"/>
    <w:qFormat/>
    <w:rsid w:val="00c0432e"/>
    <w:rPr>
      <w:rFonts w:ascii="Times New Roman" w:hAnsi="Times New Roman" w:eastAsia="Times New Roman" w:cs="Times New Roman"/>
      <w:sz w:val="20"/>
      <w:szCs w:val="20"/>
      <w:lang w:val="x-none" w:eastAsia="x-none"/>
    </w:rPr>
  </w:style>
  <w:style w:type="character" w:styleId="Style12" w:customStyle="1">
    <w:name w:val="Тема примечания Знак"/>
    <w:basedOn w:val="Style11"/>
    <w:link w:val="Annotationsubject"/>
    <w:uiPriority w:val="99"/>
    <w:semiHidden/>
    <w:qFormat/>
    <w:rsid w:val="00c0432e"/>
    <w:rPr>
      <w:rFonts w:ascii="Times New Roman" w:hAnsi="Times New Roman" w:eastAsia="Times New Roman" w:cs="Times New Roman"/>
      <w:b/>
      <w:bCs/>
      <w:sz w:val="20"/>
      <w:szCs w:val="20"/>
      <w:lang w:val="x-none" w:eastAsia="ru-RU"/>
    </w:rPr>
  </w:style>
  <w:style w:type="character" w:styleId="Hyperlink">
    <w:name w:val="Hyperlink"/>
    <w:basedOn w:val="DefaultParagraphFont"/>
    <w:uiPriority w:val="99"/>
    <w:unhideWhenUsed/>
    <w:rsid w:val="00c0432e"/>
    <w:rPr>
      <w:color w:val="0563C1" w:themeColor="hyperlink"/>
      <w:u w:val="single"/>
    </w:rPr>
  </w:style>
  <w:style w:type="character" w:styleId="Style13" w:customStyle="1">
    <w:name w:val="Основной текст_"/>
    <w:link w:val="3"/>
    <w:qFormat/>
    <w:rsid w:val="00c0432e"/>
    <w:rPr>
      <w:rFonts w:ascii="Times New Roman" w:hAnsi="Times New Roman" w:eastAsia="Times New Roman" w:cs="Times New Roman"/>
      <w:sz w:val="23"/>
      <w:szCs w:val="23"/>
      <w:shd w:fill="FFFFFF" w:val="clear"/>
    </w:rPr>
  </w:style>
  <w:style w:type="character" w:styleId="Emphasis">
    <w:name w:val="Emphasis"/>
    <w:basedOn w:val="DefaultParagraphFont"/>
    <w:uiPriority w:val="20"/>
    <w:qFormat/>
    <w:rsid w:val="00c0432e"/>
    <w:rPr>
      <w:i/>
      <w:iCs/>
    </w:rPr>
  </w:style>
  <w:style w:type="character" w:styleId="Style14">
    <w:name w:val="Символ концевой сноски"/>
    <w:qFormat/>
    <w:rPr>
      <w:vertAlign w:val="superscript"/>
    </w:rPr>
  </w:style>
  <w:style w:type="character" w:styleId="EndnoteReference">
    <w:name w:val="Endnote Reference"/>
    <w:rPr>
      <w:vertAlign w:val="superscript"/>
    </w:rPr>
  </w:style>
  <w:style w:type="character" w:styleId="Style15">
    <w:name w:val="Ссылка указателя"/>
    <w:qFormat/>
    <w:rPr/>
  </w:style>
  <w:style w:type="character" w:styleId="Style16">
    <w:name w:val="Символ нумерации"/>
    <w:qFormat/>
    <w:rPr/>
  </w:style>
  <w:style w:type="character" w:styleId="Style17">
    <w:name w:val="Основной шрифт абзаца"/>
    <w:qForma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Style20">
    <w:name w:val="Колонтитул"/>
    <w:basedOn w:val="Normal"/>
    <w:qFormat/>
    <w:pPr/>
    <w:rPr/>
  </w:style>
  <w:style w:type="paragraph" w:styleId="Header">
    <w:name w:val="Header"/>
    <w:basedOn w:val="Normal"/>
    <w:link w:val="Style5"/>
    <w:uiPriority w:val="99"/>
    <w:rsid w:val="00c0432e"/>
    <w:pPr>
      <w:tabs>
        <w:tab w:val="clear" w:pos="708"/>
        <w:tab w:val="center" w:pos="4677" w:leader="none"/>
        <w:tab w:val="right" w:pos="9355" w:leader="none"/>
      </w:tabs>
    </w:pPr>
    <w:rPr>
      <w:lang w:val="x-none" w:eastAsia="x-none"/>
    </w:rPr>
  </w:style>
  <w:style w:type="paragraph" w:styleId="ListParagraph">
    <w:name w:val="List Paragraph"/>
    <w:basedOn w:val="Normal"/>
    <w:link w:val="Style7"/>
    <w:uiPriority w:val="34"/>
    <w:qFormat/>
    <w:rsid w:val="00c0432e"/>
    <w:pPr>
      <w:spacing w:lineRule="auto" w:line="240" w:before="0" w:after="0"/>
      <w:ind w:hanging="0" w:left="720"/>
      <w:contextualSpacing/>
      <w:jc w:val="left"/>
    </w:pPr>
    <w:rPr>
      <w:sz w:val="24"/>
      <w:szCs w:val="24"/>
    </w:rPr>
  </w:style>
  <w:style w:type="paragraph" w:styleId="Footer">
    <w:name w:val="Footer"/>
    <w:basedOn w:val="Normal"/>
    <w:link w:val="Style6"/>
    <w:uiPriority w:val="99"/>
    <w:rsid w:val="00c0432e"/>
    <w:pPr>
      <w:tabs>
        <w:tab w:val="clear" w:pos="708"/>
        <w:tab w:val="center" w:pos="4677" w:leader="none"/>
        <w:tab w:val="right" w:pos="9355" w:leader="none"/>
      </w:tabs>
      <w:spacing w:lineRule="auto" w:line="240"/>
    </w:pPr>
    <w:rPr>
      <w:lang w:val="x-none" w:eastAsia="x-none"/>
    </w:rPr>
  </w:style>
  <w:style w:type="paragraph" w:styleId="1" w:customStyle="1">
    <w:name w:val="Знак Знак Знак Знак Знак Знак Знак Знак Знак1"/>
    <w:basedOn w:val="Normal"/>
    <w:qFormat/>
    <w:rsid w:val="00c0432e"/>
    <w:pPr>
      <w:spacing w:lineRule="exact" w:line="240" w:before="0" w:after="160"/>
      <w:ind w:hanging="0"/>
    </w:pPr>
    <w:rPr>
      <w:rFonts w:ascii="Verdana" w:hAnsi="Verdana"/>
      <w:sz w:val="22"/>
      <w:szCs w:val="20"/>
      <w:lang w:val="en-US" w:eastAsia="en-US"/>
    </w:rPr>
  </w:style>
  <w:style w:type="paragraph" w:styleId="BalloonText">
    <w:name w:val="Balloon Text"/>
    <w:basedOn w:val="Normal"/>
    <w:link w:val="Style8"/>
    <w:uiPriority w:val="99"/>
    <w:semiHidden/>
    <w:unhideWhenUsed/>
    <w:qFormat/>
    <w:rsid w:val="00c0432e"/>
    <w:pPr>
      <w:spacing w:lineRule="auto" w:line="240"/>
    </w:pPr>
    <w:rPr>
      <w:rFonts w:ascii="Segoe UI" w:hAnsi="Segoe UI" w:cs="Segoe UI"/>
      <w:sz w:val="18"/>
      <w:szCs w:val="18"/>
    </w:rPr>
  </w:style>
  <w:style w:type="paragraph" w:styleId="FootnoteText">
    <w:name w:val="Footnote Text"/>
    <w:basedOn w:val="Normal"/>
    <w:link w:val="Style10"/>
    <w:uiPriority w:val="99"/>
    <w:unhideWhenUsed/>
    <w:rsid w:val="00c0432e"/>
    <w:pPr>
      <w:spacing w:lineRule="auto" w:line="240"/>
    </w:pPr>
    <w:rPr>
      <w:sz w:val="20"/>
      <w:szCs w:val="20"/>
    </w:rPr>
  </w:style>
  <w:style w:type="paragraph" w:styleId="Annotationtext">
    <w:name w:val="annotation text"/>
    <w:basedOn w:val="Normal"/>
    <w:link w:val="Style11"/>
    <w:uiPriority w:val="99"/>
    <w:unhideWhenUsed/>
    <w:qFormat/>
    <w:rsid w:val="00c0432e"/>
    <w:pPr>
      <w:spacing w:lineRule="auto" w:line="240"/>
      <w:ind w:hanging="0"/>
      <w:jc w:val="left"/>
    </w:pPr>
    <w:rPr>
      <w:sz w:val="20"/>
      <w:szCs w:val="20"/>
      <w:lang w:val="x-none" w:eastAsia="x-none"/>
    </w:rPr>
  </w:style>
  <w:style w:type="paragraph" w:styleId="Annotationsubject">
    <w:name w:val="annotation subject"/>
    <w:basedOn w:val="Annotationtext"/>
    <w:next w:val="Annotationtext"/>
    <w:link w:val="Style12"/>
    <w:uiPriority w:val="99"/>
    <w:semiHidden/>
    <w:unhideWhenUsed/>
    <w:qFormat/>
    <w:rsid w:val="00c0432e"/>
    <w:pPr>
      <w:ind w:firstLine="567"/>
      <w:jc w:val="both"/>
    </w:pPr>
    <w:rPr>
      <w:b/>
      <w:bCs/>
      <w:lang w:val="ru-RU" w:eastAsia="ru-RU"/>
    </w:rPr>
  </w:style>
  <w:style w:type="paragraph" w:styleId="Revision">
    <w:name w:val="Revision"/>
    <w:uiPriority w:val="99"/>
    <w:semiHidden/>
    <w:qFormat/>
    <w:rsid w:val="00c0432e"/>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3" w:customStyle="1">
    <w:name w:val="Основной текст3"/>
    <w:basedOn w:val="Normal"/>
    <w:link w:val="Style13"/>
    <w:qFormat/>
    <w:rsid w:val="00c0432e"/>
    <w:pPr>
      <w:widowControl w:val="false"/>
      <w:shd w:val="clear" w:color="auto" w:fill="FFFFFF"/>
      <w:spacing w:lineRule="atLeast" w:line="0" w:before="0" w:after="120"/>
      <w:ind w:hanging="4780"/>
      <w:jc w:val="left"/>
    </w:pPr>
    <w:rPr>
      <w:sz w:val="23"/>
      <w:szCs w:val="23"/>
      <w:lang w:eastAsia="en-US"/>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paragraph" w:styleId="TOC1">
    <w:name w:val="TOC 1"/>
    <w:basedOn w:val="Normal"/>
    <w:next w:val="Normal"/>
    <w:pPr>
      <w:spacing w:before="120" w:after="0"/>
    </w:pPr>
    <w:rPr>
      <w:rFonts w:cs="Calibri Light (Заголовки)"/>
      <w:b/>
      <w:bCs/>
      <w:sz w:val="24"/>
      <w:szCs w:val="24"/>
    </w:rPr>
  </w:style>
  <w:style w:type="paragraph" w:styleId="TOC4">
    <w:name w:val="TOC 4"/>
    <w:basedOn w:val="Normal"/>
    <w:next w:val="Normal"/>
    <w:pPr>
      <w:ind w:hanging="0" w:left="560" w:right="0"/>
    </w:pPr>
    <w:rPr>
      <w:rFonts w:cs="Calibri"/>
      <w:sz w:val="20"/>
      <w:szCs w:val="20"/>
    </w:rPr>
  </w:style>
  <w:style w:type="paragraph" w:styleId="TOC3">
    <w:name w:val="TOC 3"/>
    <w:basedOn w:val="Normal"/>
    <w:next w:val="Normal"/>
    <w:pPr>
      <w:ind w:hanging="0" w:left="280" w:right="0"/>
    </w:pPr>
    <w:rPr>
      <w:rFonts w:cs="Calibri"/>
      <w:sz w:val="20"/>
      <w:szCs w:val="20"/>
    </w:rPr>
  </w:style>
  <w:style w:type="paragraph" w:styleId="Style23">
    <w:name w:val="Таблица шапка"/>
    <w:basedOn w:val="Normal"/>
    <w:qFormat/>
    <w:pPr>
      <w:keepNext w:val="true"/>
      <w:spacing w:before="40" w:after="40"/>
      <w:ind w:hanging="0" w:left="57" w:right="57"/>
    </w:pPr>
    <w:rPr>
      <w:sz w:val="22"/>
      <w:szCs w:val="26"/>
    </w:rPr>
  </w:style>
  <w:style w:type="paragraph" w:styleId="TOC2">
    <w:name w:val="TOC 2"/>
    <w:basedOn w:val="Style19"/>
    <w:pPr>
      <w:tabs>
        <w:tab w:val="clear" w:pos="708"/>
        <w:tab w:val="right" w:pos="9354" w:leader="dot"/>
      </w:tabs>
      <w:ind w:hanging="0" w:left="283"/>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c043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idroremont@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41e__x0447__x0435__x0440__x0435__x0434__x043d__x043e__x0441__x0442__x044c_ xmlns="75154809-fd38-42a0-b586-1650e2ddd624" xsi:nil="true"/>
    <_x041a__x043e__x043d__x0442__x0440__x043e__x043b__x044c__x0020__x0446__x0435__x043b__x043e__x0441__x0442__x043d__x043e__x0441__x0442__x0438_ xmlns="cbe06b19-a62a-41ae-ab83-c6ecdd26466e">false</_x041a__x043e__x043d__x0442__x0440__x043e__x043b__x044c__x0020__x0446__x0435__x043b__x043e__x0441__x0442__x043d__x043e__x0441__x0442__x0438_>
    <_x041f__x0440__x0438__x043e__x0440__x0438__x0442__x0435__x0442_ xmlns="75154809-fd38-42a0-b586-1650e2ddd624">Низкий</_x041f__x0440__x0438__x043e__x0440__x0438__x0442__x0435__x0442_>
    <_x041c__x0435__x0442__x043a__x0430_ xmlns="75154809-fd38-42a0-b586-1650e2ddd624">false</_x041c__x0435__x0442__x043a__x0430_>
    <_x043e__x0444__x002e__x0020__x2116__x0020__x0434__x043e__x043a__x002d__x0442__x0430_ xmlns="75154809-fd38-42a0-b586-1650e2ddd624" xsi:nil="true"/>
    <_x041f__x0440__x043e__x0435__x043a__x0442_ xmlns="cbe06b19-a62a-41ae-ab83-c6ecdd26466e" xsi:nil="true"/>
    <_x043e__x0444__x002e__x0020__x0434__x0430__x0442__x0430__x0020__x0434__x043e__x043a__x002d__x0442__x0430_ xmlns="75154809-fd38-42a0-b586-1650e2ddd624" xsi:nil="true"/>
    <_x041d__x0430__x043f__x0440__x0430__x0432__x043b__x0435__x043d__x0438__x0435__x0020__x0434__x043e__x043a__x0443__x043c__x0435__x043d__x0442__x0430_ xmlns="cbe06b19-a62a-41ae-ab83-c6ecdd26466e">Входящий</_x041d__x0430__x043f__x0440__x0430__x0432__x043b__x0435__x043d__x0438__x0435__x0020__x0434__x043e__x043a__x0443__x043c__x0435__x043d__x0442__x0430_>
    <_x0421__x0442__x0430__x0442__x0443__x0441__x0020__x0434__x043e__x043a__x002d__x0442__x0430_ xmlns="75154809-fd38-42a0-b586-1650e2ddd624">(1) Электронный черновик</_x0421__x0442__x0430__x0442__x0443__x0441__x0020__x0434__x043e__x043a__x002d__x0442__x0430_>
    <_x0421__x043f__x043e__x0441__x043e__x0431__x0020__x043e__x043f__x043b__x0430__x0442__x044b_ xmlns="75154809-fd38-42a0-b586-1650e2ddd624">Безналично</_x0421__x043f__x043e__x0441__x043e__x0431__x0020__x043e__x043f__x043b__x0430__x0442__x044b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C70ABBB0E919E43B7A42933CEDA4D4C" ma:contentTypeVersion="41" ma:contentTypeDescription="Создание документа." ma:contentTypeScope="" ma:versionID="8e63c5a256673a99a74cd2c78c81ac1a">
  <xsd:schema xmlns:xsd="http://www.w3.org/2001/XMLSchema" xmlns:p="http://schemas.microsoft.com/office/2006/metadata/properties" xmlns:ns2="75154809-fd38-42a0-b586-1650e2ddd624" xmlns:ns3="cbe06b19-a62a-41ae-ab83-c6ecdd26466e" targetNamespace="http://schemas.microsoft.com/office/2006/metadata/properties" ma:root="true" ma:fieldsID="595c68445629ba69d01335cde29883f1" ns2:_="" ns3:_="">
    <xsd:import namespace="75154809-fd38-42a0-b586-1650e2ddd624"/>
    <xsd:import namespace="cbe06b19-a62a-41ae-ab83-c6ecdd26466e"/>
    <xsd:element name="properties">
      <xsd:complexType>
        <xsd:sequence>
          <xsd:element name="documentManagement">
            <xsd:complexType>
              <xsd:all>
                <xsd:element ref="ns2:_x041e__x0447__x0435__x0440__x0435__x0434__x043d__x043e__x0441__x0442__x044c_" minOccurs="0"/>
                <xsd:element ref="ns2:_x041f__x0440__x0438__x043e__x0440__x0438__x0442__x0435__x0442_" minOccurs="0"/>
                <xsd:element ref="ns2:_x041c__x0435__x0442__x043a__x0430_" minOccurs="0"/>
                <xsd:element ref="ns2:_x0421__x043f__x043e__x0441__x043e__x0431__x0020__x043e__x043f__x043b__x0430__x0442__x044b_" minOccurs="0"/>
                <xsd:element ref="ns2:_x043e__x0444__x002e__x0020__x2116__x0020__x0434__x043e__x043a__x002d__x0442__x0430_" minOccurs="0"/>
                <xsd:element ref="ns2:_x043e__x0444__x002e__x0020__x0434__x0430__x0442__x0430__x0020__x0434__x043e__x043a__x002d__x0442__x0430_" minOccurs="0"/>
                <xsd:element ref="ns2:_x0421__x0442__x0430__x0442__x0443__x0441__x0020__x0434__x043e__x043a__x002d__x0442__x0430_" minOccurs="0"/>
                <xsd:element ref="ns3:_x041d__x0430__x043f__x0440__x0430__x0432__x043b__x0435__x043d__x0438__x0435__x0020__x0434__x043e__x043a__x0443__x043c__x0435__x043d__x0442__x0430_" minOccurs="0"/>
                <xsd:element ref="ns3:_x041a__x043e__x043d__x0442__x0440__x043e__x043b__x044c__x0020__x0446__x0435__x043b__x043e__x0441__x0442__x043d__x043e__x0441__x0442__x0438_" minOccurs="0"/>
                <xsd:element ref="ns3:_x041f__x0440__x043e__x0435__x043a__x0442_" minOccurs="0"/>
              </xsd:all>
            </xsd:complexType>
          </xsd:element>
        </xsd:sequence>
      </xsd:complexType>
    </xsd:element>
  </xsd:schema>
  <xsd:schema xmlns:xsd="http://www.w3.org/2001/XMLSchema" xmlns:dms="http://schemas.microsoft.com/office/2006/documentManagement/types" targetNamespace="75154809-fd38-42a0-b586-1650e2ddd624" elementFormDefault="qualified">
    <xsd:import namespace="http://schemas.microsoft.com/office/2006/documentManagement/types"/>
    <xsd:element name="_x041e__x0447__x0435__x0440__x0435__x0434__x043d__x043e__x0441__x0442__x044c_" ma:index="1" nillable="true" ma:displayName="Очередность" ma:internalName="_x041e__x0447__x0435__x0440__x0435__x0434__x043d__x043e__x0441__x0442__x044c_">
      <xsd:simpleType>
        <xsd:restriction base="dms:Number"/>
      </xsd:simpleType>
    </xsd:element>
    <xsd:element name="_x041f__x0440__x0438__x043e__x0440__x0438__x0442__x0435__x0442_" ma:index="2" nillable="true" ma:displayName="Приоритет" ma:default="Низкий" ma:format="Dropdown" ma:internalName="_x041f__x0440__x0438__x043e__x0440__x0438__x0442__x0435__x0442_">
      <xsd:simpleType>
        <xsd:restriction base="dms:Choice">
          <xsd:enumeration value="Низкий"/>
          <xsd:enumeration value="Средний"/>
          <xsd:enumeration value="Высокий"/>
        </xsd:restriction>
      </xsd:simpleType>
    </xsd:element>
    <xsd:element name="_x041c__x0435__x0442__x043a__x0430_" ma:index="3" nillable="true" ma:displayName="Метка" ma:default="0" ma:internalName="_x041c__x0435__x0442__x043a__x0430_">
      <xsd:simpleType>
        <xsd:restriction base="dms:Boolean"/>
      </xsd:simpleType>
    </xsd:element>
    <xsd:element name="_x0421__x043f__x043e__x0441__x043e__x0431__x0020__x043e__x043f__x043b__x0430__x0442__x044b_" ma:index="4" nillable="true" ma:displayName="Способ оплаты" ma:default="Безналично" ma:format="RadioButtons" ma:internalName="_x0421__x043f__x043e__x0441__x043e__x0431__x0020__x043e__x043f__x043b__x0430__x0442__x044b_">
      <xsd:simpleType>
        <xsd:restriction base="dms:Choice">
          <xsd:enumeration value="Безналично"/>
          <xsd:enumeration value="Наличными"/>
        </xsd:restriction>
      </xsd:simpleType>
    </xsd:element>
    <xsd:element name="_x043e__x0444__x002e__x0020__x2116__x0020__x0434__x043e__x043a__x002d__x0442__x0430_" ma:index="6" nillable="true" ma:displayName="оф. № док-та" ma:internalName="_x043e__x0444__x002e__x0020__x2116__x0020__x0434__x043e__x043a__x002d__x0442__x0430_" ma:readOnly="false">
      <xsd:simpleType>
        <xsd:restriction base="dms:Text">
          <xsd:maxLength value="20"/>
        </xsd:restriction>
      </xsd:simpleType>
    </xsd:element>
    <xsd:element name="_x043e__x0444__x002e__x0020__x0434__x0430__x0442__x0430__x0020__x0434__x043e__x043a__x002d__x0442__x0430_" ma:index="7" nillable="true" ma:displayName="оф. дата док-та" ma:format="DateOnly" ma:internalName="_x043e__x0444__x002e__x0020__x0434__x0430__x0442__x0430__x0020__x0434__x043e__x043a__x002d__x0442__x0430_">
      <xsd:simpleType>
        <xsd:restriction base="dms:DateTime"/>
      </xsd:simpleType>
    </xsd:element>
    <xsd:element name="_x0421__x0442__x0430__x0442__x0443__x0441__x0020__x0434__x043e__x043a__x002d__x0442__x0430_" ma:index="8" nillable="true" ma:displayName="Статус контейнера" ma:default="(1) Электронный черновик" ma:format="RadioButtons" ma:internalName="_x0421__x0442__x0430__x0442__x0443__x0441__x0020__x0434__x043e__x043a__x002d__x0442__x0430_">
      <xsd:simpleType>
        <xsd:restriction base="dms:Choice">
          <xsd:enumeration value="(1) Электронный черновик"/>
          <xsd:enumeration value="(2) Скан подписаного оригинала"/>
          <xsd:enumeration value="(3) Оригинал зарегистрирован юрслужбой"/>
        </xsd:restriction>
      </xsd:simpleType>
    </xsd:element>
  </xsd:schema>
  <xsd:schema xmlns:xsd="http://www.w3.org/2001/XMLSchema" xmlns:dms="http://schemas.microsoft.com/office/2006/documentManagement/types" targetNamespace="cbe06b19-a62a-41ae-ab83-c6ecdd26466e" elementFormDefault="qualified">
    <xsd:import namespace="http://schemas.microsoft.com/office/2006/documentManagement/types"/>
    <xsd:element name="_x041d__x0430__x043f__x0440__x0430__x0432__x043b__x0435__x043d__x0438__x0435__x0020__x0434__x043e__x043a__x0443__x043c__x0435__x043d__x0442__x0430_" ma:index="18" nillable="true" ma:displayName="Направление документа" ma:default="Входящий" ma:format="RadioButtons" ma:internalName="_x041d__x0430__x043f__x0440__x0430__x0432__x043b__x0435__x043d__x0438__x0435__x0020__x0434__x043e__x043a__x0443__x043c__x0435__x043d__x0442__x0430_">
      <xsd:simpleType>
        <xsd:restriction base="dms:Choice">
          <xsd:enumeration value="Входящий"/>
          <xsd:enumeration value="Исходящий"/>
        </xsd:restriction>
      </xsd:simpleType>
    </xsd:element>
    <xsd:element name="_x041a__x043e__x043d__x0442__x0440__x043e__x043b__x044c__x0020__x0446__x0435__x043b__x043e__x0441__x0442__x043d__x043e__x0441__x0442__x0438_" ma:index="19" nillable="true" ma:displayName="Контроль целостности" ma:default="0" ma:internalName="_x041a__x043e__x043d__x0442__x0440__x043e__x043b__x044c__x0020__x0446__x0435__x043b__x043e__x0441__x0442__x043d__x043e__x0441__x0442__x0438_">
      <xsd:simpleType>
        <xsd:restriction base="dms:Boolean"/>
      </xsd:simpleType>
    </xsd:element>
    <xsd:element name="_x041f__x0440__x043e__x0435__x043a__x0442_" ma:index="20" nillable="true" ma:displayName="Проект" ma:list="{43c6a0e9-feec-4ce2-9774-20c016c90dd4}" ma:internalName="_x041f__x0440__x043e__x0435__x043a__x0442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Тип содержимого"/>
        <xsd:element ref="dc:title" minOccurs="0" maxOccurs="1" ma:index="1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290E-0805-4ACE-A308-B68E38E607DB}">
  <ds:schemaRefs>
    <ds:schemaRef ds:uri="http://schemas.microsoft.com/sharepoint/v3/contenttype/forms"/>
  </ds:schemaRefs>
</ds:datastoreItem>
</file>

<file path=customXml/itemProps2.xml><?xml version="1.0" encoding="utf-8"?>
<ds:datastoreItem xmlns:ds="http://schemas.openxmlformats.org/officeDocument/2006/customXml" ds:itemID="{137E379C-1450-4F1E-9285-E8762A838A08}">
  <ds:schemaRefs>
    <ds:schemaRef ds:uri="http://schemas.microsoft.com/office/2006/metadata/properties"/>
    <ds:schemaRef ds:uri="75154809-fd38-42a0-b586-1650e2ddd624"/>
    <ds:schemaRef ds:uri="cbe06b19-a62a-41ae-ab83-c6ecdd26466e"/>
  </ds:schemaRefs>
</ds:datastoreItem>
</file>

<file path=customXml/itemProps3.xml><?xml version="1.0" encoding="utf-8"?>
<ds:datastoreItem xmlns:ds="http://schemas.openxmlformats.org/officeDocument/2006/customXml" ds:itemID="{1C204828-C838-4CF2-9AB6-CE2020A8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4809-fd38-42a0-b586-1650e2ddd624"/>
    <ds:schemaRef ds:uri="cbe06b19-a62a-41ae-ab83-c6ecdd26466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0FBDF0-AE64-4B41-B075-1B4B3396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Application>AlterOffice/2026.2.0.0$Linux_X86_64 LibreOffice_project/bc4ef1adf80b36c7a6365f8ed6cbf29021361edd</Application>
  <AppVersion>15.0000</AppVersion>
  <Pages>17</Pages>
  <Words>5254</Words>
  <Characters>37283</Characters>
  <CharactersWithSpaces>42322</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2025-06-11T08:07:00Z</dcterms:created>
  <dc:creator>Ракутина Тамара Андреевна</dc:creator>
  <dc:description/>
  <dc:language>ru-RU</dc:language>
  <cp:lastModifiedBy>fedorovva@corp.gidroogk.com</cp:lastModifiedBy>
  <dcterms:modified xsi:type="dcterms:W3CDTF">2026-07-16T13:13:58Z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0x0101005C70ABBB0E919E43B7A42933CEDA4D4C</vt:lpwstr>
  </property>
</Properties>
</file>