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142" w:start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Описание объекта закупки</w:t>
      </w:r>
    </w:p>
    <w:p>
      <w:pPr>
        <w:pStyle w:val="Normal"/>
        <w:numPr>
          <w:ilvl w:val="0"/>
          <w:numId w:val="0"/>
        </w:numPr>
        <w:ind w:hanging="142" w:start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Техническое задание на поставку сервера</w:t>
      </w:r>
    </w:p>
    <w:p>
      <w:pPr>
        <w:pStyle w:val="ListParagraph"/>
        <w:numPr>
          <w:ilvl w:val="0"/>
          <w:numId w:val="1"/>
        </w:numPr>
        <w:ind w:hanging="360" w:start="851"/>
        <w:outlineLvl w:val="0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Объект закупки: </w:t>
      </w:r>
      <w:r>
        <w:rPr>
          <w:rFonts w:cs="Times New Roman" w:ascii="Times New Roman" w:hAnsi="Times New Roman"/>
          <w:sz w:val="24"/>
          <w:szCs w:val="24"/>
        </w:rPr>
        <w:t>сервер</w:t>
      </w:r>
    </w:p>
    <w:p>
      <w:pPr>
        <w:pStyle w:val="ListParagraph"/>
        <w:numPr>
          <w:ilvl w:val="0"/>
          <w:numId w:val="1"/>
        </w:numPr>
        <w:ind w:hanging="360" w:start="851"/>
        <w:outlineLvl w:val="0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Характеристики объекта закупки:</w:t>
      </w:r>
    </w:p>
    <w:p>
      <w:pPr>
        <w:pStyle w:val="Normal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</w:r>
    </w:p>
    <w:tbl>
      <w:tblPr>
        <w:tblStyle w:val="af2"/>
        <w:tblW w:w="11057" w:type="dxa"/>
        <w:jc w:val="start"/>
        <w:tblInd w:w="-57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699"/>
        <w:gridCol w:w="5814"/>
        <w:gridCol w:w="1415"/>
        <w:gridCol w:w="1420"/>
        <w:gridCol w:w="709"/>
      </w:tblGrid>
      <w:tr>
        <w:trPr/>
        <w:tc>
          <w:tcPr>
            <w:tcW w:w="16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color w:themeColor="dark1" w:val="000000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color w:themeColor="dark1" w:val="000000"/>
                <w:kern w:val="0"/>
                <w:sz w:val="16"/>
                <w:szCs w:val="16"/>
                <w:lang w:val="ru-RU" w:eastAsia="en-US" w:bidi="ar-SA"/>
              </w:rPr>
              <w:t>Наименование товара/ОКПД2/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color w:themeColor="dark1" w:val="000000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color w:themeColor="dark1" w:val="000000"/>
                <w:kern w:val="0"/>
                <w:sz w:val="16"/>
                <w:szCs w:val="16"/>
                <w:lang w:val="ru-RU" w:eastAsia="en-US" w:bidi="ar-SA"/>
              </w:rPr>
              <w:t>КТРУ</w:t>
            </w:r>
          </w:p>
        </w:tc>
        <w:tc>
          <w:tcPr>
            <w:tcW w:w="581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themeColor="dark1" w:val="000000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color w:themeColor="dark1" w:val="000000"/>
                <w:kern w:val="0"/>
                <w:sz w:val="16"/>
                <w:szCs w:val="16"/>
                <w:lang w:val="ru-RU" w:eastAsia="en-US" w:bidi="ar-SA"/>
              </w:rPr>
              <w:t>Наименование характеристики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themeColor="dark1" w:val="000000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color w:themeColor="dark1" w:val="000000"/>
                <w:kern w:val="0"/>
                <w:sz w:val="16"/>
                <w:szCs w:val="16"/>
                <w:lang w:val="ru-RU" w:eastAsia="en-US" w:bidi="ar-SA"/>
              </w:rPr>
              <w:t>Значение характеристики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themeColor="dark1" w:val="000000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color w:themeColor="dark1" w:val="000000"/>
                <w:kern w:val="0"/>
                <w:sz w:val="16"/>
                <w:szCs w:val="16"/>
                <w:lang w:val="ru-RU" w:eastAsia="en-US" w:bidi="ar-SA"/>
              </w:rPr>
              <w:t>Единица измерения характеристики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color w:themeColor="dark1" w:val="000000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color w:themeColor="dark1" w:val="000000"/>
                <w:kern w:val="0"/>
                <w:sz w:val="16"/>
                <w:szCs w:val="16"/>
                <w:lang w:val="ru-RU" w:eastAsia="en-US" w:bidi="ar-SA"/>
              </w:rPr>
              <w:t>Количество</w:t>
            </w:r>
          </w:p>
        </w:tc>
      </w:tr>
      <w:tr>
        <w:trPr>
          <w:trHeight w:val="50" w:hRule="atLeast"/>
        </w:trPr>
        <w:tc>
          <w:tcPr>
            <w:tcW w:w="169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Сервер/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system-ui" w:hAnsi="system-ui"/>
                <w:color w:val="333333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26.20.14.100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hyperlink r:id="rId2" w:tgtFrame="_blank">
              <w:r>
                <w:rPr>
                  <w:rStyle w:val="Style9"/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26.20.14.000-00000189</w:t>
              </w:r>
            </w:hyperlink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Максимальное количество процессоров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bookmarkStart w:id="0" w:name="OLE_LINK1"/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 xml:space="preserve">≥ </w:t>
            </w: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2</w:t>
            </w:r>
            <w:bookmarkEnd w:id="0"/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Штука</w:t>
            </w:r>
          </w:p>
        </w:tc>
        <w:tc>
          <w:tcPr>
            <w:tcW w:w="70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</w:tr>
      <w:tr>
        <w:trPr>
          <w:trHeight w:val="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Количество установленных процессоров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 xml:space="preserve">≥ </w:t>
            </w: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Штука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Количество ядер каждого установленного процессора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 xml:space="preserve">≥ </w:t>
            </w: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12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Штука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253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Количество потоков каждого установленного процессора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 xml:space="preserve">≥ </w:t>
            </w: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24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2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Базовая частота каждого установленного процессора (без учета технологии динамического изменения частоты)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 xml:space="preserve">≥ </w:t>
            </w: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Гигагерц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Объем кэш памяти третьего уровня (L3) каждого установленного процессора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 xml:space="preserve">≥ </w:t>
            </w: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18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Мегабайт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/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bookmarkStart w:id="1" w:name="OLE_LINK2"/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Аппаратная поддержка виртуализации</w:t>
            </w:r>
            <w:bookmarkEnd w:id="1"/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Да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Количество слотов для модулей оперативной памяти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 xml:space="preserve">≥ </w:t>
            </w: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32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Штука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Максимальный общий поддерживаемый объем оперативной памяти сервера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 xml:space="preserve">≥ </w:t>
            </w: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8192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Гигабайт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122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ru-RU" w:bidi="ar-SA"/>
              </w:rPr>
              <w:t>Тип оперативной памяти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DDR4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Скорость передачи данных каждого установленного модуля оперативной памяти, МТ/с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 xml:space="preserve">≥ </w:t>
            </w:r>
            <w:r>
              <w:rPr>
                <w:rFonts w:eastAsia="Calibri" w:cs="Times New Roman" w:ascii="Times New Roman" w:hAnsi="Times New Roman"/>
                <w:b/>
                <w:bCs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3200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Поддержка функции обнаружения и коррекции ошибок в оперативной памяти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Да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Объем каждого установленного модуля оперативной памяти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 xml:space="preserve">≥ </w:t>
            </w: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32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Гигабайт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122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ru-RU" w:bidi="ar-SA"/>
              </w:rPr>
              <w:t>Количество установленных модулей оперативной памяти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 xml:space="preserve">≥ </w:t>
            </w: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Штука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Интерфейс поддерживаемых накопителей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en-US" w:eastAsia="en-US" w:bidi="ar-SA"/>
              </w:rPr>
              <w:t>MicroSD, SATA , SAS, USB , U.2 , M.2 , PCIe, NVMe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  <w:lang w:val="en-US"/>
              </w:rPr>
            </w:r>
          </w:p>
        </w:tc>
      </w:tr>
      <w:tr>
        <w:trPr>
          <w:trHeight w:val="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  <w:lang w:val="en-US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Интерфейс подключения накопителей информации к дисковому контроллеру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NVMe, SATA, SAS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Количество LFF (3,5) слотов для накопителей на лицевой панели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 xml:space="preserve">≥ </w:t>
            </w: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en-US" w:eastAsia="en-US" w:bidi="ar-SA"/>
              </w:rPr>
              <w:t>4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Штука.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Количество SFF (2,5) слотов для накопителей на задней панели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 xml:space="preserve"> ≥ </w:t>
            </w: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Штука.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Максимальное количество устанавливаемых в корпус накопителей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 xml:space="preserve">≥ </w:t>
            </w: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Штука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Возможность установки плат стандарта PCIe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4.0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Количество слотов для установки плат расширения PCIe x16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 xml:space="preserve">≥ </w:t>
            </w: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Штука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Количество слотов для установки плат расширения PCIe x8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CommentText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 xml:space="preserve">≥ </w:t>
            </w: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Штука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122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ru-RU" w:bidi="ar-SA"/>
              </w:rPr>
              <w:t>Количество слотов для установки плат расширения OCP 3.0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 xml:space="preserve">≥ </w:t>
            </w: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Штука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Количество установленных накопителей (тип 1) с поддержкой горячей замены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 xml:space="preserve">≥ </w:t>
            </w: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Штука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Интерфейс установленных накопителей (тип 1)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en-US" w:eastAsia="en-US" w:bidi="ar-SA"/>
              </w:rPr>
              <w:t>SATA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Объем каждого установленного накопителя (тип 1)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 xml:space="preserve">≥ </w:t>
            </w: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480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Гигабайт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Тип установленных накопителей (тип 1)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en-US" w:eastAsia="en-US" w:bidi="ar-SA"/>
              </w:rPr>
              <w:t>SSD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  <w:lang w:val="en-US"/>
              </w:rPr>
            </w:r>
          </w:p>
        </w:tc>
      </w:tr>
      <w:tr>
        <w:trPr>
          <w:trHeight w:val="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Количество сетевых портов (тип 1)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 xml:space="preserve">≥ </w:t>
            </w: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Штука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Количество сетевых портов (тип 2)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 xml:space="preserve">≥ </w:t>
            </w: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Штука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Поддерживаемые протоколы сетевого порта (тип 1)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Ethernet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Поддерживаемые протоколы сетевого порта (тип 2)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Ethernet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Поддержка функциональности RDMA (тип 1)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Не требуется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Скорость сетевого порта Ethernet (тип 1)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 xml:space="preserve">≥ </w:t>
            </w: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Гигабит в секунду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Скорость сетевого порта Ethernet (тип 2)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 xml:space="preserve">≥ </w:t>
            </w: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Гигабит в секунду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Тип среды передачи для сетевого порта (тип 1)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Медь-витая пара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Тип среды передачи для сетевого порта (тип 2)</w:t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Волоконно-оптический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Тип корпуса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Rack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Тип сервера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Стоечный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Количество занимаемых юнитов в стойке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en-US" w:eastAsia="en-US" w:bidi="ar-SA"/>
              </w:rPr>
              <w:t xml:space="preserve">≤ </w:t>
            </w: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122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ru-RU" w:bidi="ar-SA"/>
              </w:rPr>
              <w:t>Монтажная ширина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19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Дюйм (25,4 мм)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Защитная панель безопасности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Да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  <w:lang w:val="en-US"/>
              </w:rPr>
            </w:r>
          </w:p>
        </w:tc>
      </w:tr>
      <w:tr>
        <w:trPr>
          <w:trHeight w:val="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Наличие направляющих для установки в шкаф телекоммуникационный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Да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Количество USB 2.0 портов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 xml:space="preserve">≥ </w:t>
            </w: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Штука.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Количество USB 3.x портов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 xml:space="preserve">≥ </w:t>
            </w: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Штука.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Тип размещения USB портов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Внутренний, на задней панели, на передней панели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Сервисные или вспомогательные разъемы подключения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 xml:space="preserve">VGA,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 xml:space="preserve">Последовательный порт (COM), сигнально совместимый с RS-232, </w:t>
              <w:br/>
            </w: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en-US" w:eastAsia="en-US" w:bidi="ar-SA"/>
              </w:rPr>
              <w:t>SFF</w:t>
            </w: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 xml:space="preserve">-8643, </w:t>
              <w:br/>
            </w: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en-US" w:eastAsia="en-US" w:bidi="ar-SA"/>
              </w:rPr>
              <w:t>SFF</w:t>
            </w: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-8654-8</w:t>
            </w: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en-US" w:eastAsia="en-US" w:bidi="ar-SA"/>
              </w:rPr>
              <w:t>i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Тип размещения последовательного порта (COM), сигнально совместимого с RS-232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На задней панели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122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Количество SFF-8643 портов</w:t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 xml:space="preserve">≥ </w:t>
            </w: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Штука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122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ru-RU" w:bidi="ar-SA"/>
              </w:rPr>
              <w:t>Количество SFF-8654 8i портов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 xml:space="preserve">≥ </w:t>
            </w: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Штука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Тип электропитания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Блоки питания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Количество установленных блоков питания с поддержкой горячей замены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 xml:space="preserve">≥ </w:t>
            </w: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Штука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Уровень резервирования установленных блоков питания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N+1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Номинальная мощность одного блока питания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 xml:space="preserve">≥ </w:t>
            </w: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1200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Ватт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Уровень резервирования установленных блоков охлаждения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N+1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/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Cистема удаленного управления сервером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Да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Выделенные порты удалённого управления сервером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Да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 xml:space="preserve">Функциональность контроллера дистанционного мониторинга и управления: 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 xml:space="preserve">Доступ к основным характеристикам, состоянию сервера и установленных устройств, </w:t>
              <w:br/>
              <w:t xml:space="preserve">Обеспечение перенаправления графической консоли по сети, </w:t>
              <w:br/>
              <w:t>Поддержка веб-интерфейса, Подключение виртуальных медиа-устройств через консоль удаленного управления, в том числе образов дисков (файлов ISO),</w:t>
              <w:br/>
              <w:t>Видеозапись с экрана действий администратора,</w:t>
              <w:br/>
              <w:t xml:space="preserve">Дублирование загрузочного образа контроллера сервера, </w:t>
              <w:br/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122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ru-RU" w:bidi="ar-SA"/>
              </w:rPr>
              <w:t>Наличие светодиодного дисплея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Да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122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ru-RU" w:bidi="ar-SA"/>
              </w:rPr>
              <w:t>Количество установленных микросхем памяти базовой системы ввода-вывода (BIOS)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≥</w:t>
            </w: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  <w:lang w:val="en-US"/>
              </w:rPr>
            </w:r>
          </w:p>
        </w:tc>
      </w:tr>
      <w:tr>
        <w:trPr>
          <w:trHeight w:val="122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ru-RU" w:bidi="ar-SA"/>
              </w:rPr>
              <w:t>Аппаратное дублирование загрузочного образа базовой системы ввода-вывода (BIOS) сервера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Да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  <w:lang w:val="en-US"/>
              </w:rPr>
            </w:r>
          </w:p>
        </w:tc>
      </w:tr>
      <w:tr>
        <w:trPr>
          <w:trHeight w:val="122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ru-RU" w:bidi="ar-SA"/>
              </w:rPr>
              <w:t>Аппаратное дублирование системы удаленного управления (BMC) сервером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Да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  <w:lang w:val="en-US"/>
              </w:rPr>
            </w:r>
          </w:p>
        </w:tc>
      </w:tr>
      <w:tr>
        <w:trPr>
          <w:trHeight w:val="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Дублирование загрузочного образа базовой системы ввода-вывода (BIOS) сервера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Да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  <w:lang w:val="en-US"/>
              </w:rPr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  <w:lang w:val="en-US"/>
              </w:rPr>
            </w:r>
          </w:p>
        </w:tc>
      </w:tr>
      <w:tr>
        <w:trPr>
          <w:trHeight w:val="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Наличие интегрированного видеоадаптера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Да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50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Максимально возможное количество плат ускорителей или сопроцессоров для установки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 xml:space="preserve">≥ </w:t>
            </w: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Штука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</w:rPr>
            </w:r>
          </w:p>
        </w:tc>
      </w:tr>
      <w:tr>
        <w:trPr>
          <w:trHeight w:val="122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4"/>
                <w:szCs w:val="24"/>
                <w:lang w:eastAsia="ru-RU"/>
              </w:rPr>
            </w:r>
          </w:p>
        </w:tc>
        <w:tc>
          <w:tcPr>
            <w:tcW w:w="5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color w:themeColor="dark1"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ru-RU" w:bidi="ar-SA"/>
              </w:rPr>
              <w:t>Максимальное количество дискретных графических контроллеров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 xml:space="preserve">≥ </w:t>
            </w: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kern w:val="0"/>
                <w:sz w:val="24"/>
                <w:szCs w:val="24"/>
                <w:lang w:val="ru-RU" w:eastAsia="en-US" w:bidi="ar-SA"/>
              </w:rPr>
              <w:t>Штука</w:t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71"/>
        <w:shd w:val="clear" w:color="auto" w:fill="auto"/>
        <w:tabs>
          <w:tab w:val="clear" w:pos="708"/>
          <w:tab w:val="left" w:pos="567" w:leader="none"/>
          <w:tab w:val="left" w:pos="993" w:leader="none"/>
        </w:tabs>
        <w:spacing w:lineRule="auto" w:line="276"/>
        <w:rPr>
          <w:b w:val="false"/>
          <w:color w:themeColor="dark1" w:val="000000"/>
          <w:sz w:val="24"/>
          <w:szCs w:val="24"/>
          <w:lang w:val="en-US"/>
        </w:rPr>
      </w:pPr>
      <w:r>
        <w:rPr>
          <w:b w:val="false"/>
          <w:color w:themeColor="dark1" w:val="000000"/>
          <w:sz w:val="24"/>
          <w:szCs w:val="24"/>
          <w:lang w:val="en-US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firstLine="567"/>
        <w:outlineLvl w:val="6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Срок поставки товара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Поставка товара осуществляется в течение 60 (шестьдесят) дней с даты заключения Договора.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Поставщик не менее чем за 3 дня до осуществления поставки товара направляет в адрес Заказчика уведомление о времени и дате доставки товара в место доставки.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Доставка и разгрузка товара осуществляется в рабочие дни Заказчика с 9-00 до 12-00 или с 14-00 до 16-00 часов по московскому времени.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firstLine="567"/>
        <w:jc w:val="both"/>
        <w:outlineLvl w:val="6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Требования к упаковке товара</w:t>
      </w:r>
    </w:p>
    <w:p>
      <w:pPr>
        <w:pStyle w:val="Normal"/>
        <w:overflowPunct w:val="true"/>
        <w:ind w:firstLine="567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Товар должен быть упакован и замаркирован в соответствии с действующими стандартами.</w:t>
      </w:r>
    </w:p>
    <w:p>
      <w:pPr>
        <w:pStyle w:val="Normal"/>
        <w:overflowPunct w:val="true"/>
        <w:ind w:firstLine="567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>
      <w:pPr>
        <w:pStyle w:val="ListParagraph"/>
        <w:numPr>
          <w:ilvl w:val="0"/>
          <w:numId w:val="2"/>
        </w:numPr>
        <w:ind w:start="567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Место поставки товара</w:t>
      </w:r>
    </w:p>
    <w:p>
      <w:pPr>
        <w:pStyle w:val="ListParagraph"/>
        <w:ind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Товар поставляется по адресу: г. Ярославль, ул. Победы, 16 Б.</w:t>
      </w:r>
    </w:p>
    <w:p>
      <w:pPr>
        <w:pStyle w:val="ListParagraph"/>
        <w:ind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before="0" w:after="0"/>
        <w:ind w:firstLine="567" w:start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Гарантийные обязательства:</w:t>
      </w:r>
    </w:p>
    <w:p>
      <w:pPr>
        <w:pStyle w:val="Normal"/>
        <w:tabs>
          <w:tab w:val="clear" w:pos="708"/>
          <w:tab w:val="left" w:pos="0" w:leader="none"/>
        </w:tabs>
        <w:overflowPunct w:val="true"/>
        <w:spacing w:before="0" w:after="160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Товар должен быть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изготовленным не ранее 2025 года. </w:t>
      </w:r>
    </w:p>
    <w:p>
      <w:pPr>
        <w:pStyle w:val="Normal"/>
        <w:tabs>
          <w:tab w:val="clear" w:pos="708"/>
          <w:tab w:val="left" w:pos="0" w:leader="none"/>
        </w:tabs>
        <w:overflowPunct w:val="true"/>
        <w:spacing w:before="0" w:after="160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использовании товара по назначению не должно создаваться угрозы для жизни и здоровья потребителя, окружающей среды, а также использование оборудования не должно причинить вред имуществу Заказчика.</w:t>
      </w:r>
    </w:p>
    <w:p>
      <w:pPr>
        <w:pStyle w:val="Normal"/>
        <w:tabs>
          <w:tab w:val="clear" w:pos="708"/>
          <w:tab w:val="left" w:pos="0" w:leader="none"/>
        </w:tabs>
        <w:overflowPunct w:val="true"/>
        <w:spacing w:before="0" w:after="160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Товар, должен быть свободный от прав на него третьих лиц и других обременений, не являться предметом спора или залога.</w:t>
      </w:r>
    </w:p>
    <w:p>
      <w:pPr>
        <w:pStyle w:val="Normal"/>
        <w:tabs>
          <w:tab w:val="clear" w:pos="708"/>
          <w:tab w:val="left" w:pos="0" w:leader="none"/>
        </w:tabs>
        <w:overflowPunct w:val="true"/>
        <w:spacing w:before="0" w:after="160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Товар должен сопровождаться эксплуатационной и технической документацией на русском языке и документами, подтверждающими его качество (в случаях, предусмотренных законодательством Российской Федерации).</w:t>
      </w:r>
    </w:p>
    <w:p>
      <w:pPr>
        <w:pStyle w:val="Normal"/>
        <w:tabs>
          <w:tab w:val="clear" w:pos="708"/>
          <w:tab w:val="left" w:pos="0" w:leader="none"/>
        </w:tabs>
        <w:overflowPunct w:val="true"/>
        <w:spacing w:before="0" w:after="160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>
      <w:pPr>
        <w:pStyle w:val="Normal"/>
        <w:tabs>
          <w:tab w:val="clear" w:pos="708"/>
          <w:tab w:val="left" w:pos="0" w:leader="none"/>
        </w:tabs>
        <w:overflowPunct w:val="true"/>
        <w:spacing w:before="0" w:after="160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>
      <w:pPr>
        <w:pStyle w:val="Normal"/>
        <w:tabs>
          <w:tab w:val="clear" w:pos="708"/>
          <w:tab w:val="left" w:pos="0" w:leader="none"/>
        </w:tabs>
        <w:overflowPunct w:val="true"/>
        <w:spacing w:before="0" w:after="160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Товар должен соответствовать требованиям энергетической эффективности товаров, предусмотренным Федеральным законом от 23.11.2009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Федерации».</w:t>
      </w:r>
    </w:p>
    <w:p>
      <w:pPr>
        <w:pStyle w:val="Normal"/>
        <w:tabs>
          <w:tab w:val="clear" w:pos="708"/>
          <w:tab w:val="left" w:pos="0" w:leader="none"/>
        </w:tabs>
        <w:overflowPunct w:val="true"/>
        <w:spacing w:before="0" w:after="160"/>
        <w:ind w:firstLine="567"/>
        <w:contextualSpacing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Гарантийный срок на товар должен составлять не менее 60 (шестидесяти) месяцев с даты подписания Заказчиком документа о приемке и распространяться на все составляющие части товара. </w:t>
      </w:r>
    </w:p>
    <w:p>
      <w:pPr>
        <w:pStyle w:val="Normal"/>
        <w:tabs>
          <w:tab w:val="clear" w:pos="708"/>
          <w:tab w:val="left" w:pos="0" w:leader="none"/>
        </w:tabs>
        <w:overflowPunct w:val="true"/>
        <w:spacing w:before="0" w:after="160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Наличие гарантии удостоверяется передачей Поставщиком гарантийного талона (сертификата) или иного документа, предусмотренного Поставщиком, с указанием перечня и серийных (фабричных) номеров поставляемого товара. </w:t>
      </w:r>
    </w:p>
    <w:p>
      <w:pPr>
        <w:pStyle w:val="Normal"/>
        <w:tabs>
          <w:tab w:val="clear" w:pos="708"/>
          <w:tab w:val="left" w:pos="0" w:leader="none"/>
        </w:tabs>
        <w:overflowPunct w:val="true"/>
        <w:spacing w:before="0" w:after="160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обнаружения Заказчиком в течение гарантийного срока товара при его должной эксплуатации несоответствия качества товара (выявления недостатков и дефектов, связанных с разработкой, материалами или качеством изготовления, в том числе скрытых недостатков и дефектов), Поставщиком должен быть обеспечен гарантийный ремонт (если товар подлежит гарантийному ремонту) либо осуществлена замена товара на аналогичный, новый товар надлежащего качества.</w:t>
      </w:r>
    </w:p>
    <w:p>
      <w:pPr>
        <w:pStyle w:val="Normal"/>
        <w:tabs>
          <w:tab w:val="clear" w:pos="708"/>
          <w:tab w:val="left" w:pos="0" w:leader="none"/>
        </w:tabs>
        <w:overflowPunct w:val="true"/>
        <w:spacing w:before="0" w:after="160"/>
        <w:ind w:firstLine="567"/>
        <w:contextualSpacing/>
        <w:jc w:val="both"/>
        <w:textAlignment w:val="baseline"/>
        <w:rPr/>
      </w:pPr>
      <w:r>
        <w:rPr>
          <w:rFonts w:cs="Times New Roman" w:ascii="Times New Roman" w:hAnsi="Times New Roman"/>
          <w:bCs/>
          <w:sz w:val="24"/>
          <w:szCs w:val="24"/>
        </w:rPr>
        <w:t>В течении гарантийного срока от производителя оборудования должна обеспечиваться техническая поддержка с уровнем обслуживания в режиме 24 часа в сутки 7 дней в неделю, включая выходные и официальные праздничные дни.</w:t>
      </w:r>
    </w:p>
    <w:p>
      <w:pPr>
        <w:pStyle w:val="Normal"/>
        <w:tabs>
          <w:tab w:val="clear" w:pos="708"/>
          <w:tab w:val="left" w:pos="0" w:leader="none"/>
        </w:tabs>
        <w:overflowPunct w:val="true"/>
        <w:spacing w:before="0" w:after="160"/>
        <w:ind w:firstLine="567"/>
        <w:contextualSpacing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Техническая поддержка должна распространяться на всю внутреннюю архитектуру поставляемого оборудования, включая его дополнительные компоненты, приобретаемые в течение действия соглашения о технической поддержке.</w:t>
      </w:r>
    </w:p>
    <w:p>
      <w:pPr>
        <w:pStyle w:val="Normal"/>
        <w:tabs>
          <w:tab w:val="clear" w:pos="708"/>
          <w:tab w:val="left" w:pos="0" w:leader="none"/>
        </w:tabs>
        <w:overflowPunct w:val="true"/>
        <w:spacing w:before="0" w:after="160"/>
        <w:ind w:firstLine="567"/>
        <w:contextualSpacing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Техническая поддержка оборудования должна обеспечивать:</w:t>
      </w:r>
    </w:p>
    <w:p>
      <w:pPr>
        <w:pStyle w:val="Normal"/>
        <w:tabs>
          <w:tab w:val="clear" w:pos="708"/>
          <w:tab w:val="left" w:pos="0" w:leader="none"/>
        </w:tabs>
        <w:overflowPunct w:val="true"/>
        <w:spacing w:before="0" w:after="160"/>
        <w:ind w:firstLine="567"/>
        <w:contextualSpacing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•</w:t>
      </w:r>
      <w:r>
        <w:rPr>
          <w:rFonts w:cs="Times New Roman" w:ascii="Times New Roman" w:hAnsi="Times New Roman"/>
          <w:bCs/>
          <w:sz w:val="24"/>
          <w:szCs w:val="24"/>
        </w:rPr>
        <w:tab/>
        <w:t>Обработку и регистрацию Заявок, по телефону, посредством электронной почты, через систему обработки сообщений сервисной службы производителя оборудования онлайн в режиме 24 часа в сутки 7 дней в неделю, включая выходные и официальные праздничные дни. Обращения могут быть запросами на консультацию по вопросам настройки, базового администрирования, предоставления программных обновлений, диагностики неисправности, проведения восстановительных работ, по обслуживаемому оборудованию и программным продуктам*. Заказчик/Пользователь может использовать свое право на обновление программных продуктов до новых версий и релизов только в течение периода действия приобретенной̆ поддержки.</w:t>
      </w:r>
    </w:p>
    <w:p>
      <w:pPr>
        <w:pStyle w:val="Normal"/>
        <w:tabs>
          <w:tab w:val="clear" w:pos="708"/>
          <w:tab w:val="left" w:pos="0" w:leader="none"/>
        </w:tabs>
        <w:overflowPunct w:val="true"/>
        <w:spacing w:before="0" w:after="160"/>
        <w:ind w:firstLine="567"/>
        <w:contextualSpacing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•</w:t>
      </w:r>
      <w:r>
        <w:rPr>
          <w:rFonts w:cs="Times New Roman" w:ascii="Times New Roman" w:hAnsi="Times New Roman"/>
          <w:bCs/>
          <w:sz w:val="24"/>
          <w:szCs w:val="24"/>
        </w:rPr>
        <w:tab/>
        <w:t>Удаленный мониторинг работоспособности оборудования должен предоставляться в режиме 24 часа в сутки 7 дней в неделю, включая выходные и праздничные дни (при условии предоставления доступа).</w:t>
      </w:r>
    </w:p>
    <w:p>
      <w:pPr>
        <w:pStyle w:val="Normal"/>
        <w:tabs>
          <w:tab w:val="clear" w:pos="708"/>
          <w:tab w:val="left" w:pos="0" w:leader="none"/>
        </w:tabs>
        <w:overflowPunct w:val="true"/>
        <w:spacing w:before="0" w:after="160"/>
        <w:ind w:firstLine="567"/>
        <w:contextualSpacing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•</w:t>
      </w:r>
      <w:r>
        <w:rPr>
          <w:rFonts w:cs="Times New Roman" w:ascii="Times New Roman" w:hAnsi="Times New Roman"/>
          <w:bCs/>
          <w:sz w:val="24"/>
          <w:szCs w:val="24"/>
        </w:rPr>
        <w:tab/>
        <w:t>Обслуживание, ремонт, замена/предоставление запасных частей должны производиться в режиме 24 часа в сутки 7 дней в неделю.</w:t>
      </w:r>
    </w:p>
    <w:p>
      <w:pPr>
        <w:pStyle w:val="Normal"/>
        <w:tabs>
          <w:tab w:val="clear" w:pos="708"/>
          <w:tab w:val="left" w:pos="0" w:leader="none"/>
        </w:tabs>
        <w:overflowPunct w:val="true"/>
        <w:spacing w:before="0" w:after="160"/>
        <w:ind w:firstLine="567"/>
        <w:contextualSpacing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•</w:t>
      </w:r>
      <w:r>
        <w:rPr>
          <w:rFonts w:cs="Times New Roman" w:ascii="Times New Roman" w:hAnsi="Times New Roman"/>
          <w:bCs/>
          <w:sz w:val="24"/>
          <w:szCs w:val="24"/>
        </w:rPr>
        <w:tab/>
        <w:t>Обслуживание должно производиться на месте установки оборудования.</w:t>
      </w:r>
    </w:p>
    <w:p>
      <w:pPr>
        <w:pStyle w:val="Normal"/>
        <w:tabs>
          <w:tab w:val="clear" w:pos="708"/>
          <w:tab w:val="left" w:pos="0" w:leader="none"/>
        </w:tabs>
        <w:overflowPunct w:val="true"/>
        <w:spacing w:before="0" w:after="160"/>
        <w:ind w:firstLine="567"/>
        <w:contextualSpacing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•</w:t>
      </w:r>
      <w:r>
        <w:rPr>
          <w:rFonts w:cs="Times New Roman" w:ascii="Times New Roman" w:hAnsi="Times New Roman"/>
          <w:bCs/>
          <w:sz w:val="24"/>
          <w:szCs w:val="24"/>
        </w:rPr>
        <w:tab/>
        <w:t>Установка обновлений сервисного программного обеспечения (ПО для управ</w:t>
      </w:r>
      <w:bookmarkStart w:id="2" w:name="_GoBack"/>
      <w:bookmarkEnd w:id="2"/>
      <w:r>
        <w:rPr>
          <w:rFonts w:cs="Times New Roman" w:ascii="Times New Roman" w:hAnsi="Times New Roman"/>
          <w:bCs/>
          <w:sz w:val="24"/>
          <w:szCs w:val="24"/>
        </w:rPr>
        <w:t>ления компонентами аппаратного обеспечения и т. д.)* должна производится производителем в плановом порядке с использованием удаленного доступа к оборудованию в режиме 24 часа в сутки 7 дней в неделю, при возможности у Заказчика организовать выполнение работ по обновлению с использованием удаленного доступа.</w:t>
      </w:r>
    </w:p>
    <w:p>
      <w:pPr>
        <w:pStyle w:val="Normal"/>
        <w:tabs>
          <w:tab w:val="clear" w:pos="708"/>
          <w:tab w:val="left" w:pos="0" w:leader="none"/>
        </w:tabs>
        <w:overflowPunct w:val="true"/>
        <w:spacing w:before="0" w:after="160"/>
        <w:ind w:firstLine="567"/>
        <w:contextualSpacing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•</w:t>
      </w:r>
      <w:r>
        <w:rPr>
          <w:rFonts w:cs="Times New Roman" w:ascii="Times New Roman" w:hAnsi="Times New Roman"/>
          <w:bCs/>
          <w:sz w:val="24"/>
          <w:szCs w:val="24"/>
        </w:rPr>
        <w:tab/>
        <w:t>Предоставление отчетности по зарегистрированным Заявкам за требуемый период времени, по форме производителя, не более 2-х раз в год: отчет по зарегистрированным заявкам должен содержать информацию о зарегистрированных Заявках Заказчика/по вопросам обслуживания оборудования с указанием следующих параметров: номер Заявки, дата регистрации, статус Заявки, оборудование, причина обращения, время решения, краткое описание примененного решения. В случае, если на момент составления отчета Заявка не была закрыта, в отчете предоставляется текущий статус Заявки и последний комментарий по ней.</w:t>
      </w:r>
    </w:p>
    <w:p>
      <w:pPr>
        <w:pStyle w:val="Normal"/>
        <w:tabs>
          <w:tab w:val="clear" w:pos="708"/>
          <w:tab w:val="left" w:pos="0" w:leader="none"/>
        </w:tabs>
        <w:overflowPunct w:val="true"/>
        <w:spacing w:before="0" w:after="160"/>
        <w:ind w:firstLine="567"/>
        <w:contextualSpacing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•</w:t>
      </w:r>
      <w:r>
        <w:rPr>
          <w:rFonts w:cs="Times New Roman" w:ascii="Times New Roman" w:hAnsi="Times New Roman"/>
          <w:bCs/>
          <w:sz w:val="24"/>
          <w:szCs w:val="24"/>
        </w:rPr>
        <w:tab/>
        <w:t>Целевое время реакции на сервисную заявку с максимальным приоритетом не более 2 часов.</w:t>
      </w:r>
    </w:p>
    <w:p>
      <w:pPr>
        <w:pStyle w:val="Normal"/>
        <w:tabs>
          <w:tab w:val="clear" w:pos="708"/>
          <w:tab w:val="left" w:pos="0" w:leader="none"/>
        </w:tabs>
        <w:overflowPunct w:val="true"/>
        <w:spacing w:before="0" w:after="160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overflowPunct w:val="true"/>
        <w:spacing w:before="0" w:after="160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160"/>
        <w:ind w:start="0"/>
        <w:contextualSpacing/>
        <w:jc w:val="both"/>
        <w:rPr>
          <w:rFonts w:ascii="Times New Roman" w:hAnsi="Times New Roman" w:eastAsia="Times New Roman" w:cs="Times New Roman"/>
          <w:bCs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*</w:t>
      </w:r>
      <w:r>
        <w:rPr/>
        <w:t xml:space="preserve"> </w:t>
      </w:r>
      <w:r>
        <w:rPr>
          <w:rFonts w:eastAsia="Times New Roman" w:cs="Times New Roman" w:ascii="Times New Roman" w:hAnsi="Times New Roman"/>
          <w:bCs/>
          <w:i/>
          <w:sz w:val="24"/>
          <w:szCs w:val="24"/>
        </w:rPr>
        <w:t>Сервисное программное обеспечение для управления компонентами аппаратного обеспечения и т. д., предустановленного на оборудовании и являющегося его неотъемлемой частью</w:t>
      </w:r>
    </w:p>
    <w:sectPr>
      <w:type w:val="nextPage"/>
      <w:pgSz w:w="11906" w:h="16838"/>
      <w:pgMar w:left="1276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stem-ui">
    <w:charset w:val="01" w:characterSet="utf-8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218" w:hanging="360"/>
      </w:pPr>
      <w:rPr>
        <w:sz w:val="24"/>
        <w:b/>
        <w:rFonts w:ascii="Calibri" w:hAnsi="Calibri" w:cs="" w:asciiTheme="minorHAnsi" w:cstheme="minorBidi" w:hAnsiTheme="minorHAnsi"/>
        <w:color w:val="auto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938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658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378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098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818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538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258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5978" w:hanging="180"/>
      </w:pPr>
      <w:rPr/>
    </w:lvl>
  </w:abstractNum>
  <w:abstractNum w:abstractNumId="2">
    <w:lvl w:ilvl="0">
      <w:start w:val="4"/>
      <w:numFmt w:val="decimal"/>
      <w:lvlText w:val="%1."/>
      <w:lvlJc w:val="start"/>
      <w:pPr>
        <w:tabs>
          <w:tab w:val="num" w:pos="0"/>
        </w:tabs>
        <w:ind w:star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szCs w:val="24"/>
        <w:iCs w:val="false"/>
        <w:bCs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2">
      <w:start w:val="1"/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unhideWhenUsed/>
    <w:qFormat/>
    <w:rsid w:val="00a7011d"/>
    <w:rPr>
      <w:sz w:val="16"/>
      <w:szCs w:val="16"/>
    </w:rPr>
  </w:style>
  <w:style w:type="character" w:styleId="Style14" w:customStyle="1">
    <w:name w:val="Текст примечания Знак"/>
    <w:basedOn w:val="DefaultParagraphFont"/>
    <w:uiPriority w:val="99"/>
    <w:qFormat/>
    <w:rsid w:val="00a7011d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3338a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83c8c"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483c8c"/>
    <w:rPr>
      <w:color w:val="605E5C"/>
      <w:shd w:fill="E1DFDD" w:val="clear"/>
    </w:rPr>
  </w:style>
  <w:style w:type="character" w:styleId="7" w:customStyle="1">
    <w:name w:val="Заголовок №7_"/>
    <w:basedOn w:val="DefaultParagraphFont"/>
    <w:link w:val="71"/>
    <w:qFormat/>
    <w:rsid w:val="00167893"/>
    <w:rPr>
      <w:rFonts w:ascii="Times New Roman" w:hAnsi="Times New Roman" w:eastAsia="Times New Roman" w:cs="Times New Roman"/>
      <w:b/>
      <w:bCs/>
      <w:shd w:fill="FFFFFF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166443"/>
    <w:rPr>
      <w:color w:themeColor="followedHyperlink" w:val="954F72"/>
      <w:u w:val="single"/>
    </w:rPr>
  </w:style>
  <w:style w:type="character" w:styleId="LineNumber">
    <w:name w:val="line number"/>
    <w:rPr/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7" w:customStyle="1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Noto Sans"/>
    </w:rPr>
  </w:style>
  <w:style w:type="paragraph" w:styleId="CommentText">
    <w:name w:val="annotation text"/>
    <w:basedOn w:val="Normal"/>
    <w:link w:val="Style14"/>
    <w:uiPriority w:val="99"/>
    <w:unhideWhenUsed/>
    <w:rsid w:val="00a7011d"/>
    <w:pPr>
      <w:spacing w:lineRule="auto" w:line="240" w:before="0" w:after="20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5"/>
    <w:uiPriority w:val="99"/>
    <w:semiHidden/>
    <w:unhideWhenUsed/>
    <w:qFormat/>
    <w:rsid w:val="003338a9"/>
    <w:pPr>
      <w:spacing w:before="0" w:after="160"/>
    </w:pPr>
    <w:rPr>
      <w:b/>
      <w:bCs/>
    </w:rPr>
  </w:style>
  <w:style w:type="paragraph" w:styleId="71" w:customStyle="1">
    <w:name w:val="Заголовок №7"/>
    <w:basedOn w:val="Normal"/>
    <w:link w:val="7"/>
    <w:qFormat/>
    <w:rsid w:val="00167893"/>
    <w:pPr>
      <w:widowControl w:val="false"/>
      <w:shd w:val="clear" w:color="auto" w:fill="FFFFFF"/>
      <w:spacing w:lineRule="atLeast" w:line="0" w:before="0" w:after="0"/>
      <w:jc w:val="both"/>
      <w:outlineLvl w:val="6"/>
    </w:pPr>
    <w:rPr>
      <w:rFonts w:ascii="Times New Roman" w:hAnsi="Times New Roman" w:eastAsia="Times New Roman" w:cs="Times New Roman"/>
      <w:b/>
      <w:bCs/>
    </w:rPr>
  </w:style>
  <w:style w:type="paragraph" w:styleId="Revision">
    <w:name w:val="Revision"/>
    <w:uiPriority w:val="99"/>
    <w:semiHidden/>
    <w:qFormat/>
    <w:rsid w:val="00c64358"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3d364d"/>
    <w:pPr>
      <w:spacing w:before="0" w:after="160"/>
      <w:ind w:start="720"/>
      <w:contextualSpacing/>
    </w:pPr>
    <w:rPr/>
  </w:style>
  <w:style w:type="numbering" w:styleId="Style18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rsid w:val="003338a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akupki.gov.ru/epz/ktru/ktruCard/commonInfo.html?itemId=26.20.14.000-00000189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LibreOffice/25.8.0.4$Linux_X86_64 LibreOffice_project/48f00303701489684e67c38c28aff00cd5929e67</Application>
  <AppVersion>15.0000</AppVersion>
  <Pages>6</Pages>
  <Words>1387</Words>
  <Characters>9412</Characters>
  <CharactersWithSpaces>10599</CharactersWithSpaces>
  <Paragraphs>206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2026-07-07T12:48:00Z</dcterms:created>
  <dc:creator>Афанасьева Юлия Александровна</dc:creator>
  <dc:description/>
  <dc:language>ru-RU</dc:language>
  <cp:lastModifiedBy/>
  <dcterms:modified xsi:type="dcterms:W3CDTF">2026-07-14T15:35:24Z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