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_rels/document.xml.rels" ContentType="application/vnd.openxmlformats-package.relationships+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footer4.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0" w:after="120"/>
        <w:ind w:left="0" w:hanging="0"/>
        <w:jc w:val="center"/>
        <w:outlineLvl w:val="0"/>
        <w:rPr>
          <w:b/>
          <w:bCs/>
          <w:sz w:val="24"/>
          <w:szCs w:val="24"/>
        </w:rPr>
      </w:pPr>
      <w:r>
        <w:rPr>
          <w:b/>
          <w:bCs/>
          <w:sz w:val="24"/>
          <w:szCs w:val="24"/>
        </w:rPr>
        <w:t>Договор поставки № ___________- УМР/пос-26</w:t>
      </w:r>
    </w:p>
    <w:p>
      <w:pPr>
        <w:pStyle w:val="Normal"/>
        <w:shd w:val="clear" w:color="auto" w:fill="FFFFFF"/>
        <w:spacing w:lineRule="auto" w:line="360" w:before="0" w:after="120"/>
        <w:rPr>
          <w:sz w:val="24"/>
          <w:szCs w:val="24"/>
        </w:rPr>
      </w:pPr>
      <w:r>
        <w:rPr>
          <w:sz w:val="24"/>
          <w:szCs w:val="24"/>
        </w:rPr>
        <w:t>г. Махачкала</w:t>
        <w:tab/>
        <w:tab/>
        <w:tab/>
        <w:tab/>
        <w:tab/>
        <w:t xml:space="preserve">                     «____»  __________________ 2026 г.</w:t>
      </w:r>
    </w:p>
    <w:p>
      <w:pPr>
        <w:pStyle w:val="Normal"/>
        <w:ind w:firstLine="567"/>
        <w:jc w:val="both"/>
        <w:rPr>
          <w:sz w:val="24"/>
          <w:szCs w:val="24"/>
        </w:rPr>
      </w:pPr>
      <w:r>
        <w:rPr>
          <w:b/>
          <w:sz w:val="24"/>
          <w:szCs w:val="24"/>
        </w:rPr>
        <w:t xml:space="preserve">Акционерное общество «Гидроремонт-ВКК» (АО «Гидроремонт-ВКК»), </w:t>
      </w:r>
      <w:r>
        <w:rPr>
          <w:sz w:val="24"/>
          <w:szCs w:val="24"/>
        </w:rPr>
        <w:t>именуемое в дальнейшем «</w:t>
      </w:r>
      <w:r>
        <w:rPr>
          <w:b/>
          <w:sz w:val="24"/>
          <w:szCs w:val="24"/>
        </w:rPr>
        <w:t>Покупатель</w:t>
      </w:r>
      <w:r>
        <w:rPr>
          <w:sz w:val="24"/>
          <w:szCs w:val="24"/>
        </w:rPr>
        <w:t>», в лице Директора филиала «Управление монтажных работ №1», действующего на основании доверенности №</w:t>
      </w:r>
      <w:r>
        <w:rPr>
          <w:sz w:val="24"/>
          <w:szCs w:val="24"/>
        </w:rPr>
        <w:t xml:space="preserve">90 </w:t>
      </w:r>
      <w:r>
        <w:rPr>
          <w:sz w:val="24"/>
          <w:szCs w:val="24"/>
        </w:rPr>
        <w:t xml:space="preserve">от </w:t>
      </w:r>
      <w:r>
        <w:rPr>
          <w:sz w:val="24"/>
          <w:szCs w:val="24"/>
        </w:rPr>
        <w:t>01</w:t>
      </w:r>
      <w:r>
        <w:rPr>
          <w:sz w:val="24"/>
          <w:szCs w:val="24"/>
        </w:rPr>
        <w:t>.</w:t>
      </w:r>
      <w:r>
        <w:rPr>
          <w:sz w:val="24"/>
          <w:szCs w:val="24"/>
        </w:rPr>
        <w:t>01</w:t>
      </w:r>
      <w:r>
        <w:rPr>
          <w:sz w:val="24"/>
          <w:szCs w:val="24"/>
        </w:rPr>
        <w:t>.202</w:t>
      </w:r>
      <w:r>
        <w:rPr>
          <w:sz w:val="24"/>
          <w:szCs w:val="24"/>
        </w:rPr>
        <w:t>6</w:t>
      </w:r>
      <w:r>
        <w:rPr>
          <w:sz w:val="24"/>
          <w:szCs w:val="24"/>
        </w:rPr>
        <w:t xml:space="preserve">г., с одной стороны, и </w:t>
      </w:r>
    </w:p>
    <w:p>
      <w:pPr>
        <w:pStyle w:val="Normal"/>
        <w:spacing w:before="0" w:after="120"/>
        <w:ind w:firstLine="567"/>
        <w:jc w:val="both"/>
        <w:rPr>
          <w:sz w:val="24"/>
          <w:szCs w:val="24"/>
        </w:rPr>
      </w:pPr>
      <w:r>
        <w:rPr>
          <w:b/>
          <w:sz w:val="24"/>
          <w:szCs w:val="24"/>
        </w:rPr>
        <w:t>Общество с ограниченной ответственностью</w:t>
      </w:r>
      <w:r>
        <w:rPr>
          <w:color w:val="000000"/>
          <w:sz w:val="24"/>
          <w:szCs w:val="24"/>
        </w:rPr>
        <w:t xml:space="preserve"> </w:t>
      </w:r>
      <w:r>
        <w:rPr>
          <w:b/>
          <w:color w:val="000000"/>
          <w:sz w:val="24"/>
          <w:szCs w:val="24"/>
        </w:rPr>
        <w:t>«____________» (ООО «__________»</w:t>
      </w:r>
      <w:r>
        <w:rPr>
          <w:b/>
          <w:sz w:val="24"/>
          <w:szCs w:val="24"/>
        </w:rPr>
        <w:t>)</w:t>
      </w:r>
      <w:r>
        <w:rPr>
          <w:b/>
          <w:bCs/>
          <w:sz w:val="24"/>
          <w:szCs w:val="24"/>
        </w:rPr>
        <w:t>,</w:t>
      </w:r>
      <w:r>
        <w:rPr>
          <w:sz w:val="24"/>
          <w:szCs w:val="24"/>
        </w:rPr>
        <w:t xml:space="preserve"> именуемое в дальнейшем «</w:t>
      </w:r>
      <w:r>
        <w:rPr>
          <w:b/>
          <w:sz w:val="24"/>
          <w:szCs w:val="24"/>
        </w:rPr>
        <w:t>Поставщик</w:t>
      </w:r>
      <w:r>
        <w:rPr>
          <w:sz w:val="24"/>
          <w:szCs w:val="24"/>
        </w:rPr>
        <w:t xml:space="preserve">», в лице Генерального директора ______________________, действующего на основании Устава, с другой стороны, совместно в дальнейшем именуемые «Стороны», а по отдельности – «Сторона», </w:t>
      </w:r>
    </w:p>
    <w:p>
      <w:pPr>
        <w:pStyle w:val="Normal"/>
        <w:spacing w:before="0" w:after="120"/>
        <w:ind w:firstLine="567"/>
        <w:jc w:val="both"/>
        <w:rPr>
          <w:sz w:val="24"/>
          <w:szCs w:val="24"/>
        </w:rPr>
      </w:pPr>
      <w:r>
        <w:rPr>
          <w:sz w:val="24"/>
          <w:szCs w:val="24"/>
        </w:rPr>
        <w:t>по результатам проведенной закупки (Лот № __________________), что подтверждается Протоколом № ____ от «__» ____________ 202__г.</w:t>
      </w:r>
      <w:bookmarkStart w:id="0" w:name="_GoBack"/>
      <w:bookmarkEnd w:id="0"/>
    </w:p>
    <w:p>
      <w:pPr>
        <w:pStyle w:val="Normal"/>
        <w:spacing w:before="0" w:after="120"/>
        <w:ind w:firstLine="567"/>
        <w:jc w:val="both"/>
        <w:rPr>
          <w:sz w:val="24"/>
          <w:szCs w:val="24"/>
        </w:rPr>
      </w:pPr>
      <w:r>
        <w:rPr>
          <w:sz w:val="24"/>
          <w:szCs w:val="24"/>
        </w:rPr>
        <w:t>заключили настоящий Договор (далее – «Договор») о нижеследующем: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Предмет Договора</w:t>
      </w:r>
    </w:p>
    <w:p>
      <w:pPr>
        <w:pStyle w:val="Title"/>
        <w:numPr>
          <w:ilvl w:val="1"/>
          <w:numId w:val="6"/>
        </w:numPr>
        <w:tabs>
          <w:tab w:val="clear" w:pos="720"/>
          <w:tab w:val="left" w:pos="142" w:leader="none"/>
        </w:tabs>
        <w:spacing w:before="0" w:after="120"/>
        <w:ind w:left="0" w:firstLine="567"/>
        <w:jc w:val="both"/>
        <w:rPr>
          <w:b w:val="false"/>
          <w:sz w:val="24"/>
        </w:rPr>
      </w:pPr>
      <w:r>
        <w:rPr>
          <w:b w:val="false"/>
          <w:sz w:val="24"/>
        </w:rPr>
        <w:t>Поставщик обязуется передать Покупателю материалы ________________________</w:t>
      </w:r>
      <w:r>
        <w:rPr>
          <w:sz w:val="24"/>
        </w:rPr>
        <w:t xml:space="preserve"> </w:t>
      </w:r>
      <w:r>
        <w:rPr>
          <w:b w:val="false"/>
          <w:sz w:val="24"/>
        </w:rPr>
        <w:t>(далее – «Продукция») на условиях, согласованных Сторонами в Договоре, в соответствии со Спецификацией (</w:t>
      </w:r>
      <w:r>
        <w:rPr>
          <w:sz w:val="24"/>
        </w:rPr>
        <w:t>Приложение № 1</w:t>
      </w:r>
      <w:r>
        <w:rPr>
          <w:b w:val="false"/>
          <w:sz w:val="24"/>
        </w:rPr>
        <w:t>) и техническими требованиями (</w:t>
      </w:r>
      <w:r>
        <w:rPr>
          <w:sz w:val="24"/>
        </w:rPr>
        <w:t>Приложение № 2</w:t>
      </w:r>
      <w:r>
        <w:rPr>
          <w:b w:val="false"/>
          <w:sz w:val="24"/>
        </w:rPr>
        <w:t>), а Покупатель обязуется принять и оплатить Продукцию в установленном Договором порядке.</w:t>
      </w:r>
    </w:p>
    <w:p>
      <w:pPr>
        <w:pStyle w:val="Title"/>
        <w:numPr>
          <w:ilvl w:val="1"/>
          <w:numId w:val="6"/>
        </w:numPr>
        <w:shd w:val="clear" w:color="auto" w:fill="FFFFFF"/>
        <w:tabs>
          <w:tab w:val="clear" w:pos="720"/>
          <w:tab w:val="left" w:pos="142" w:leader="none"/>
          <w:tab w:val="left" w:pos="540" w:leader="none"/>
        </w:tabs>
        <w:spacing w:before="120" w:after="120"/>
        <w:ind w:left="0" w:firstLine="567"/>
        <w:jc w:val="both"/>
        <w:rPr>
          <w:b w:val="false"/>
          <w:sz w:val="24"/>
        </w:rPr>
      </w:pPr>
      <w:r>
        <w:rPr>
          <w:b w:val="false"/>
          <w:sz w:val="24"/>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Поставка по Договору выполняется для нужд филиала АО «Гидроремонт-ВКК» - «Управление монтажных работ №1».</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Адрес поставки: 3</w:t>
      </w:r>
      <w:r>
        <w:rPr>
          <w:rFonts w:eastAsia="" w:cs="Times New Roman" w:eastAsiaTheme="minorEastAsia"/>
          <w:sz w:val="26"/>
          <w:szCs w:val="26"/>
          <w:lang w:eastAsia="ru-RU"/>
        </w:rPr>
        <w:t>368219, Россия, Республика Дагестан, Буйнакский район, Чиркейская ГЭС, от села Чиркей 13,5 км, координаты - 42°58′37′′ с. ш. 46°52′14′′ в. д.</w:t>
      </w:r>
      <w:r>
        <w:rPr>
          <w:sz w:val="24"/>
          <w:szCs w:val="24"/>
        </w:rPr>
        <w:t xml:space="preserve"> (далее – «Место поставки»).</w:t>
      </w:r>
    </w:p>
    <w:p>
      <w:pPr>
        <w:pStyle w:val="ListParagraph"/>
        <w:numPr>
          <w:ilvl w:val="1"/>
          <w:numId w:val="6"/>
        </w:numPr>
        <w:shd w:val="clear" w:color="auto" w:fill="FFFFFF"/>
        <w:tabs>
          <w:tab w:val="clear" w:pos="720"/>
          <w:tab w:val="left" w:pos="142" w:leader="none"/>
          <w:tab w:val="left" w:pos="540" w:leader="none"/>
        </w:tabs>
        <w:spacing w:before="0" w:after="120"/>
        <w:ind w:left="0" w:firstLine="567"/>
        <w:contextualSpacing w:val="false"/>
        <w:jc w:val="both"/>
        <w:rPr>
          <w:sz w:val="24"/>
          <w:szCs w:val="24"/>
        </w:rPr>
      </w:pPr>
      <w:r>
        <w:rPr>
          <w:sz w:val="24"/>
          <w:szCs w:val="24"/>
        </w:rPr>
        <w:t>Требования к срокам поставки продукции: ______</w:t>
      </w:r>
      <w:r>
        <w:rPr>
          <w:sz w:val="24"/>
          <w:szCs w:val="28"/>
        </w:rPr>
        <w:t xml:space="preserve"> календарных дней с даты подписания Договора</w:t>
      </w:r>
      <w:r>
        <w:rPr>
          <w:color w:val="000000"/>
          <w:sz w:val="24"/>
          <w:szCs w:val="24"/>
        </w:rPr>
        <w:t>.</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Цена Договора и порядок оплаты</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Общая стоимость Продукции (далее – «Цена Договора») по Договору составляет </w:t>
      </w:r>
      <w:r>
        <w:rPr>
          <w:b/>
          <w:sz w:val="24"/>
          <w:szCs w:val="24"/>
        </w:rPr>
        <w:t>______________</w:t>
      </w:r>
      <w:r>
        <w:rPr>
          <w:b/>
          <w:bCs/>
          <w:sz w:val="24"/>
          <w:szCs w:val="24"/>
        </w:rPr>
        <w:t xml:space="preserve"> (</w:t>
      </w:r>
      <w:r>
        <w:rPr>
          <w:b/>
          <w:bCs/>
          <w:iCs/>
          <w:sz w:val="24"/>
          <w:szCs w:val="24"/>
        </w:rPr>
        <w:t>____________________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20%, в размере _____________ (________________) рубля __ копейки</w:t>
      </w:r>
      <w:r>
        <w:rPr>
          <w:sz w:val="24"/>
          <w:szCs w:val="24"/>
        </w:rPr>
        <w:t>.</w:t>
      </w:r>
      <w:r>
        <w:rPr>
          <w:bCs/>
          <w:szCs w:val="28"/>
        </w:rPr>
        <w:t xml:space="preserve"> </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Цена </w:t>
      </w:r>
      <w:r>
        <w:rPr>
          <w:bCs/>
          <w:sz w:val="24"/>
          <w:szCs w:val="24"/>
        </w:rPr>
        <w:t xml:space="preserve">Договора включает в себя 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4"/>
          <w:szCs w:val="24"/>
        </w:rPr>
        <w:t xml:space="preserve">подлежащие уплате налоги, сборы и пошлины (в т.ч. по таможенному оформлению, если применимо), </w:t>
      </w:r>
      <w:r>
        <w:rPr>
          <w:bCs/>
          <w:sz w:val="24"/>
          <w:szCs w:val="24"/>
        </w:rPr>
        <w:t xml:space="preserve">а также </w:t>
      </w:r>
      <w:r>
        <w:rPr>
          <w:sz w:val="24"/>
          <w:szCs w:val="24"/>
        </w:rPr>
        <w:t>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Стоимость Продукции является фиксированной и не подлежит изменению.</w:t>
      </w:r>
    </w:p>
    <w:p>
      <w:pPr>
        <w:pStyle w:val="ListParagraph"/>
        <w:numPr>
          <w:ilvl w:val="1"/>
          <w:numId w:val="6"/>
        </w:numPr>
        <w:shd w:val="clear" w:color="auto" w:fill="FFFFFF"/>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Стоимость единицы Продукции определяется Спецификацией (Приложение № 1). </w:t>
      </w:r>
    </w:p>
    <w:p>
      <w:pPr>
        <w:pStyle w:val="ListParagraph"/>
        <w:numPr>
          <w:ilvl w:val="1"/>
          <w:numId w:val="6"/>
        </w:numPr>
        <w:shd w:val="clear" w:color="auto" w:fill="FFFFFF"/>
        <w:tabs>
          <w:tab w:val="clear" w:pos="720"/>
          <w:tab w:val="left" w:pos="0" w:leader="none"/>
          <w:tab w:val="left" w:pos="851" w:leader="none"/>
          <w:tab w:val="left" w:pos="1440" w:leader="none"/>
        </w:tabs>
        <w:spacing w:before="0" w:after="120"/>
        <w:ind w:left="0" w:firstLine="567"/>
        <w:contextualSpacing w:val="false"/>
        <w:jc w:val="both"/>
        <w:rPr>
          <w:sz w:val="24"/>
          <w:szCs w:val="24"/>
        </w:rPr>
      </w:pPr>
      <w:r>
        <w:rPr>
          <w:sz w:val="24"/>
          <w:szCs w:val="24"/>
        </w:rPr>
        <w:t>Оплата в соответствии с Договором осуществляется следующим образом:</w:t>
      </w:r>
    </w:p>
    <w:p>
      <w:pPr>
        <w:pStyle w:val="Normal"/>
        <w:shd w:val="clear" w:color="auto" w:fill="FFFFFF"/>
        <w:tabs>
          <w:tab w:val="clear" w:pos="720"/>
          <w:tab w:val="left" w:pos="567" w:leader="none"/>
          <w:tab w:val="left" w:pos="1440" w:leader="none"/>
        </w:tabs>
        <w:spacing w:before="0" w:after="120"/>
        <w:jc w:val="both"/>
        <w:rPr>
          <w:sz w:val="24"/>
          <w:szCs w:val="24"/>
        </w:rPr>
      </w:pPr>
      <w:r>
        <w:rPr>
          <w:sz w:val="24"/>
          <w:szCs w:val="24"/>
        </w:rPr>
        <w:tab/>
        <w:t xml:space="preserve">2.5.1.  Авансовый платеж в размере 30 (тридцать) % от стоимости Договора выплачивается в срок, не превышающий 7 (семь) рабочих дней с даты подписания договора, но не ранее чем за 30 календарных дней до планируемой даты поставки, при условии получения Покупателем счета, выставленного Поставщиком. </w:t>
      </w:r>
    </w:p>
    <w:p>
      <w:pPr>
        <w:pStyle w:val="Normal"/>
        <w:shd w:val="clear" w:color="auto" w:fill="FFFFFF"/>
        <w:tabs>
          <w:tab w:val="clear" w:pos="720"/>
          <w:tab w:val="left" w:pos="567" w:leader="none"/>
          <w:tab w:val="left" w:pos="1440" w:leader="none"/>
        </w:tabs>
        <w:spacing w:before="0" w:after="120"/>
        <w:ind w:firstLine="567"/>
        <w:jc w:val="both"/>
        <w:rPr>
          <w:sz w:val="24"/>
          <w:szCs w:val="24"/>
        </w:rPr>
      </w:pPr>
      <w:r>
        <w:rPr>
          <w:sz w:val="24"/>
          <w:szCs w:val="24"/>
        </w:rPr>
        <w:t xml:space="preserve">2.5.2. Платеж в размере 70 (семьдесят) % от стоимости поставленной Продукции, согласно Спецификации, производится Покупателем в срок не более 7 (семь) рабочих дней с даты подписания Товарной накладной по форме ТОРГ-12 или Универсального передаточного документа (УПД), при условии получении счета, выставленного Поставщиком с учетом п. 2.6 Договора. </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ListParagraph"/>
        <w:numPr>
          <w:ilvl w:val="1"/>
          <w:numId w:val="6"/>
        </w:numPr>
        <w:shd w:val="clear" w:color="auto" w:fill="FFFFFF"/>
        <w:tabs>
          <w:tab w:val="clear" w:pos="720"/>
          <w:tab w:val="left" w:pos="0" w:leader="none"/>
          <w:tab w:val="left" w:pos="480" w:leader="none"/>
          <w:tab w:val="left" w:pos="851" w:leader="none"/>
        </w:tabs>
        <w:spacing w:before="0" w:after="120"/>
        <w:ind w:left="0" w:firstLine="567"/>
        <w:contextualSpacing w:val="false"/>
        <w:jc w:val="both"/>
        <w:rPr>
          <w:sz w:val="24"/>
          <w:szCs w:val="24"/>
        </w:rPr>
      </w:pPr>
      <w:r>
        <w:rPr>
          <w:sz w:val="24"/>
          <w:szCs w:val="24"/>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6"/>
        </w:numPr>
        <w:shd w:val="clear" w:color="auto" w:fill="FFFFFF"/>
        <w:tabs>
          <w:tab w:val="clear" w:pos="720"/>
          <w:tab w:val="left" w:pos="1134" w:leader="none"/>
          <w:tab w:val="left" w:pos="1283" w:leader="none"/>
        </w:tabs>
        <w:ind w:left="0" w:firstLine="567"/>
        <w:jc w:val="both"/>
        <w:rPr>
          <w:sz w:val="24"/>
          <w:szCs w:val="24"/>
        </w:rPr>
      </w:pPr>
      <w:r>
        <w:rPr>
          <w:sz w:val="24"/>
          <w:szCs w:val="24"/>
        </w:rPr>
        <w:t>Поставщик обязан представить Покупателю счета-фактуры,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s>
        <w:spacing w:before="0" w:after="120"/>
        <w:ind w:firstLine="567"/>
        <w:jc w:val="both"/>
        <w:rPr>
          <w:sz w:val="24"/>
          <w:szCs w:val="24"/>
        </w:rPr>
      </w:pPr>
      <w:r>
        <w:rPr>
          <w:sz w:val="24"/>
          <w:szCs w:val="24"/>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s>
        <w:spacing w:before="0" w:after="120"/>
        <w:ind w:left="0" w:firstLine="567"/>
        <w:jc w:val="both"/>
        <w:rPr>
          <w:sz w:val="24"/>
          <w:szCs w:val="24"/>
        </w:rPr>
      </w:pPr>
      <w:r>
        <w:rPr>
          <w:sz w:val="24"/>
          <w:szCs w:val="24"/>
        </w:rPr>
        <w:t>обязательство Покупателя, по которому произошла задержка, не является денежным.</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Индексация Цены Договора не допускается.</w:t>
      </w:r>
    </w:p>
    <w:p>
      <w:pPr>
        <w:pStyle w:val="ListParagraph"/>
        <w:numPr>
          <w:ilvl w:val="1"/>
          <w:numId w:val="6"/>
        </w:numPr>
        <w:tabs>
          <w:tab w:val="clear" w:pos="720"/>
          <w:tab w:val="left" w:pos="0" w:leader="none"/>
          <w:tab w:val="left" w:pos="851" w:leader="none"/>
        </w:tabs>
        <w:spacing w:before="0" w:after="120"/>
        <w:ind w:left="0" w:firstLine="567"/>
        <w:contextualSpacing w:val="false"/>
        <w:jc w:val="both"/>
        <w:rPr>
          <w:sz w:val="24"/>
          <w:szCs w:val="24"/>
        </w:rPr>
      </w:pPr>
      <w:r>
        <w:rPr>
          <w:sz w:val="24"/>
          <w:szCs w:val="24"/>
        </w:rPr>
        <w:t>Изменение стоимости Договора не требует заключения дополнительного соглашения к Договору только в случае, когда оно вызвано изменением ставки российского НДС.</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Качество, количество и комплектность</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качества в 1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120"/>
        <w:ind w:left="0" w:firstLine="567"/>
        <w:jc w:val="both"/>
        <w:rPr>
          <w:sz w:val="24"/>
          <w:szCs w:val="24"/>
        </w:rPr>
      </w:pPr>
      <w:r>
        <w:rPr>
          <w:sz w:val="24"/>
          <w:szCs w:val="24"/>
        </w:rPr>
        <w:t>Сертификат места происхождения товара;</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120"/>
        <w:ind w:left="0" w:firstLine="567"/>
        <w:jc w:val="both"/>
        <w:rPr>
          <w:sz w:val="24"/>
          <w:szCs w:val="24"/>
        </w:rPr>
      </w:pPr>
      <w:r>
        <w:rPr>
          <w:sz w:val="24"/>
          <w:szCs w:val="24"/>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Товарно-транспортную накладную формы № 1-Т (для учета товарно-материальных ценностей и расчетов за их перевозки) или Железнодорожную накладную (форма № ГУ-27) в 2 экз. или Транспортную накладную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Товарную накладную по форме ТОРГ-12 или Универсальный передаточный документ (УПД)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120"/>
        <w:ind w:left="0" w:firstLine="567"/>
        <w:jc w:val="both"/>
        <w:rPr>
          <w:sz w:val="24"/>
          <w:szCs w:val="24"/>
        </w:rPr>
      </w:pPr>
      <w:r>
        <w:rPr>
          <w:sz w:val="24"/>
          <w:szCs w:val="24"/>
        </w:rPr>
        <w:t xml:space="preserve"> </w:t>
      </w:r>
      <w:r>
        <w:rPr>
          <w:sz w:val="24"/>
          <w:szCs w:val="24"/>
        </w:rPr>
        <w:t>Счет фактура – 1 экз.</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В случае отсутствия указанных в п.3.3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4"/>
          <w:szCs w:val="24"/>
        </w:rPr>
        <w:t>товарно-транспортную накладную формы №1-Т.</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некомплектности, недопоставке, отсутствии необходимых принадлежностей, относящихся к Товару, Покупатель вправе с одновременным направлением письменного уведомления Продавцу прекратить приемку Товара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4"/>
          <w:szCs w:val="24"/>
        </w:rPr>
        <w:t>товарно-транспортной накладной по форме №1-Т или с даты подписания транспортной накладной ((для учета товарно-материальных ценностей и расчетов за их перевозки) по форме согласно Приложению 4 к Правилам перевозки грузов автомобильным транспортом (в ред. Постановлений Правительства РФ от 30.12.2011 №1208, от 03.12.2015 №1311, от 12.12.2017 №1529)</w:t>
      </w:r>
      <w:r>
        <w:rPr>
          <w:sz w:val="24"/>
          <w:szCs w:val="24"/>
        </w:rPr>
        <w:t xml:space="preserve">. В случае отсутствия замечаний Покупатель подписывает </w:t>
      </w:r>
      <w:r>
        <w:rPr>
          <w:color w:val="000000"/>
          <w:sz w:val="24"/>
          <w:szCs w:val="24"/>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невыполнении Поставщиком требований пункта 3.8.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случае когда Продукция, комплектующие, принадлежности или документы, относящиеся к Продукции, не переданы Поставщиком в сроки, указанные в п. 3.4, 3.6 Договора, Покупатель вправе отказаться от Продукции, а Поставщик обязан не позднее 30 (тридцать) календарных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lang w:eastAsia="x-none"/>
        </w:rPr>
        <w:t>Поставщик обязан установить на продукцию гарантийный срок не менее 12 месяцев с подписания Сторонами соответствующей товарной накладной по форме ТОРГ-12 или Универсального передаточного документа (УПД), но не менее гарантийного срока изготовителя (производителя) продукции</w:t>
      </w:r>
      <w:r>
        <w:rPr>
          <w:sz w:val="24"/>
          <w:szCs w:val="24"/>
        </w:rPr>
        <w:t>.</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 xml:space="preserve">Устранение недостатков осуществляется Поставщиком своими силами, за свой счет и в срок, указанный </w:t>
      </w:r>
      <w:bookmarkStart w:id="1" w:name="OLE_LINK5"/>
      <w:bookmarkStart w:id="2" w:name="OLE_LINK6"/>
      <w:r>
        <w:rPr>
          <w:sz w:val="24"/>
          <w:szCs w:val="24"/>
        </w:rPr>
        <w:t>Покупателем в соответствии с п. 3.14.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Если Поставщик не устранит недостатки в срок, установленный согласно п. 3.14.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3.12.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120"/>
        <w:ind w:left="0" w:firstLine="567"/>
        <w:jc w:val="both"/>
        <w:rPr>
          <w:sz w:val="24"/>
          <w:szCs w:val="24"/>
        </w:rPr>
      </w:pPr>
      <w:r>
        <w:rPr>
          <w:sz w:val="24"/>
          <w:szCs w:val="24"/>
        </w:rPr>
        <w:t>Устранение недостатков Продукции или возврат ее стоимости, в том числе в рамках срока, установленного в соответствии с п. 3.10.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Тара, упаковка, маркировка</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 брутто/нетто каждого места;</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наименование Продукции;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номера мест и их общее количество;</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весогабаритные характеристики мест;</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центр тяжести;</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условия хранения;</w:t>
      </w:r>
    </w:p>
    <w:p>
      <w:pPr>
        <w:pStyle w:val="Normal"/>
        <w:widowControl w:val="false"/>
        <w:numPr>
          <w:ilvl w:val="0"/>
          <w:numId w:val="5"/>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обозначения типа «не бросать» и другие обычно используемые обозначения.</w:t>
      </w:r>
    </w:p>
    <w:p>
      <w:pPr>
        <w:pStyle w:val="Normal"/>
        <w:widowControl w:val="false"/>
        <w:numPr>
          <w:ilvl w:val="1"/>
          <w:numId w:val="6"/>
        </w:numPr>
        <w:shd w:val="clear" w:color="auto" w:fill="FFFFFF"/>
        <w:tabs>
          <w:tab w:val="clear" w:pos="720"/>
          <w:tab w:val="left" w:pos="1276" w:leader="none"/>
          <w:tab w:val="left" w:pos="1418" w:leader="none"/>
        </w:tabs>
        <w:spacing w:before="0" w:after="120"/>
        <w:ind w:left="0" w:firstLine="567"/>
        <w:jc w:val="both"/>
        <w:rPr>
          <w:sz w:val="24"/>
          <w:szCs w:val="24"/>
        </w:rPr>
      </w:pPr>
      <w:r>
        <w:rPr>
          <w:sz w:val="24"/>
          <w:szCs w:val="24"/>
        </w:rPr>
        <w:t>Стоимость тары и упаковки включена в Цену Договора; тара и упаковка возврату не подлежат.</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Сроки, порядок и условия поставки, переход права собственности</w:t>
      </w:r>
    </w:p>
    <w:p>
      <w:pPr>
        <w:pStyle w:val="ListParagraph"/>
        <w:numPr>
          <w:ilvl w:val="1"/>
          <w:numId w:val="6"/>
        </w:numPr>
        <w:tabs>
          <w:tab w:val="clear" w:pos="720"/>
          <w:tab w:val="left" w:pos="0" w:leader="none"/>
          <w:tab w:val="left" w:pos="1276" w:leader="none"/>
        </w:tabs>
        <w:spacing w:before="0" w:after="120"/>
        <w:ind w:left="0" w:firstLine="567"/>
        <w:contextualSpacing w:val="false"/>
        <w:jc w:val="both"/>
        <w:rPr>
          <w:sz w:val="24"/>
          <w:szCs w:val="24"/>
        </w:rPr>
      </w:pPr>
      <w:r>
        <w:rPr>
          <w:sz w:val="24"/>
          <w:szCs w:val="24"/>
        </w:rPr>
        <w:t xml:space="preserve">Поставка Продукции по Договору осуществляется Поставщиком одной партией в Место поставки согласно п.1.4. Доставка и разгрузка Продукции осуществляется Поставщиком.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Поставщик обязан уведомить Покупателя о дате поставки Продукции не позднее, чем за 3(три) календарных дня/дней до даты поставки.</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считается дата подписания товарной накладной по форме ТОРГ-12 или Универсального передаточного документа (УПД) Покупателем.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несет ответственность за получение (если это необходимо) разрешений властей на транспортировку Продукции в Место поставки, лицензий и иных необходимых документов.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Ответственность по Договору</w:t>
      </w:r>
    </w:p>
    <w:p>
      <w:pPr>
        <w:pStyle w:val="ListParagraph"/>
        <w:numPr>
          <w:ilvl w:val="1"/>
          <w:numId w:val="6"/>
        </w:numPr>
        <w:shd w:val="clear" w:color="auto" w:fill="FFFFFF"/>
        <w:tabs>
          <w:tab w:val="clear" w:pos="720"/>
          <w:tab w:val="left" w:pos="1276" w:leader="none"/>
        </w:tabs>
        <w:spacing w:before="0" w:after="120"/>
        <w:ind w:left="0" w:firstLine="567"/>
        <w:contextualSpacing/>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w:t>
      </w:r>
    </w:p>
    <w:p>
      <w:pPr>
        <w:pStyle w:val="Normal"/>
        <w:widowControl w:val="false"/>
        <w:numPr>
          <w:ilvl w:val="1"/>
          <w:numId w:val="6"/>
        </w:numPr>
        <w:tabs>
          <w:tab w:val="clear" w:pos="720"/>
          <w:tab w:val="left" w:pos="1276" w:leader="none"/>
        </w:tabs>
        <w:spacing w:before="0" w:after="120"/>
        <w:ind w:left="0" w:firstLine="567"/>
        <w:jc w:val="both"/>
        <w:rPr>
          <w:sz w:val="24"/>
          <w:szCs w:val="24"/>
        </w:rPr>
      </w:pPr>
      <w:r>
        <w:rPr>
          <w:sz w:val="24"/>
          <w:szCs w:val="24"/>
        </w:rPr>
        <w:t>В случае нарушения Покупателем сроков оплаты поставленной Продукции, Поставщик вправе потребовать уплаты Покупателем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Pr>
          <w:sz w:val="28"/>
          <w:szCs w:val="28"/>
        </w:rPr>
        <w:t xml:space="preserve"> </w:t>
      </w:r>
      <w:r>
        <w:rPr>
          <w:sz w:val="24"/>
          <w:szCs w:val="24"/>
        </w:rPr>
        <w:t xml:space="preserve">При этом такая неустойка является единственным возмещением объективно оцененных Сторонами возможных убытков Поставщика (исключительная неустойка). </w:t>
      </w:r>
    </w:p>
    <w:p>
      <w:pPr>
        <w:pStyle w:val="Normal"/>
        <w:widowControl w:val="false"/>
        <w:numPr>
          <w:ilvl w:val="1"/>
          <w:numId w:val="6"/>
        </w:numPr>
        <w:tabs>
          <w:tab w:val="clear" w:pos="720"/>
          <w:tab w:val="left" w:pos="1276" w:leader="none"/>
        </w:tabs>
        <w:spacing w:before="0" w:after="120"/>
        <w:ind w:left="0" w:firstLine="567"/>
        <w:jc w:val="both"/>
        <w:rPr>
          <w:sz w:val="24"/>
          <w:szCs w:val="24"/>
        </w:rPr>
      </w:pPr>
      <w:bookmarkStart w:id="3" w:name="_Hlk130023773"/>
      <w:r>
        <w:rPr>
          <w:sz w:val="24"/>
          <w:szCs w:val="24"/>
        </w:rPr>
        <w:t xml:space="preserve">В случае </w:t>
      </w:r>
      <w:bookmarkStart w:id="4" w:name="_Hlk130023740"/>
      <w:r>
        <w:rPr>
          <w:sz w:val="24"/>
          <w:szCs w:val="24"/>
        </w:rPr>
        <w:t xml:space="preserve">нарушения </w:t>
      </w:r>
      <w:bookmarkEnd w:id="4"/>
      <w:r>
        <w:rPr>
          <w:sz w:val="24"/>
          <w:szCs w:val="24"/>
        </w:rPr>
        <w:t>Поставщиком обязательств по поставке Продукции (нарушение срока поставки, недопоставка), Покупатель вправе потребовать уплаты Поставщиком неустойки в размере 0,1% от Цены Договора, за каждый день просрочки</w:t>
      </w:r>
      <w:bookmarkEnd w:id="3"/>
      <w:r>
        <w:rPr>
          <w:sz w:val="24"/>
          <w:szCs w:val="24"/>
        </w:rPr>
        <w:t xml:space="preserve">. </w:t>
      </w:r>
    </w:p>
    <w:p>
      <w:pPr>
        <w:pStyle w:val="Normal"/>
        <w:tabs>
          <w:tab w:val="clear" w:pos="720"/>
          <w:tab w:val="left" w:pos="1701" w:leader="none"/>
        </w:tabs>
        <w:jc w:val="both"/>
        <w:rPr>
          <w:sz w:val="24"/>
          <w:szCs w:val="24"/>
        </w:rPr>
      </w:pPr>
      <w:r>
        <w:rPr>
          <w:sz w:val="24"/>
          <w:szCs w:val="24"/>
        </w:rPr>
        <w:tab/>
      </w:r>
      <w:bookmarkStart w:id="5" w:name="_Hlk130023812"/>
      <w:r>
        <w:rPr>
          <w:sz w:val="24"/>
          <w:szCs w:val="24"/>
        </w:rPr>
        <w:t>В случае несвоевременного устранения Поставщиком выявленных недостатков Продукции, согласно п.3.14 Договора, Покупатель вправе потребовать уплаты Поставщиком:</w:t>
      </w:r>
    </w:p>
    <w:p>
      <w:pPr>
        <w:pStyle w:val="Normal"/>
        <w:numPr>
          <w:ilvl w:val="0"/>
          <w:numId w:val="14"/>
        </w:numPr>
        <w:tabs>
          <w:tab w:val="clear" w:pos="720"/>
          <w:tab w:val="left" w:pos="1701" w:leader="none"/>
        </w:tabs>
        <w:ind w:left="0" w:firstLine="709"/>
        <w:jc w:val="both"/>
        <w:rPr>
          <w:rFonts w:eastAsia="Calibri"/>
          <w:bCs/>
          <w:sz w:val="24"/>
          <w:szCs w:val="24"/>
        </w:rPr>
      </w:pPr>
      <w:r>
        <w:rPr>
          <w:rFonts w:eastAsia="Calibri"/>
          <w:bCs/>
          <w:sz w:val="24"/>
          <w:szCs w:val="24"/>
        </w:rPr>
        <w:t xml:space="preserve">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влияющих на возможность эксплуатации (использования) </w:t>
      </w:r>
      <w:r>
        <w:rPr>
          <w:sz w:val="24"/>
          <w:szCs w:val="24"/>
        </w:rPr>
        <w:t>Продукции</w:t>
      </w:r>
      <w:r>
        <w:rPr>
          <w:rFonts w:eastAsia="Calibri"/>
          <w:bCs/>
          <w:sz w:val="24"/>
          <w:szCs w:val="24"/>
        </w:rPr>
        <w:t xml:space="preserve"> в целом;</w:t>
      </w:r>
    </w:p>
    <w:p>
      <w:pPr>
        <w:pStyle w:val="Normal"/>
        <w:tabs>
          <w:tab w:val="clear" w:pos="720"/>
          <w:tab w:val="left" w:pos="1701" w:leader="none"/>
        </w:tabs>
        <w:ind w:firstLine="709"/>
        <w:jc w:val="both"/>
        <w:rPr>
          <w:rFonts w:eastAsia="Calibri"/>
          <w:bCs/>
          <w:sz w:val="24"/>
          <w:szCs w:val="24"/>
        </w:rPr>
      </w:pPr>
      <w:r>
        <w:rPr>
          <w:rFonts w:eastAsia="Calibri"/>
          <w:bCs/>
          <w:sz w:val="24"/>
          <w:szCs w:val="24"/>
        </w:rPr>
        <w:t xml:space="preserve">-                 неустойки в размере 0,1 (ноль целых и одна десятая) процента от стоимости некачественной </w:t>
      </w:r>
      <w:r>
        <w:rPr>
          <w:sz w:val="24"/>
          <w:szCs w:val="24"/>
        </w:rPr>
        <w:t>Продукции</w:t>
      </w:r>
      <w:r>
        <w:rPr>
          <w:rFonts w:eastAsia="Calibri"/>
          <w:bCs/>
          <w:sz w:val="24"/>
          <w:szCs w:val="24"/>
        </w:rPr>
        <w:t xml:space="preserve"> за каждый день просрочки – в случае несвоевременного устранения выявленных недостатков </w:t>
      </w:r>
      <w:r>
        <w:rPr>
          <w:sz w:val="24"/>
          <w:szCs w:val="24"/>
        </w:rPr>
        <w:t>Продукции</w:t>
      </w:r>
      <w:r>
        <w:rPr>
          <w:rFonts w:eastAsia="Calibri"/>
          <w:bCs/>
          <w:sz w:val="24"/>
          <w:szCs w:val="24"/>
        </w:rPr>
        <w:t xml:space="preserve">, не влияющих на возможность эксплуатации (использования) </w:t>
      </w:r>
      <w:r>
        <w:rPr>
          <w:sz w:val="24"/>
          <w:szCs w:val="24"/>
        </w:rPr>
        <w:t>Продукции</w:t>
      </w:r>
      <w:r>
        <w:rPr>
          <w:rFonts w:eastAsia="Calibri"/>
          <w:bCs/>
          <w:sz w:val="24"/>
          <w:szCs w:val="24"/>
        </w:rPr>
        <w:t xml:space="preserve"> в целом</w:t>
      </w:r>
      <w:bookmarkEnd w:id="5"/>
      <w:r>
        <w:rPr>
          <w:rFonts w:eastAsia="Calibri"/>
          <w:bCs/>
          <w:sz w:val="24"/>
          <w:szCs w:val="24"/>
        </w:rPr>
        <w:t>;</w:t>
      </w:r>
    </w:p>
    <w:p>
      <w:pPr>
        <w:pStyle w:val="Normal"/>
        <w:tabs>
          <w:tab w:val="clear" w:pos="720"/>
          <w:tab w:val="left" w:pos="1701" w:leader="none"/>
        </w:tabs>
        <w:ind w:firstLine="709"/>
        <w:jc w:val="both"/>
        <w:rPr>
          <w:rFonts w:eastAsia="Calibri"/>
          <w:bCs/>
          <w:sz w:val="24"/>
          <w:szCs w:val="24"/>
          <w:highlight w:val="yellow"/>
        </w:rPr>
      </w:pPr>
      <w:r>
        <w:rPr>
          <w:sz w:val="24"/>
          <w:szCs w:val="24"/>
        </w:rPr>
        <w:t xml:space="preserve"> </w:t>
      </w:r>
      <w:r>
        <w:rPr>
          <w:rFonts w:eastAsia="Calibri"/>
          <w:bCs/>
          <w:sz w:val="24"/>
          <w:szCs w:val="24"/>
        </w:rPr>
        <w:t xml:space="preserve">- </w:t>
      </w:r>
      <w:r>
        <w:rPr>
          <w:sz w:val="24"/>
          <w:szCs w:val="24"/>
        </w:rPr>
        <w:t xml:space="preserve">            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13"/>
        </w:numPr>
        <w:tabs>
          <w:tab w:val="clear" w:pos="720"/>
          <w:tab w:val="left" w:pos="0" w:leader="none"/>
        </w:tabs>
        <w:spacing w:before="0" w:after="120"/>
        <w:ind w:left="0" w:firstLine="567"/>
        <w:jc w:val="both"/>
        <w:outlineLvl w:val="0"/>
        <w:rPr>
          <w:sz w:val="24"/>
          <w:szCs w:val="24"/>
        </w:rPr>
      </w:pPr>
      <w:r>
        <w:rPr>
          <w:sz w:val="24"/>
          <w:szCs w:val="24"/>
        </w:rPr>
        <w:t>выписка из Единого государственного реестра юридических лиц, после изменений, указанных в п. 6.11 Договора, а также:</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акционерных обществ:</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владельцев ценных бумаг;</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список аффилированных лиц на последнюю отчетную дату;</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ежеквартальный отчет на последнюю отчетную дату.</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обществ с ограниченной ответственностью:</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учредительный договор/договор об учреждении (создании)/решение единственного учредителя о создании;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(протокол) о приеме новых участников;</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устав.</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учредительный договор или положение;</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юридических лиц, зарегистрированных в форме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 xml:space="preserve">документ о выборе (назначении) попечительского совета фонда; </w:t>
      </w:r>
    </w:p>
    <w:p>
      <w:pPr>
        <w:pStyle w:val="Normal"/>
        <w:numPr>
          <w:ilvl w:val="0"/>
          <w:numId w:val="13"/>
        </w:numPr>
        <w:tabs>
          <w:tab w:val="clear" w:pos="720"/>
          <w:tab w:val="left" w:pos="567" w:leader="none"/>
        </w:tabs>
        <w:spacing w:before="0" w:after="120"/>
        <w:ind w:left="0" w:firstLine="567"/>
        <w:jc w:val="both"/>
        <w:outlineLvl w:val="0"/>
        <w:rPr>
          <w:sz w:val="24"/>
          <w:szCs w:val="24"/>
        </w:rPr>
      </w:pPr>
      <w:r>
        <w:rPr>
          <w:sz w:val="24"/>
          <w:szCs w:val="24"/>
        </w:rPr>
        <w:t>решение о создании.</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юридических лиц, зарегистрированных в форме некоммерческого партнерства:</w:t>
      </w:r>
    </w:p>
    <w:p>
      <w:pPr>
        <w:pStyle w:val="Normal"/>
        <w:numPr>
          <w:ilvl w:val="0"/>
          <w:numId w:val="13"/>
        </w:numPr>
        <w:tabs>
          <w:tab w:val="clear" w:pos="720"/>
          <w:tab w:val="left" w:pos="567" w:leader="none"/>
        </w:tabs>
        <w:spacing w:before="0" w:after="120"/>
        <w:ind w:left="0" w:firstLine="567"/>
        <w:outlineLvl w:val="0"/>
        <w:rPr>
          <w:sz w:val="24"/>
          <w:szCs w:val="24"/>
        </w:rPr>
      </w:pPr>
      <w:r>
        <w:rPr>
          <w:sz w:val="24"/>
          <w:szCs w:val="24"/>
        </w:rPr>
        <w:t xml:space="preserve">решение и договор о создании.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созданных и действующих в соответствии с законодательством иностранных государств:</w:t>
      </w:r>
    </w:p>
    <w:p>
      <w:pPr>
        <w:pStyle w:val="Normal"/>
        <w:numPr>
          <w:ilvl w:val="0"/>
          <w:numId w:val="13"/>
        </w:numPr>
        <w:spacing w:before="0" w:after="120"/>
        <w:ind w:left="709" w:hanging="283"/>
        <w:outlineLvl w:val="0"/>
        <w:rPr>
          <w:sz w:val="24"/>
          <w:szCs w:val="24"/>
        </w:rPr>
      </w:pPr>
      <w:r>
        <w:rPr>
          <w:sz w:val="24"/>
          <w:szCs w:val="24"/>
        </w:rPr>
        <w:t>выписка из торгового реестра страны инкорпорации;</w:t>
      </w:r>
    </w:p>
    <w:p>
      <w:pPr>
        <w:pStyle w:val="Normal"/>
        <w:numPr>
          <w:ilvl w:val="0"/>
          <w:numId w:val="13"/>
        </w:numPr>
        <w:spacing w:before="0" w:after="120"/>
        <w:ind w:left="709" w:hanging="283"/>
        <w:outlineLvl w:val="0"/>
        <w:rPr>
          <w:sz w:val="24"/>
          <w:szCs w:val="24"/>
        </w:rPr>
      </w:pPr>
      <w:r>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Normal"/>
        <w:widowControl w:val="false"/>
        <w:numPr>
          <w:ilvl w:val="2"/>
          <w:numId w:val="6"/>
        </w:numPr>
        <w:tabs>
          <w:tab w:val="clear" w:pos="720"/>
          <w:tab w:val="left" w:pos="567" w:leader="none"/>
        </w:tabs>
        <w:spacing w:before="0" w:after="120"/>
        <w:ind w:left="0" w:firstLine="567"/>
        <w:contextualSpacing/>
        <w:jc w:val="both"/>
        <w:outlineLvl w:val="0"/>
        <w:rPr>
          <w:sz w:val="24"/>
          <w:szCs w:val="24"/>
        </w:rPr>
      </w:pPr>
      <w:r>
        <w:rPr>
          <w:sz w:val="24"/>
          <w:szCs w:val="24"/>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numPr>
          <w:ilvl w:val="1"/>
          <w:numId w:val="6"/>
        </w:numPr>
        <w:shd w:val="clear" w:color="auto" w:fill="FFFFFF"/>
        <w:spacing w:before="0" w:after="0"/>
        <w:ind w:left="0" w:firstLine="567"/>
        <w:contextualSpacing/>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840" w:leader="none"/>
        </w:tabs>
        <w:spacing w:before="0" w:after="0"/>
        <w:ind w:firstLine="567"/>
        <w:contextualSpacing/>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color w:val="000000"/>
          <w:sz w:val="24"/>
          <w:szCs w:val="24"/>
        </w:rPr>
      </w:pPr>
      <w:r>
        <w:rPr>
          <w:color w:val="000000"/>
          <w:sz w:val="24"/>
          <w:szCs w:val="24"/>
        </w:rPr>
        <w:t xml:space="preserve">Каналы связи Линия доверия Группы РусГидро: </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Электронная почта: ld@rushydro.ru.</w:t>
      </w:r>
    </w:p>
    <w:p>
      <w:pPr>
        <w:pStyle w:val="Normal"/>
        <w:widowControl w:val="false"/>
        <w:shd w:val="clear" w:color="auto" w:fill="FFFFFF"/>
        <w:tabs>
          <w:tab w:val="clear" w:pos="720"/>
          <w:tab w:val="left" w:pos="567" w:leader="none"/>
          <w:tab w:val="left" w:pos="840" w:leader="none"/>
        </w:tabs>
        <w:spacing w:before="0" w:after="0"/>
        <w:ind w:firstLine="567"/>
        <w:contextualSpacing/>
        <w:jc w:val="both"/>
        <w:rPr>
          <w:sz w:val="24"/>
          <w:szCs w:val="24"/>
        </w:rPr>
      </w:pPr>
      <w:r>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numPr>
          <w:ilvl w:val="0"/>
          <w:numId w:val="0"/>
        </w:numPr>
        <w:tabs>
          <w:tab w:val="clear" w:pos="720"/>
          <w:tab w:val="left" w:pos="567" w:leader="none"/>
        </w:tabs>
        <w:spacing w:before="0" w:after="120"/>
        <w:ind w:left="0" w:hanging="0"/>
        <w:jc w:val="both"/>
        <w:outlineLvl w:val="0"/>
        <w:rPr>
          <w:sz w:val="24"/>
          <w:szCs w:val="24"/>
        </w:rPr>
      </w:pPr>
      <w:r>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widowControl w:val="false"/>
        <w:numPr>
          <w:ilvl w:val="0"/>
          <w:numId w:val="6"/>
        </w:numPr>
        <w:shd w:val="clear" w:color="auto" w:fill="FFFFFF"/>
        <w:tabs>
          <w:tab w:val="clear" w:pos="720"/>
          <w:tab w:val="left" w:pos="426" w:leader="none"/>
          <w:tab w:val="left" w:pos="1276" w:leader="none"/>
        </w:tabs>
        <w:spacing w:before="0" w:after="120"/>
        <w:ind w:left="0" w:hanging="0"/>
        <w:jc w:val="center"/>
        <w:rPr>
          <w:b/>
          <w:bCs/>
          <w:sz w:val="24"/>
          <w:szCs w:val="24"/>
        </w:rPr>
      </w:pPr>
      <w:r>
        <w:rPr>
          <w:b/>
          <w:bCs/>
          <w:sz w:val="24"/>
          <w:szCs w:val="24"/>
        </w:rPr>
        <w:t>Особые положения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4"/>
            <w:szCs w:val="24"/>
          </w:rPr>
          <w:t>№ 18162/09</w:t>
        </w:r>
      </w:hyperlink>
      <w:r>
        <w:rPr>
          <w:sz w:val="24"/>
          <w:szCs w:val="24"/>
        </w:rPr>
        <w:t xml:space="preserve"> и от 25.05.2010 </w:t>
      </w:r>
      <w:hyperlink r:id="rId3">
        <w:r>
          <w:rPr>
            <w:sz w:val="24"/>
            <w:szCs w:val="24"/>
          </w:rPr>
          <w:t>№ 15658/09</w:t>
        </w:r>
      </w:hyperlink>
      <w:r>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4"/>
            <w:szCs w:val="24"/>
          </w:rPr>
          <w:t>Критери</w:t>
        </w:r>
      </w:hyperlink>
      <w:r>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В случае нарушения Поставщиком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 </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ab/>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6"/>
        </w:numPr>
        <w:shd w:val="clear" w:color="auto" w:fill="FFFFFF"/>
        <w:tabs>
          <w:tab w:val="clear" w:pos="720"/>
          <w:tab w:val="left" w:pos="1276" w:leader="none"/>
        </w:tabs>
        <w:spacing w:before="0" w:after="120"/>
        <w:ind w:left="0" w:firstLine="567"/>
        <w:jc w:val="both"/>
        <w:rPr>
          <w:sz w:val="24"/>
          <w:szCs w:val="24"/>
        </w:rPr>
      </w:pPr>
      <w:r>
        <w:rPr>
          <w:sz w:val="24"/>
          <w:szCs w:val="24"/>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tab/>
        <w:t xml:space="preserve">Независимо от других положений Договора, обязательства Поставщика по п.7.3-7.5 Договора продолжают действовать в течение 4 (четырех) лет после окончания срока действия договора.  </w:t>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shd w:val="clear" w:color="auto" w:fill="FFFFFF"/>
        <w:tabs>
          <w:tab w:val="clear" w:pos="720"/>
          <w:tab w:val="left" w:pos="1276" w:leader="none"/>
        </w:tabs>
        <w:spacing w:before="0" w:after="120"/>
        <w:jc w:val="both"/>
        <w:rPr>
          <w:sz w:val="24"/>
          <w:szCs w:val="24"/>
        </w:rPr>
      </w:pPr>
      <w:r>
        <w:rPr>
          <w:sz w:val="24"/>
          <w:szCs w:val="24"/>
        </w:rPr>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Форс</w:t>
      </w:r>
      <w:r>
        <w:rPr>
          <w:b/>
          <w:bCs/>
          <w:sz w:val="24"/>
          <w:szCs w:val="24"/>
        </w:rPr>
        <w:t>-мажор</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sz w:val="24"/>
          <w:szCs w:val="24"/>
        </w:rPr>
        <w:t>Конфиденциальность</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s>
        <w:spacing w:before="0" w:after="120"/>
        <w:ind w:left="851" w:hanging="284"/>
        <w:jc w:val="both"/>
        <w:rPr>
          <w:bCs/>
          <w:sz w:val="24"/>
          <w:szCs w:val="24"/>
        </w:rPr>
      </w:pPr>
      <w:r>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финансовую отчетность;</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учетные регистры бухгалтерского учета;</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бизнес-планы;</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s>
        <w:spacing w:before="0" w:after="120"/>
        <w:ind w:left="851" w:hanging="284"/>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использовать Информацию исключительно для целей, для которых она была предоставлена;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6"/>
        </w:numPr>
        <w:shd w:val="clear" w:color="auto" w:fill="FFFFFF"/>
        <w:tabs>
          <w:tab w:val="clear" w:pos="720"/>
          <w:tab w:val="left" w:pos="1276" w:leader="none"/>
        </w:tabs>
        <w:spacing w:before="0" w:after="120"/>
        <w:ind w:left="0" w:firstLine="567"/>
        <w:jc w:val="both"/>
        <w:rPr>
          <w:sz w:val="24"/>
          <w:szCs w:val="24"/>
        </w:rPr>
      </w:pPr>
      <w:r>
        <w:rPr>
          <w:sz w:val="24"/>
          <w:szCs w:val="24"/>
        </w:rPr>
        <w:t>не разглашать третьим лицам факта передачи или получения Информации.</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Инсайдерская оговорка</w:t>
      </w:r>
    </w:p>
    <w:p>
      <w:pPr>
        <w:pStyle w:val="Normal"/>
        <w:widowControl w:val="false"/>
        <w:numPr>
          <w:ilvl w:val="1"/>
          <w:numId w:val="6"/>
        </w:numPr>
        <w:shd w:val="clear" w:color="auto" w:fill="FFFFFF"/>
        <w:tabs>
          <w:tab w:val="clear" w:pos="720"/>
          <w:tab w:val="left" w:pos="1134" w:leader="none"/>
          <w:tab w:val="left" w:pos="1283" w:leader="none"/>
        </w:tabs>
        <w:spacing w:before="0" w:after="120"/>
        <w:ind w:left="0" w:firstLine="567"/>
        <w:jc w:val="both"/>
        <w:rPr>
          <w:sz w:val="24"/>
          <w:szCs w:val="24"/>
        </w:rPr>
      </w:pPr>
      <w:r>
        <w:rPr>
          <w:sz w:val="24"/>
          <w:szCs w:val="24"/>
        </w:rPr>
        <w:t>Поставщик также обязуется: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6"/>
        </w:numPr>
        <w:shd w:val="clear" w:color="auto" w:fill="FFFFFF"/>
        <w:tabs>
          <w:tab w:val="clear" w:pos="720"/>
          <w:tab w:val="left" w:pos="1283" w:leader="none"/>
        </w:tabs>
        <w:spacing w:before="0" w:after="120"/>
        <w:ind w:left="0" w:firstLine="567"/>
        <w:contextualSpacing w:val="false"/>
        <w:jc w:val="both"/>
        <w:rPr>
          <w:sz w:val="24"/>
          <w:szCs w:val="24"/>
        </w:rPr>
      </w:pPr>
      <w:r>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Разрешение споров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недостижения соглашения в ходе переговоров, указанных в  п.11.1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6" w:name="Par2"/>
      <w:bookmarkEnd w:id="6"/>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 </w:t>
      </w:r>
      <w:r>
        <w:rPr>
          <w:sz w:val="24"/>
          <w:szCs w:val="24"/>
        </w:rPr>
        <w:t>В случае неурегулирования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в соответствии с действующим законодательством РФ по месту нахождения ответчика.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bCs/>
          <w:sz w:val="24"/>
          <w:szCs w:val="24"/>
        </w:rPr>
      </w:pPr>
      <w:r>
        <w:rPr>
          <w:b/>
          <w:bCs/>
          <w:sz w:val="24"/>
          <w:szCs w:val="24"/>
        </w:rPr>
        <w:t>Прекращение (расторжение)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r>
        <w:rPr/>
        <w:t>.</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spacing w:before="0" w:after="120"/>
        <w:jc w:val="both"/>
        <w:rPr>
          <w:sz w:val="24"/>
          <w:szCs w:val="24"/>
        </w:rPr>
      </w:pPr>
      <w:r>
        <w:rPr>
          <w:sz w:val="24"/>
          <w:szCs w:val="24"/>
        </w:rPr>
        <w:tab/>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Стороны установили, что существенным нарушением Договора Поставщиком является</w:t>
      </w:r>
      <w:r>
        <w:rPr/>
        <w:t>:</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6"/>
        </w:numPr>
        <w:shd w:val="clear" w:color="auto" w:fill="FFFFFF"/>
        <w:spacing w:before="0" w:after="120"/>
        <w:ind w:left="0" w:firstLine="567"/>
        <w:jc w:val="both"/>
        <w:rPr>
          <w:sz w:val="24"/>
          <w:szCs w:val="24"/>
        </w:rPr>
      </w:pPr>
      <w:r>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Уведомление о расторжении Договора должно быть направлено Покупателем Поставщику посредством факсимильной/электронной связи не позднее, чем за 5 (пять) календарных дней до предполагаемой даты расторжения Договора с последующим направлением оригинала.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считается расторгнутым по основаниям, предусмотренным пунктом 12.1, с даты, указанной в уведомлении о расторжении Договора.</w:t>
      </w:r>
    </w:p>
    <w:p>
      <w:pPr>
        <w:pStyle w:val="ListParagraph"/>
        <w:numPr>
          <w:ilvl w:val="1"/>
          <w:numId w:val="6"/>
        </w:numPr>
        <w:shd w:val="clear" w:color="auto" w:fill="FFFFFF"/>
        <w:tabs>
          <w:tab w:val="clear" w:pos="720"/>
          <w:tab w:val="left" w:pos="1418" w:leader="none"/>
        </w:tabs>
        <w:spacing w:before="0" w:after="120"/>
        <w:ind w:left="0" w:firstLine="567"/>
        <w:contextualSpacing w:val="false"/>
        <w:jc w:val="both"/>
        <w:rPr>
          <w:sz w:val="24"/>
          <w:szCs w:val="24"/>
        </w:rPr>
      </w:pPr>
      <w:r>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bCs/>
          <w:sz w:val="24"/>
          <w:szCs w:val="24"/>
        </w:rPr>
        <w:t>Заверения</w:t>
      </w:r>
      <w:r>
        <w:rPr>
          <w:b/>
          <w:sz w:val="24"/>
          <w:szCs w:val="24"/>
        </w:rPr>
        <w:t xml:space="preserve"> Сторон</w:t>
      </w:r>
    </w:p>
    <w:p>
      <w:pPr>
        <w:pStyle w:val="ListParagraph"/>
        <w:numPr>
          <w:ilvl w:val="1"/>
          <w:numId w:val="6"/>
        </w:numPr>
        <w:shd w:val="clear" w:color="auto" w:fill="FFFFFF"/>
        <w:spacing w:before="0" w:after="120"/>
        <w:ind w:left="0" w:firstLine="567"/>
        <w:contextualSpacing w:val="false"/>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709"/>
        <w:jc w:val="both"/>
        <w:rPr>
          <w:sz w:val="24"/>
          <w:szCs w:val="24"/>
        </w:rPr>
      </w:pPr>
      <w:r>
        <w:rPr>
          <w:sz w:val="24"/>
          <w:szCs w:val="24"/>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1134" w:leader="none"/>
          <w:tab w:val="left" w:pos="1418" w:leader="none"/>
        </w:tabs>
        <w:ind w:left="0" w:firstLine="709"/>
        <w:jc w:val="both"/>
        <w:rPr>
          <w:sz w:val="24"/>
          <w:szCs w:val="24"/>
        </w:rPr>
      </w:pPr>
      <w:r>
        <w:rPr>
          <w:sz w:val="24"/>
          <w:szCs w:val="24"/>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6"/>
        </w:numPr>
        <w:shd w:val="clear" w:color="auto" w:fill="FFFFFF"/>
        <w:spacing w:before="0" w:after="120"/>
        <w:ind w:left="0" w:firstLine="567"/>
        <w:contextualSpacing w:val="false"/>
        <w:jc w:val="both"/>
        <w:rPr>
          <w:sz w:val="24"/>
          <w:szCs w:val="24"/>
        </w:rPr>
      </w:pPr>
      <w:r>
        <w:rPr>
          <w:sz w:val="24"/>
          <w:szCs w:val="24"/>
        </w:rPr>
        <w:t xml:space="preserve">В случае, если при заключении Договора Поставщик предоставил </w:t>
      </w:r>
      <w:r>
        <w:rPr>
          <w:bCs/>
          <w:sz w:val="24"/>
          <w:szCs w:val="24"/>
        </w:rPr>
        <w:t>Покупателю</w:t>
      </w:r>
      <w:r>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 xml:space="preserve">обязан по требованию </w:t>
      </w:r>
      <w:r>
        <w:rPr>
          <w:bCs/>
          <w:sz w:val="24"/>
          <w:szCs w:val="24"/>
        </w:rPr>
        <w:t>Покупателя</w:t>
      </w:r>
      <w:r>
        <w:rPr>
          <w:sz w:val="24"/>
          <w:szCs w:val="24"/>
        </w:rPr>
        <w:t xml:space="preserve">  уплатить последнему неустойку в размере 5 (пять) % от Цены Договора, указанной в пункте 2.1 Договора.</w:t>
      </w:r>
    </w:p>
    <w:p>
      <w:pPr>
        <w:pStyle w:val="Normal"/>
        <w:shd w:val="clear" w:color="auto" w:fill="FFFFFF"/>
        <w:spacing w:before="0" w:after="120"/>
        <w:ind w:firstLine="567"/>
        <w:jc w:val="both"/>
        <w:rPr>
          <w:sz w:val="24"/>
          <w:szCs w:val="24"/>
        </w:rPr>
      </w:pPr>
      <w:r>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Заключительные положения</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Документ</w:t>
      </w:r>
      <w:r>
        <w:rPr>
          <w:bCs/>
          <w:sz w:val="24"/>
          <w:szCs w:val="24"/>
        </w:rPr>
        <w:t xml:space="preserve"> будет считаться полученным:</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6"/>
        </w:numPr>
        <w:shd w:val="clear" w:color="auto" w:fill="FFFFFF"/>
        <w:spacing w:before="0" w:after="120"/>
        <w:ind w:left="0" w:firstLine="567"/>
        <w:contextualSpacing w:val="false"/>
        <w:jc w:val="both"/>
        <w:rPr>
          <w:bCs/>
          <w:sz w:val="24"/>
          <w:szCs w:val="24"/>
        </w:rPr>
      </w:pPr>
      <w:r>
        <w:rPr>
          <w:bCs/>
          <w:sz w:val="24"/>
          <w:szCs w:val="24"/>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6"/>
        </w:numPr>
        <w:shd w:val="clear" w:color="auto" w:fill="FFFFFF"/>
        <w:tabs>
          <w:tab w:val="left" w:pos="720" w:leader="none"/>
        </w:tabs>
        <w:spacing w:before="0" w:after="120"/>
        <w:ind w:left="0" w:firstLine="567"/>
        <w:jc w:val="both"/>
        <w:rPr>
          <w:sz w:val="24"/>
          <w:szCs w:val="24"/>
        </w:rPr>
      </w:pPr>
      <w:r>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6"/>
        </w:numPr>
        <w:shd w:val="clear" w:color="auto" w:fill="FFFFFF"/>
        <w:tabs>
          <w:tab w:val="left" w:pos="720" w:leader="none"/>
        </w:tabs>
        <w:spacing w:before="0" w:after="120"/>
        <w:ind w:left="0" w:firstLine="567"/>
        <w:jc w:val="both"/>
        <w:rPr>
          <w:bCs/>
          <w:sz w:val="24"/>
          <w:szCs w:val="24"/>
        </w:rPr>
      </w:pPr>
      <w:r>
        <w:rPr>
          <w:sz w:val="24"/>
          <w:szCs w:val="24"/>
        </w:rPr>
        <w:t>Договор</w:t>
      </w:r>
      <w:r>
        <w:rPr>
          <w:bCs/>
          <w:sz w:val="24"/>
          <w:szCs w:val="24"/>
        </w:rPr>
        <w:t xml:space="preserve"> составлен в двух оригинальных экземплярах, по одному для каждой из Сторон.</w:t>
      </w:r>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Приложения к Договору</w:t>
      </w:r>
    </w:p>
    <w:p>
      <w:pPr>
        <w:pStyle w:val="Heading3"/>
        <w:keepNext w:val="false"/>
        <w:tabs>
          <w:tab w:val="clear" w:pos="0"/>
        </w:tabs>
        <w:overflowPunct w:val="false"/>
        <w:spacing w:before="0" w:after="120"/>
        <w:ind w:left="567" w:hanging="0"/>
        <w:jc w:val="both"/>
        <w:textAlignment w:val="baseline"/>
        <w:rPr>
          <w:b w:val="false"/>
          <w:sz w:val="24"/>
          <w:szCs w:val="24"/>
        </w:rPr>
      </w:pPr>
      <w:r>
        <w:rPr>
          <w:b w:val="false"/>
          <w:sz w:val="24"/>
          <w:szCs w:val="24"/>
        </w:rPr>
        <w:t>- Приложение № 1 – Спецификация.</w:t>
      </w:r>
    </w:p>
    <w:p>
      <w:pPr>
        <w:pStyle w:val="Normal"/>
        <w:spacing w:before="0" w:after="120"/>
        <w:ind w:left="567" w:hanging="567"/>
        <w:rPr>
          <w:sz w:val="24"/>
          <w:szCs w:val="24"/>
        </w:rPr>
      </w:pPr>
      <w:bookmarkStart w:id="7" w:name="sub_1"/>
      <w:r>
        <w:rPr>
          <w:sz w:val="24"/>
          <w:szCs w:val="24"/>
        </w:rPr>
        <w:tab/>
        <w:t>- Приложение № 2 – Технические требования на поставку продукции.</w:t>
      </w:r>
      <w:bookmarkEnd w:id="7"/>
    </w:p>
    <w:p>
      <w:pPr>
        <w:pStyle w:val="Normal"/>
        <w:widowControl w:val="false"/>
        <w:numPr>
          <w:ilvl w:val="0"/>
          <w:numId w:val="6"/>
        </w:numPr>
        <w:shd w:val="clear" w:color="auto" w:fill="FFFFFF"/>
        <w:tabs>
          <w:tab w:val="clear" w:pos="720"/>
          <w:tab w:val="left" w:pos="426" w:leader="none"/>
        </w:tabs>
        <w:spacing w:before="0" w:after="120"/>
        <w:ind w:left="0" w:hanging="0"/>
        <w:jc w:val="center"/>
        <w:rPr>
          <w:b/>
          <w:sz w:val="24"/>
          <w:szCs w:val="24"/>
        </w:rPr>
      </w:pPr>
      <w:r>
        <w:rPr>
          <w:b/>
          <w:sz w:val="24"/>
          <w:szCs w:val="24"/>
        </w:rPr>
        <w:t xml:space="preserve">Адреса, реквизиты и подписи Сторон </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927"/>
        <w:gridCol w:w="4678"/>
      </w:tblGrid>
      <w:tr>
        <w:trPr/>
        <w:tc>
          <w:tcPr>
            <w:tcW w:w="4927" w:type="dxa"/>
            <w:tcBorders/>
          </w:tcPr>
          <w:p>
            <w:pPr>
              <w:pStyle w:val="Normal"/>
              <w:widowControl w:val="false"/>
              <w:rPr>
                <w:b/>
                <w:sz w:val="24"/>
                <w:szCs w:val="24"/>
                <w:u w:val="single"/>
              </w:rPr>
            </w:pPr>
            <w:r>
              <w:rPr>
                <w:b/>
                <w:sz w:val="24"/>
                <w:szCs w:val="24"/>
                <w:u w:val="single"/>
              </w:rPr>
              <w:t>Покупатель:</w:t>
            </w:r>
          </w:p>
        </w:tc>
        <w:tc>
          <w:tcPr>
            <w:tcW w:w="4678" w:type="dxa"/>
            <w:tcBorders/>
          </w:tcPr>
          <w:p>
            <w:pPr>
              <w:pStyle w:val="Normal"/>
              <w:widowControl w:val="false"/>
              <w:rPr>
                <w:b/>
                <w:sz w:val="24"/>
                <w:szCs w:val="24"/>
                <w:u w:val="single"/>
              </w:rPr>
            </w:pPr>
            <w:r>
              <w:rPr>
                <w:b/>
                <w:sz w:val="24"/>
                <w:szCs w:val="24"/>
                <w:u w:val="single"/>
              </w:rPr>
              <w:t>Поставщик:</w:t>
            </w:r>
          </w:p>
        </w:tc>
      </w:tr>
      <w:tr>
        <w:trPr/>
        <w:tc>
          <w:tcPr>
            <w:tcW w:w="4927" w:type="dxa"/>
            <w:tcBorders/>
          </w:tcPr>
          <w:p>
            <w:pPr>
              <w:pStyle w:val="Normal"/>
              <w:widowControl w:val="false"/>
              <w:rPr>
                <w:b/>
                <w:sz w:val="24"/>
                <w:szCs w:val="24"/>
              </w:rPr>
            </w:pPr>
            <w:r>
              <w:rPr>
                <w:b/>
                <w:sz w:val="24"/>
                <w:szCs w:val="24"/>
              </w:rPr>
              <w:t>АО "Гидроремонт-ВКК",</w:t>
            </w:r>
          </w:p>
          <w:p>
            <w:pPr>
              <w:pStyle w:val="Normal"/>
              <w:widowControl w:val="false"/>
              <w:rPr>
                <w:sz w:val="24"/>
                <w:szCs w:val="24"/>
              </w:rPr>
            </w:pPr>
            <w:r>
              <w:rPr>
                <w:sz w:val="24"/>
                <w:szCs w:val="24"/>
              </w:rPr>
              <w:t xml:space="preserve">Юридический адрес: </w:t>
            </w:r>
            <w:r>
              <w:rPr>
                <w:rFonts w:cs="Times New Roman"/>
                <w:b w:val="false"/>
                <w:bCs w:val="false"/>
                <w:sz w:val="24"/>
                <w:szCs w:val="24"/>
                <w:shd w:fill="FFFFFF" w:val="clear"/>
              </w:rPr>
              <w:t>603140, Нижегородская обл., г.о. город Нижний Новгород, г. Нижний Новгород, пер. Мотальный, д.8 помещ. ВП31, офис С1А</w:t>
            </w:r>
          </w:p>
          <w:p>
            <w:pPr>
              <w:pStyle w:val="Normal"/>
              <w:widowControl w:val="false"/>
              <w:rPr>
                <w:sz w:val="24"/>
                <w:szCs w:val="24"/>
              </w:rPr>
            </w:pPr>
            <w:r>
              <w:rPr>
                <w:sz w:val="24"/>
                <w:szCs w:val="24"/>
              </w:rPr>
              <w:t>Почтовый адрес: 368152, Республика Дагестан, Казбековский район, пгт Дубки, кв-л 1 дом 33 кв 39</w:t>
            </w:r>
          </w:p>
          <w:p>
            <w:pPr>
              <w:pStyle w:val="Normal"/>
              <w:widowControl w:val="false"/>
              <w:rPr>
                <w:sz w:val="24"/>
                <w:szCs w:val="24"/>
              </w:rPr>
            </w:pPr>
            <w:r>
              <w:rPr>
                <w:sz w:val="24"/>
                <w:szCs w:val="24"/>
              </w:rPr>
              <w:t>ОГРН 1036301733005</w:t>
            </w:r>
          </w:p>
          <w:p>
            <w:pPr>
              <w:pStyle w:val="Normal"/>
              <w:widowControl w:val="false"/>
              <w:rPr>
                <w:sz w:val="24"/>
                <w:szCs w:val="24"/>
              </w:rPr>
            </w:pPr>
            <w:r>
              <w:rPr>
                <w:sz w:val="24"/>
                <w:szCs w:val="24"/>
              </w:rPr>
              <w:t>ИНН 6345012488</w:t>
            </w:r>
          </w:p>
          <w:p>
            <w:pPr>
              <w:pStyle w:val="Normal"/>
              <w:widowControl w:val="false"/>
              <w:rPr>
                <w:sz w:val="24"/>
                <w:szCs w:val="24"/>
              </w:rPr>
            </w:pPr>
            <w:r>
              <w:rPr>
                <w:sz w:val="24"/>
                <w:szCs w:val="24"/>
              </w:rPr>
              <w:t>КПП 050745001</w:t>
            </w:r>
          </w:p>
          <w:p>
            <w:pPr>
              <w:pStyle w:val="Normal"/>
              <w:widowControl w:val="false"/>
              <w:rPr>
                <w:rFonts w:eastAsia="Calibri"/>
                <w:sz w:val="24"/>
                <w:szCs w:val="24"/>
                <w:lang w:eastAsia="en-US"/>
              </w:rPr>
            </w:pPr>
            <w:r>
              <w:rPr>
                <w:rFonts w:eastAsia="Calibri"/>
                <w:sz w:val="24"/>
                <w:szCs w:val="24"/>
                <w:lang w:eastAsia="en-US"/>
              </w:rPr>
              <w:t>Р/сч 40702810000000208560</w:t>
            </w:r>
          </w:p>
          <w:p>
            <w:pPr>
              <w:pStyle w:val="Normal"/>
              <w:widowControl w:val="false"/>
              <w:rPr>
                <w:rFonts w:eastAsia="Calibri"/>
                <w:sz w:val="24"/>
                <w:szCs w:val="24"/>
                <w:lang w:eastAsia="en-US"/>
              </w:rPr>
            </w:pPr>
            <w:r>
              <w:rPr>
                <w:rFonts w:eastAsia="Calibri"/>
                <w:sz w:val="24"/>
                <w:szCs w:val="24"/>
                <w:lang w:eastAsia="en-US"/>
              </w:rPr>
              <w:t>К/сч 30101810200000000823</w:t>
            </w:r>
          </w:p>
          <w:p>
            <w:pPr>
              <w:pStyle w:val="Normal"/>
              <w:widowControl w:val="false"/>
              <w:rPr>
                <w:sz w:val="24"/>
                <w:szCs w:val="24"/>
              </w:rPr>
            </w:pPr>
            <w:r>
              <w:rPr>
                <w:rFonts w:eastAsia="Calibri"/>
                <w:sz w:val="24"/>
                <w:szCs w:val="24"/>
                <w:lang w:eastAsia="en-US"/>
              </w:rPr>
              <w:t>БИК 044525823</w:t>
            </w:r>
          </w:p>
          <w:p>
            <w:pPr>
              <w:pStyle w:val="Normal"/>
              <w:widowControl w:val="false"/>
              <w:rPr>
                <w:sz w:val="24"/>
                <w:szCs w:val="24"/>
              </w:rPr>
            </w:pPr>
            <w:r>
              <w:rPr>
                <w:rFonts w:eastAsia="Calibri"/>
                <w:sz w:val="24"/>
                <w:szCs w:val="24"/>
                <w:lang w:eastAsia="en-US"/>
              </w:rPr>
              <w:t>в Банке ГПБ (АО)</w:t>
            </w:r>
          </w:p>
          <w:p>
            <w:pPr>
              <w:pStyle w:val="Normal"/>
              <w:widowControl w:val="false"/>
              <w:rPr>
                <w:sz w:val="24"/>
                <w:szCs w:val="24"/>
                <w:lang w:val="en-US"/>
              </w:rPr>
            </w:pPr>
            <w:r>
              <w:rPr>
                <w:sz w:val="24"/>
                <w:szCs w:val="24"/>
              </w:rPr>
              <w:t>Тел</w:t>
            </w:r>
            <w:r>
              <w:rPr>
                <w:sz w:val="24"/>
                <w:szCs w:val="24"/>
                <w:lang w:val="en-US"/>
              </w:rPr>
              <w:t>.: +7 (495) 122-05-55 (6333)</w:t>
            </w:r>
          </w:p>
          <w:p>
            <w:pPr>
              <w:pStyle w:val="Normal"/>
              <w:widowControl w:val="false"/>
              <w:rPr>
                <w:b/>
                <w:sz w:val="24"/>
                <w:szCs w:val="24"/>
                <w:lang w:val="en-US"/>
              </w:rPr>
            </w:pPr>
            <w:r>
              <w:rPr>
                <w:sz w:val="24"/>
                <w:szCs w:val="24"/>
                <w:lang w:val="en-US"/>
              </w:rPr>
              <w:t>e-mail: gidroremont@rushydro.ru</w:t>
            </w:r>
          </w:p>
          <w:p>
            <w:pPr>
              <w:pStyle w:val="Normal"/>
              <w:widowControl w:val="false"/>
              <w:rPr>
                <w:b/>
                <w:sz w:val="24"/>
                <w:szCs w:val="24"/>
                <w:lang w:val="en-US"/>
              </w:rPr>
            </w:pPr>
            <w:r>
              <w:rPr>
                <w:sz w:val="24"/>
                <w:szCs w:val="24"/>
                <w:lang w:val="en-US"/>
              </w:rPr>
              <w:t>RamazanovaZA@rushydro.ru</w:t>
            </w:r>
          </w:p>
        </w:tc>
        <w:tc>
          <w:tcPr>
            <w:tcW w:w="4678" w:type="dxa"/>
            <w:tcBorders/>
          </w:tcPr>
          <w:p>
            <w:pPr>
              <w:pStyle w:val="Normal"/>
              <w:widowControl w:val="false"/>
              <w:rPr>
                <w:b/>
                <w:sz w:val="24"/>
                <w:szCs w:val="24"/>
              </w:rPr>
            </w:pPr>
            <w:r>
              <w:rPr>
                <w:b/>
                <w:sz w:val="24"/>
                <w:szCs w:val="24"/>
              </w:rPr>
              <w:t>ООО «_______________»</w:t>
            </w:r>
          </w:p>
          <w:p>
            <w:pPr>
              <w:pStyle w:val="Normal"/>
              <w:widowControl w:val="false"/>
              <w:rPr>
                <w:sz w:val="24"/>
                <w:szCs w:val="24"/>
              </w:rPr>
            </w:pPr>
            <w:r>
              <w:rPr>
                <w:sz w:val="24"/>
                <w:szCs w:val="24"/>
              </w:rPr>
              <w:t>Юридический адрес: __________________</w:t>
            </w:r>
          </w:p>
          <w:p>
            <w:pPr>
              <w:pStyle w:val="Normal"/>
              <w:widowControl w:val="false"/>
              <w:rPr>
                <w:sz w:val="24"/>
                <w:szCs w:val="24"/>
              </w:rPr>
            </w:pPr>
            <w:r>
              <w:rPr>
                <w:sz w:val="24"/>
                <w:szCs w:val="24"/>
              </w:rPr>
              <w:t>Почтовый адрес: ______________________</w:t>
            </w:r>
          </w:p>
          <w:p>
            <w:pPr>
              <w:pStyle w:val="Normal"/>
              <w:widowControl w:val="false"/>
              <w:rPr>
                <w:sz w:val="24"/>
                <w:szCs w:val="24"/>
              </w:rPr>
            </w:pPr>
            <w:r>
              <w:rPr>
                <w:sz w:val="24"/>
                <w:szCs w:val="24"/>
              </w:rPr>
              <w:t>ОГРН ____________________</w:t>
            </w:r>
          </w:p>
          <w:p>
            <w:pPr>
              <w:pStyle w:val="Normal"/>
              <w:widowControl w:val="false"/>
              <w:rPr>
                <w:sz w:val="24"/>
                <w:szCs w:val="24"/>
              </w:rPr>
            </w:pPr>
            <w:r>
              <w:rPr>
                <w:sz w:val="24"/>
                <w:szCs w:val="24"/>
              </w:rPr>
              <w:t>ИНН _______________</w:t>
            </w:r>
          </w:p>
          <w:p>
            <w:pPr>
              <w:pStyle w:val="Normal"/>
              <w:widowControl w:val="false"/>
              <w:rPr>
                <w:sz w:val="24"/>
                <w:szCs w:val="24"/>
              </w:rPr>
            </w:pPr>
            <w:r>
              <w:rPr>
                <w:sz w:val="24"/>
                <w:szCs w:val="24"/>
              </w:rPr>
              <w:t>КПП _______________</w:t>
            </w:r>
          </w:p>
          <w:p>
            <w:pPr>
              <w:pStyle w:val="Normal"/>
              <w:widowControl w:val="false"/>
              <w:rPr>
                <w:sz w:val="24"/>
                <w:szCs w:val="24"/>
              </w:rPr>
            </w:pPr>
            <w:r>
              <w:rPr>
                <w:sz w:val="24"/>
                <w:szCs w:val="24"/>
              </w:rPr>
              <w:t>Р/сч ________________</w:t>
            </w:r>
          </w:p>
          <w:p>
            <w:pPr>
              <w:pStyle w:val="Normal"/>
              <w:widowControl w:val="false"/>
              <w:rPr>
                <w:sz w:val="24"/>
                <w:szCs w:val="24"/>
              </w:rPr>
            </w:pPr>
            <w:r>
              <w:rPr>
                <w:sz w:val="24"/>
                <w:szCs w:val="24"/>
              </w:rPr>
              <w:t>БАНК _________________</w:t>
            </w:r>
          </w:p>
          <w:p>
            <w:pPr>
              <w:pStyle w:val="Normal"/>
              <w:widowControl w:val="false"/>
              <w:rPr>
                <w:sz w:val="24"/>
                <w:szCs w:val="24"/>
              </w:rPr>
            </w:pPr>
            <w:r>
              <w:rPr>
                <w:sz w:val="24"/>
                <w:szCs w:val="24"/>
              </w:rPr>
              <w:t>К/сч ___________________</w:t>
            </w:r>
          </w:p>
          <w:p>
            <w:pPr>
              <w:pStyle w:val="Normal"/>
              <w:widowControl w:val="false"/>
              <w:rPr>
                <w:sz w:val="24"/>
                <w:szCs w:val="24"/>
                <w:lang w:val="en-US"/>
              </w:rPr>
            </w:pPr>
            <w:r>
              <w:rPr>
                <w:sz w:val="24"/>
                <w:szCs w:val="24"/>
              </w:rPr>
              <w:t>БИК</w:t>
            </w:r>
            <w:r>
              <w:rPr>
                <w:sz w:val="24"/>
                <w:szCs w:val="24"/>
                <w:lang w:val="en-US"/>
              </w:rPr>
              <w:t xml:space="preserve"> ___________________</w:t>
            </w:r>
          </w:p>
          <w:p>
            <w:pPr>
              <w:pStyle w:val="Normal"/>
              <w:widowControl w:val="false"/>
              <w:rPr>
                <w:sz w:val="24"/>
                <w:szCs w:val="24"/>
                <w:lang w:val="en-US"/>
              </w:rPr>
            </w:pPr>
            <w:r>
              <w:rPr>
                <w:sz w:val="24"/>
                <w:szCs w:val="24"/>
              </w:rPr>
              <w:t>Тел</w:t>
            </w:r>
            <w:r>
              <w:rPr>
                <w:sz w:val="24"/>
                <w:szCs w:val="24"/>
                <w:lang w:val="en-US"/>
              </w:rPr>
              <w:t>.: ___________________</w:t>
            </w:r>
          </w:p>
          <w:p>
            <w:pPr>
              <w:pStyle w:val="Normal"/>
              <w:widowControl w:val="false"/>
              <w:rPr>
                <w:sz w:val="24"/>
                <w:szCs w:val="24"/>
                <w:lang w:val="en-US"/>
              </w:rPr>
            </w:pPr>
            <w:r>
              <w:rPr>
                <w:sz w:val="24"/>
                <w:szCs w:val="24"/>
                <w:lang w:val="en-US"/>
              </w:rPr>
              <w:t>e-mail: _________________</w:t>
            </w:r>
          </w:p>
        </w:tc>
      </w:tr>
      <w:tr>
        <w:trPr/>
        <w:tc>
          <w:tcPr>
            <w:tcW w:w="4927" w:type="dxa"/>
            <w:tcBorders/>
          </w:tcPr>
          <w:p>
            <w:pPr>
              <w:pStyle w:val="BodyText"/>
              <w:widowControl w:val="false"/>
              <w:numPr>
                <w:ilvl w:val="0"/>
                <w:numId w:val="0"/>
              </w:numPr>
              <w:ind w:left="0" w:hanging="0"/>
              <w:jc w:val="left"/>
              <w:outlineLvl w:val="0"/>
              <w:rPr>
                <w:b/>
                <w:bCs/>
                <w:color w:val="000000"/>
                <w:sz w:val="24"/>
                <w:szCs w:val="24"/>
                <w:lang w:val="en-US"/>
              </w:rPr>
            </w:pPr>
            <w:r>
              <w:rPr>
                <w:b/>
                <w:bCs/>
                <w:color w:val="000000"/>
                <w:sz w:val="24"/>
                <w:szCs w:val="24"/>
                <w:lang w:val="en-US"/>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t>Директор филиала АО «Гидроремонт-ВКК» - «Управление монтажных работ»</w:t>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
                <w:bCs/>
                <w:color w:val="000000"/>
                <w:sz w:val="24"/>
                <w:szCs w:val="24"/>
              </w:rPr>
            </w:pPr>
            <w:r>
              <w:rPr>
                <w:b/>
                <w:bCs/>
                <w:color w:val="000000"/>
                <w:sz w:val="24"/>
                <w:szCs w:val="24"/>
              </w:rPr>
            </w:r>
          </w:p>
          <w:p>
            <w:pPr>
              <w:pStyle w:val="BodyText"/>
              <w:widowControl w:val="false"/>
              <w:numPr>
                <w:ilvl w:val="0"/>
                <w:numId w:val="0"/>
              </w:numPr>
              <w:ind w:left="0" w:hanging="0"/>
              <w:jc w:val="left"/>
              <w:outlineLvl w:val="0"/>
              <w:rPr>
                <w:bCs/>
                <w:color w:val="000000"/>
                <w:sz w:val="24"/>
                <w:szCs w:val="24"/>
              </w:rPr>
            </w:pPr>
            <w:r>
              <w:rPr>
                <w:bCs/>
                <w:color w:val="000000"/>
                <w:sz w:val="24"/>
                <w:szCs w:val="24"/>
              </w:rPr>
              <w:t>________________ / А.В. Кочетов /</w:t>
            </w:r>
          </w:p>
          <w:p>
            <w:pPr>
              <w:pStyle w:val="Normal"/>
              <w:widowControl w:val="false"/>
              <w:spacing w:lineRule="auto" w:line="288"/>
              <w:rPr>
                <w:sz w:val="24"/>
                <w:szCs w:val="24"/>
              </w:rPr>
            </w:pPr>
            <w:r>
              <w:rPr>
                <w:bCs/>
                <w:color w:val="000000"/>
                <w:sz w:val="24"/>
                <w:szCs w:val="24"/>
              </w:rPr>
              <w:t>м.п.</w:t>
            </w:r>
          </w:p>
        </w:tc>
        <w:tc>
          <w:tcPr>
            <w:tcW w:w="4678" w:type="dxa"/>
            <w:tcBorders/>
          </w:tcPr>
          <w:p>
            <w:pPr>
              <w:pStyle w:val="Normal"/>
              <w:widowControl w:val="false"/>
              <w:ind w:left="-108" w:hanging="0"/>
              <w:rPr>
                <w:sz w:val="24"/>
                <w:szCs w:val="24"/>
              </w:rPr>
            </w:pPr>
            <w:r>
              <w:rPr>
                <w:sz w:val="24"/>
                <w:szCs w:val="24"/>
              </w:rPr>
            </w:r>
          </w:p>
          <w:p>
            <w:pPr>
              <w:pStyle w:val="Normal"/>
              <w:widowControl w:val="false"/>
              <w:ind w:left="-108" w:hanging="0"/>
              <w:rPr>
                <w:b/>
                <w:sz w:val="24"/>
                <w:szCs w:val="24"/>
              </w:rPr>
            </w:pPr>
            <w:r>
              <w:rPr>
                <w:b/>
                <w:sz w:val="24"/>
                <w:szCs w:val="24"/>
              </w:rPr>
              <w:t>Генеральный директор</w:t>
            </w:r>
          </w:p>
          <w:p>
            <w:pPr>
              <w:pStyle w:val="Normal"/>
              <w:widowControl w:val="false"/>
              <w:ind w:left="-108" w:hanging="0"/>
              <w:rPr>
                <w:b/>
                <w:sz w:val="24"/>
                <w:szCs w:val="24"/>
              </w:rPr>
            </w:pPr>
            <w:r>
              <w:rPr>
                <w:b/>
                <w:sz w:val="24"/>
                <w:szCs w:val="24"/>
              </w:rPr>
              <w:t>ООО «__________________»</w:t>
            </w:r>
          </w:p>
          <w:p>
            <w:pPr>
              <w:pStyle w:val="Normal"/>
              <w:widowControl w:val="false"/>
              <w:rPr>
                <w:sz w:val="24"/>
                <w:szCs w:val="24"/>
              </w:rPr>
            </w:pPr>
            <w:r>
              <w:rPr>
                <w:sz w:val="24"/>
                <w:szCs w:val="24"/>
              </w:rPr>
            </w:r>
          </w:p>
          <w:p>
            <w:pPr>
              <w:pStyle w:val="Normal"/>
              <w:widowControl w:val="false"/>
              <w:ind w:left="-108" w:hanging="0"/>
              <w:rPr>
                <w:sz w:val="24"/>
                <w:szCs w:val="24"/>
              </w:rPr>
            </w:pPr>
            <w:r>
              <w:rPr>
                <w:sz w:val="24"/>
                <w:szCs w:val="24"/>
              </w:rPr>
            </w:r>
          </w:p>
          <w:p>
            <w:pPr>
              <w:pStyle w:val="Normal"/>
              <w:widowControl w:val="false"/>
              <w:ind w:left="-108" w:hanging="0"/>
              <w:rPr>
                <w:sz w:val="24"/>
                <w:szCs w:val="24"/>
              </w:rPr>
            </w:pPr>
            <w:r>
              <w:rPr>
                <w:sz w:val="24"/>
                <w:szCs w:val="24"/>
              </w:rPr>
              <w:t xml:space="preserve">_______________ / </w:t>
            </w:r>
            <w:r>
              <w:rPr>
                <w:bCs/>
                <w:sz w:val="24"/>
                <w:szCs w:val="24"/>
              </w:rPr>
              <w:t>_____________</w:t>
            </w:r>
            <w:r>
              <w:rPr>
                <w:sz w:val="24"/>
                <w:szCs w:val="24"/>
              </w:rPr>
              <w:t xml:space="preserve"> /</w:t>
            </w:r>
          </w:p>
          <w:p>
            <w:pPr>
              <w:pStyle w:val="Normal"/>
              <w:widowControl w:val="false"/>
              <w:ind w:left="-108" w:hanging="0"/>
              <w:rPr>
                <w:sz w:val="24"/>
                <w:szCs w:val="24"/>
              </w:rPr>
            </w:pPr>
            <w:r>
              <w:rPr>
                <w:sz w:val="24"/>
                <w:szCs w:val="24"/>
              </w:rPr>
              <w:t>м.п.</w:t>
            </w:r>
          </w:p>
        </w:tc>
      </w:tr>
    </w:tbl>
    <w:p>
      <w:pPr>
        <w:sectPr>
          <w:headerReference w:type="default" r:id="rId5"/>
          <w:footerReference w:type="even" r:id="rId6"/>
          <w:footerReference w:type="default" r:id="rId7"/>
          <w:footerReference w:type="first" r:id="rId8"/>
          <w:type w:val="nextPage"/>
          <w:pgSz w:w="11906" w:h="16838"/>
          <w:pgMar w:left="1701" w:right="849" w:gutter="0" w:header="720" w:top="1134" w:footer="720" w:bottom="1134"/>
          <w:pgNumType w:fmt="decimal"/>
          <w:formProt w:val="false"/>
          <w:textDirection w:val="lrTb"/>
          <w:docGrid w:type="default" w:linePitch="100" w:charSpace="8192"/>
        </w:sectPr>
      </w:pPr>
    </w:p>
    <w:p>
      <w:pPr>
        <w:pStyle w:val="BodyText"/>
        <w:numPr>
          <w:ilvl w:val="0"/>
          <w:numId w:val="0"/>
        </w:numPr>
        <w:spacing w:lineRule="auto" w:line="360"/>
        <w:ind w:left="0" w:right="-24" w:firstLine="567"/>
        <w:jc w:val="right"/>
        <w:outlineLvl w:val="0"/>
        <w:rPr>
          <w:b/>
          <w:bCs/>
          <w:szCs w:val="24"/>
        </w:rPr>
      </w:pPr>
      <w:r>
        <w:rPr>
          <w:b/>
          <w:bCs/>
          <w:szCs w:val="24"/>
        </w:rPr>
        <w:t>Приложение № 1</w:t>
      </w:r>
    </w:p>
    <w:p>
      <w:pPr>
        <w:pStyle w:val="BodyText"/>
        <w:spacing w:lineRule="auto" w:line="360"/>
        <w:ind w:right="-24" w:firstLine="567"/>
        <w:jc w:val="right"/>
        <w:rPr>
          <w:bCs/>
          <w:szCs w:val="24"/>
        </w:rPr>
      </w:pPr>
      <w:r>
        <w:rPr>
          <w:bCs/>
          <w:szCs w:val="24"/>
        </w:rPr>
        <w:t>к договору поставки №                 -УМР/пос-26</w:t>
      </w:r>
    </w:p>
    <w:p>
      <w:pPr>
        <w:pStyle w:val="BodyText"/>
        <w:spacing w:lineRule="auto" w:line="360"/>
        <w:ind w:right="-24" w:firstLine="567"/>
        <w:jc w:val="right"/>
        <w:rPr>
          <w:bCs/>
          <w:szCs w:val="24"/>
        </w:rPr>
      </w:pPr>
      <w:r>
        <w:rPr>
          <w:bCs/>
          <w:szCs w:val="24"/>
        </w:rPr>
        <w:t>от «____» ________________  2026 г.</w:t>
      </w:r>
    </w:p>
    <w:p>
      <w:pPr>
        <w:pStyle w:val="Normal"/>
        <w:numPr>
          <w:ilvl w:val="0"/>
          <w:numId w:val="0"/>
        </w:numPr>
        <w:spacing w:before="0" w:after="120"/>
        <w:ind w:left="0" w:firstLine="567"/>
        <w:jc w:val="center"/>
        <w:outlineLvl w:val="0"/>
        <w:rPr>
          <w:b/>
          <w:sz w:val="24"/>
          <w:szCs w:val="24"/>
        </w:rPr>
      </w:pPr>
      <w:r>
        <w:rPr>
          <w:b/>
          <w:sz w:val="24"/>
          <w:szCs w:val="24"/>
        </w:rPr>
        <w:t>Спецификация №1</w:t>
      </w:r>
    </w:p>
    <w:tbl>
      <w:tblPr>
        <w:tblW w:w="5000" w:type="pct"/>
        <w:jc w:val="left"/>
        <w:tblInd w:w="-459" w:type="dxa"/>
        <w:tblLayout w:type="fixed"/>
        <w:tblCellMar>
          <w:top w:w="0" w:type="dxa"/>
          <w:left w:w="108" w:type="dxa"/>
          <w:bottom w:w="0" w:type="dxa"/>
          <w:right w:w="108" w:type="dxa"/>
        </w:tblCellMar>
        <w:tblLook w:noVBand="1" w:val="04a0" w:noHBand="0" w:lastColumn="0" w:firstColumn="1" w:lastRow="0" w:firstRow="1"/>
      </w:tblPr>
      <w:tblGrid>
        <w:gridCol w:w="516"/>
        <w:gridCol w:w="4513"/>
        <w:gridCol w:w="1161"/>
        <w:gridCol w:w="651"/>
        <w:gridCol w:w="898"/>
        <w:gridCol w:w="1035"/>
        <w:gridCol w:w="1290"/>
      </w:tblGrid>
      <w:tr>
        <w:trPr>
          <w:trHeight w:val="20" w:hRule="atLeast"/>
        </w:trPr>
        <w:tc>
          <w:tcPr>
            <w:tcW w:w="516"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Поз. №</w:t>
            </w:r>
          </w:p>
        </w:tc>
        <w:tc>
          <w:tcPr>
            <w:tcW w:w="4513"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Наименование</w:t>
            </w:r>
          </w:p>
        </w:tc>
        <w:tc>
          <w:tcPr>
            <w:tcW w:w="1161"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Страна происхождения</w:t>
            </w:r>
          </w:p>
        </w:tc>
        <w:tc>
          <w:tcPr>
            <w:tcW w:w="651"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Ед. изм.</w:t>
            </w:r>
          </w:p>
        </w:tc>
        <w:tc>
          <w:tcPr>
            <w:tcW w:w="898"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Кол-во</w:t>
            </w:r>
          </w:p>
        </w:tc>
        <w:tc>
          <w:tcPr>
            <w:tcW w:w="1035"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Цена за единицу (руб., с НДС)</w:t>
            </w:r>
          </w:p>
        </w:tc>
        <w:tc>
          <w:tcPr>
            <w:tcW w:w="1290" w:type="dxa"/>
            <w:tcBorders>
              <w:top w:val="single" w:sz="8" w:space="0" w:color="000000"/>
              <w:bottom w:val="single" w:sz="8" w:space="0" w:color="000000"/>
              <w:right w:val="single" w:sz="8" w:space="0" w:color="000000"/>
            </w:tcBorders>
            <w:shd w:color="auto" w:fill="auto" w:val="clear"/>
            <w:vAlign w:val="center"/>
          </w:tcPr>
          <w:p>
            <w:pPr>
              <w:pStyle w:val="Normal"/>
              <w:widowControl w:val="false"/>
              <w:jc w:val="center"/>
              <w:rPr>
                <w:color w:val="000000"/>
                <w:sz w:val="22"/>
                <w:szCs w:val="22"/>
              </w:rPr>
            </w:pPr>
            <w:r>
              <w:rPr>
                <w:bCs/>
                <w:color w:val="000000"/>
                <w:sz w:val="22"/>
                <w:szCs w:val="22"/>
              </w:rPr>
              <w:t>Сумма (руб., с НДС)</w:t>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1</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2"/>
                <w:szCs w:val="22"/>
              </w:rPr>
            </w:pPr>
            <w:r>
              <w:rPr>
                <w:color w:val="000000"/>
                <w:sz w:val="22"/>
                <w:szCs w:val="22"/>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2</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t>...</w:t>
            </w:r>
          </w:p>
        </w:tc>
        <w:tc>
          <w:tcPr>
            <w:tcW w:w="4513" w:type="dxa"/>
            <w:tcBorders>
              <w:bottom w:val="single" w:sz="8" w:space="0" w:color="000000"/>
              <w:right w:val="single" w:sz="8" w:space="0" w:color="000000"/>
            </w:tcBorders>
            <w:shd w:color="000000" w:fill="FFFFFF" w:val="clear"/>
            <w:vAlign w:val="center"/>
          </w:tcPr>
          <w:p>
            <w:pPr>
              <w:pStyle w:val="Normal"/>
              <w:widowControl w:val="false"/>
              <w:rPr>
                <w:color w:val="000000"/>
                <w:sz w:val="24"/>
                <w:szCs w:val="24"/>
              </w:rPr>
            </w:pPr>
            <w:r>
              <w:rPr>
                <w:color w:val="000000"/>
                <w:sz w:val="24"/>
                <w:szCs w:val="24"/>
              </w:rPr>
            </w:r>
          </w:p>
        </w:tc>
        <w:tc>
          <w:tcPr>
            <w:tcW w:w="116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651"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898"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4"/>
                <w:szCs w:val="24"/>
              </w:rPr>
            </w:pPr>
            <w:r>
              <w:rPr>
                <w:color w:val="000000"/>
                <w:sz w:val="24"/>
                <w:szCs w:val="24"/>
              </w:rPr>
            </w:r>
          </w:p>
        </w:tc>
        <w:tc>
          <w:tcPr>
            <w:tcW w:w="1035"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color w:val="000000"/>
                <w:sz w:val="22"/>
                <w:szCs w:val="22"/>
              </w:rPr>
            </w:pPr>
            <w:r>
              <w:rPr>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t>ИТОГО с учетом НДС</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r>
        <w:trPr>
          <w:trHeight w:val="20" w:hRule="atLeast"/>
        </w:trPr>
        <w:tc>
          <w:tcPr>
            <w:tcW w:w="516" w:type="dxa"/>
            <w:tcBorders>
              <w:left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2"/>
                <w:szCs w:val="22"/>
              </w:rPr>
            </w:pPr>
            <w:r>
              <w:rPr>
                <w:b/>
                <w:bCs/>
                <w:color w:val="000000"/>
                <w:sz w:val="22"/>
                <w:szCs w:val="22"/>
              </w:rPr>
            </w:r>
          </w:p>
        </w:tc>
        <w:tc>
          <w:tcPr>
            <w:tcW w:w="8258" w:type="dxa"/>
            <w:gridSpan w:val="5"/>
            <w:tcBorders>
              <w:top w:val="single" w:sz="8" w:space="0" w:color="000000"/>
              <w:bottom w:val="single" w:sz="8" w:space="0" w:color="000000"/>
              <w:right w:val="single" w:sz="8" w:space="0" w:color="000000"/>
            </w:tcBorders>
            <w:shd w:color="000000" w:fill="FFFFFF" w:val="clear"/>
            <w:vAlign w:val="center"/>
          </w:tcPr>
          <w:p>
            <w:pPr>
              <w:pStyle w:val="Normal"/>
              <w:widowControl w:val="false"/>
              <w:jc w:val="right"/>
              <w:rPr>
                <w:b/>
                <w:bCs/>
                <w:color w:val="000000"/>
                <w:sz w:val="24"/>
                <w:szCs w:val="24"/>
              </w:rPr>
            </w:pPr>
            <w:r>
              <w:rPr>
                <w:b/>
                <w:bCs/>
                <w:color w:val="000000"/>
                <w:sz w:val="24"/>
                <w:szCs w:val="24"/>
              </w:rPr>
              <w:t>НДС-20%</w:t>
            </w:r>
          </w:p>
        </w:tc>
        <w:tc>
          <w:tcPr>
            <w:tcW w:w="1290" w:type="dxa"/>
            <w:tcBorders>
              <w:bottom w:val="single" w:sz="8" w:space="0" w:color="000000"/>
              <w:right w:val="single" w:sz="8" w:space="0" w:color="000000"/>
            </w:tcBorders>
            <w:shd w:color="000000" w:fill="FFFFFF" w:val="clear"/>
            <w:vAlign w:val="center"/>
          </w:tcPr>
          <w:p>
            <w:pPr>
              <w:pStyle w:val="Normal"/>
              <w:widowControl w:val="false"/>
              <w:jc w:val="center"/>
              <w:rPr>
                <w:b/>
                <w:bCs/>
                <w:color w:val="000000"/>
                <w:sz w:val="22"/>
                <w:szCs w:val="22"/>
              </w:rPr>
            </w:pPr>
            <w:r>
              <w:rPr>
                <w:b/>
                <w:bCs/>
                <w:color w:val="000000"/>
                <w:sz w:val="22"/>
                <w:szCs w:val="22"/>
              </w:rPr>
            </w:r>
          </w:p>
        </w:tc>
      </w:tr>
    </w:tbl>
    <w:p>
      <w:pPr>
        <w:pStyle w:val="BodyText"/>
        <w:spacing w:before="0" w:after="120"/>
        <w:ind w:firstLine="567"/>
        <w:rPr>
          <w:b/>
          <w:bCs/>
          <w:i/>
          <w:i/>
          <w:sz w:val="24"/>
          <w:szCs w:val="24"/>
        </w:rPr>
      </w:pPr>
      <w:r>
        <w:rPr>
          <w:b/>
          <w:bCs/>
          <w:i/>
          <w:sz w:val="24"/>
          <w:szCs w:val="24"/>
        </w:rPr>
        <w:t>Условия поставки:</w:t>
      </w:r>
    </w:p>
    <w:p>
      <w:pPr>
        <w:pStyle w:val="Normal"/>
        <w:widowControl w:val="false"/>
        <w:numPr>
          <w:ilvl w:val="0"/>
          <w:numId w:val="18"/>
        </w:numPr>
        <w:tabs>
          <w:tab w:val="clear" w:pos="720"/>
          <w:tab w:val="left" w:pos="0" w:leader="none"/>
        </w:tabs>
        <w:spacing w:before="0" w:after="120"/>
        <w:ind w:left="0" w:firstLine="284"/>
        <w:jc w:val="both"/>
        <w:rPr>
          <w:sz w:val="24"/>
          <w:szCs w:val="24"/>
        </w:rPr>
      </w:pPr>
      <w:r>
        <w:rPr>
          <w:bCs/>
          <w:sz w:val="24"/>
          <w:szCs w:val="24"/>
        </w:rPr>
        <w:t xml:space="preserve">Общая сумма Спецификации составляет </w:t>
      </w:r>
      <w:r>
        <w:rPr>
          <w:b/>
          <w:bCs/>
          <w:sz w:val="24"/>
          <w:szCs w:val="24"/>
        </w:rPr>
        <w:t>___________ (</w:t>
      </w:r>
      <w:r>
        <w:rPr>
          <w:b/>
          <w:bCs/>
          <w:iCs/>
          <w:sz w:val="24"/>
          <w:szCs w:val="24"/>
        </w:rPr>
        <w:t>___________</w:t>
      </w:r>
      <w:r>
        <w:rPr>
          <w:b/>
          <w:bCs/>
          <w:sz w:val="24"/>
          <w:szCs w:val="24"/>
        </w:rPr>
        <w:t>)</w:t>
      </w:r>
      <w:r>
        <w:rPr>
          <w:bCs/>
          <w:sz w:val="24"/>
          <w:szCs w:val="24"/>
        </w:rPr>
        <w:t xml:space="preserve"> </w:t>
      </w:r>
      <w:r>
        <w:rPr>
          <w:b/>
          <w:bCs/>
          <w:sz w:val="24"/>
          <w:szCs w:val="24"/>
        </w:rPr>
        <w:t>рублей __ копеек</w:t>
      </w:r>
      <w:r>
        <w:rPr>
          <w:bCs/>
          <w:sz w:val="24"/>
          <w:szCs w:val="24"/>
        </w:rPr>
        <w:t>, в том числе НДС 20%, в размере ___________ (______________) рубля __ копейки</w:t>
      </w:r>
      <w:r>
        <w:rPr>
          <w:sz w:val="24"/>
          <w:szCs w:val="24"/>
        </w:rPr>
        <w:t>.</w:t>
      </w:r>
    </w:p>
    <w:p>
      <w:pPr>
        <w:pStyle w:val="Normal"/>
        <w:widowControl w:val="false"/>
        <w:numPr>
          <w:ilvl w:val="0"/>
          <w:numId w:val="19"/>
        </w:numPr>
        <w:tabs>
          <w:tab w:val="clear" w:pos="720"/>
          <w:tab w:val="left" w:pos="0" w:leader="none"/>
        </w:tabs>
        <w:spacing w:before="0" w:after="120"/>
        <w:ind w:left="0" w:firstLine="284"/>
        <w:jc w:val="both"/>
        <w:rPr>
          <w:sz w:val="24"/>
          <w:szCs w:val="24"/>
        </w:rPr>
      </w:pPr>
      <w:r>
        <w:rPr>
          <w:sz w:val="24"/>
          <w:szCs w:val="24"/>
        </w:rPr>
        <w:t>Требования к срокам поставки продукции: ___</w:t>
      </w:r>
      <w:r>
        <w:rPr>
          <w:sz w:val="24"/>
          <w:szCs w:val="28"/>
        </w:rPr>
        <w:t xml:space="preserve"> календарных дней с даты подписания договора</w:t>
      </w:r>
      <w:r>
        <w:rPr>
          <w:sz w:val="24"/>
          <w:szCs w:val="24"/>
        </w:rPr>
        <w:t>.</w:t>
      </w:r>
    </w:p>
    <w:p>
      <w:pPr>
        <w:pStyle w:val="Normal"/>
        <w:spacing w:before="0" w:after="120"/>
        <w:jc w:val="both"/>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_______________ / _____________</w:t>
            </w:r>
            <w:r>
              <w:rPr>
                <w:rFonts w:ascii="Times New Roman" w:hAnsi="Times New Roman"/>
                <w:bCs/>
                <w:sz w:val="24"/>
                <w:szCs w:val="24"/>
                <w:lang w:val="ru-RU"/>
              </w:rPr>
              <w:t xml:space="preserve"> </w:t>
            </w:r>
            <w:r>
              <w:rPr>
                <w:rFonts w:ascii="Times New Roman" w:hAnsi="Times New Roman"/>
                <w:sz w:val="24"/>
                <w:szCs w:val="24"/>
                <w:lang w:val="ru-RU"/>
              </w:rPr>
              <w:t>/</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Normal"/>
        <w:spacing w:before="0" w:after="120"/>
        <w:rPr>
          <w:sz w:val="22"/>
          <w:szCs w:val="22"/>
        </w:rPr>
      </w:pPr>
      <w:r>
        <w:rPr>
          <w:sz w:val="22"/>
          <w:szCs w:val="22"/>
        </w:rPr>
      </w:r>
      <w:r>
        <w:br w:type="page"/>
      </w:r>
    </w:p>
    <w:p>
      <w:pPr>
        <w:pStyle w:val="Normal"/>
        <w:spacing w:before="0" w:after="120"/>
        <w:jc w:val="right"/>
        <w:rPr>
          <w:b/>
          <w:bCs/>
          <w:szCs w:val="24"/>
        </w:rPr>
      </w:pPr>
      <w:r>
        <w:rPr>
          <w:b/>
          <w:bCs/>
          <w:sz w:val="24"/>
          <w:szCs w:val="24"/>
        </w:rPr>
        <w:t>Приложение № 2</w:t>
      </w:r>
    </w:p>
    <w:p>
      <w:pPr>
        <w:pStyle w:val="BodyText"/>
        <w:spacing w:lineRule="auto" w:line="360"/>
        <w:ind w:right="-24" w:firstLine="567"/>
        <w:jc w:val="right"/>
        <w:rPr>
          <w:bCs/>
          <w:szCs w:val="24"/>
        </w:rPr>
      </w:pPr>
      <w:r>
        <w:rPr>
          <w:bCs/>
          <w:szCs w:val="24"/>
        </w:rPr>
        <w:t>к договору поставки №                 -УМР/пос-26</w:t>
      </w:r>
    </w:p>
    <w:p>
      <w:pPr>
        <w:pStyle w:val="BodyText"/>
        <w:spacing w:lineRule="auto" w:line="360"/>
        <w:ind w:right="-24" w:firstLine="567"/>
        <w:jc w:val="right"/>
        <w:rPr>
          <w:bCs/>
          <w:szCs w:val="24"/>
        </w:rPr>
      </w:pPr>
      <w:r>
        <w:rPr>
          <w:bCs/>
          <w:szCs w:val="24"/>
        </w:rPr>
        <w:t>от «____» _________________ 2026 г.</w:t>
      </w:r>
    </w:p>
    <w:p>
      <w:pPr>
        <w:pStyle w:val="BodyText"/>
        <w:ind w:firstLine="567"/>
        <w:jc w:val="center"/>
        <w:rPr>
          <w:b/>
          <w:bCs/>
          <w:sz w:val="24"/>
          <w:szCs w:val="24"/>
        </w:rPr>
      </w:pPr>
      <w:r>
        <w:rPr>
          <w:b/>
          <w:bCs/>
          <w:sz w:val="24"/>
          <w:szCs w:val="24"/>
        </w:rPr>
        <w:t>ТЕХНИЧЕСКИЕ ТРЕБОВАНИЯ</w:t>
      </w:r>
    </w:p>
    <w:p>
      <w:pPr>
        <w:pStyle w:val="Heading1"/>
        <w:ind w:left="426" w:hanging="0"/>
        <w:jc w:val="center"/>
        <w:rPr>
          <w:sz w:val="24"/>
          <w:szCs w:val="24"/>
        </w:rPr>
      </w:pPr>
      <w:r>
        <w:rPr>
          <w:sz w:val="24"/>
          <w:szCs w:val="24"/>
        </w:rPr>
        <w:t>на поставку материалов __________________</w:t>
      </w:r>
    </w:p>
    <w:p>
      <w:pPr>
        <w:pStyle w:val="Heading4"/>
        <w:numPr>
          <w:ilvl w:val="0"/>
          <w:numId w:val="0"/>
        </w:numPr>
        <w:suppressAutoHyphens w:val="true"/>
        <w:spacing w:before="120" w:after="60"/>
        <w:ind w:left="432" w:hanging="0"/>
        <w:rPr>
          <w:sz w:val="24"/>
          <w:szCs w:val="24"/>
        </w:rPr>
      </w:pPr>
      <w:r>
        <w:rPr>
          <w:sz w:val="24"/>
          <w:szCs w:val="24"/>
        </w:rPr>
      </w:r>
    </w:p>
    <w:tbl>
      <w:tblPr>
        <w:tblpPr w:bottomFromText="0" w:horzAnchor="margin" w:leftFromText="180" w:rightFromText="180" w:tblpX="0" w:tblpY="225" w:topFromText="0" w:vertAnchor="text"/>
        <w:tblW w:w="9571" w:type="dxa"/>
        <w:jc w:val="left"/>
        <w:tblInd w:w="108" w:type="dxa"/>
        <w:tblLayout w:type="fixed"/>
        <w:tblCellMar>
          <w:top w:w="0" w:type="dxa"/>
          <w:left w:w="108" w:type="dxa"/>
          <w:bottom w:w="0" w:type="dxa"/>
          <w:right w:w="108" w:type="dxa"/>
        </w:tblCellMar>
        <w:tblLook w:noVBand="0" w:val="01e0" w:noHBand="0" w:lastColumn="1" w:firstColumn="1" w:lastRow="1" w:firstRow="1"/>
      </w:tblPr>
      <w:tblGrid>
        <w:gridCol w:w="4785"/>
        <w:gridCol w:w="4785"/>
      </w:tblGrid>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Покупатель</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b/>
                <w:sz w:val="24"/>
                <w:szCs w:val="24"/>
                <w:u w:val="single"/>
                <w:lang w:val="ru-RU"/>
              </w:rPr>
            </w:pPr>
            <w:r>
              <w:rPr>
                <w:rFonts w:ascii="Times New Roman" w:hAnsi="Times New Roman"/>
                <w:b/>
                <w:sz w:val="24"/>
                <w:szCs w:val="24"/>
                <w:u w:val="single"/>
                <w:lang w:val="ru-RU"/>
              </w:rPr>
              <w:t>Поставщик</w:t>
            </w:r>
            <w:r>
              <w:rPr>
                <w:rFonts w:ascii="Times New Roman" w:hAnsi="Times New Roman"/>
                <w:b/>
                <w:sz w:val="24"/>
                <w:szCs w:val="24"/>
                <w:u w:val="single"/>
              </w:rPr>
              <w:t>:</w:t>
            </w:r>
          </w:p>
          <w:p>
            <w:pPr>
              <w:pStyle w:val="Style17"/>
              <w:widowControl w:val="false"/>
              <w:spacing w:lineRule="auto" w:line="240" w:before="0" w:after="120"/>
              <w:ind w:firstLine="567"/>
              <w:jc w:val="left"/>
              <w:rPr>
                <w:rFonts w:ascii="Times New Roman" w:hAnsi="Times New Roman"/>
                <w:szCs w:val="24"/>
                <w:u w:val="single"/>
                <w:lang w:val="ru-RU"/>
              </w:rPr>
            </w:pPr>
            <w:r>
              <w:rPr>
                <w:rFonts w:ascii="Times New Roman" w:hAnsi="Times New Roman"/>
                <w:szCs w:val="24"/>
                <w:u w:val="single"/>
                <w:lang w:val="ru-RU"/>
              </w:rPr>
            </w:r>
          </w:p>
        </w:tc>
      </w:tr>
      <w:tr>
        <w:trPr/>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c>
          <w:tcPr>
            <w:tcW w:w="4785" w:type="dxa"/>
            <w:tcBorders/>
            <w:shd w:color="auto" w:fill="FFFFFF" w:themeFill="background1" w:val="clear"/>
          </w:tcPr>
          <w:p>
            <w:pPr>
              <w:pStyle w:val="Style17"/>
              <w:widowControl w:val="false"/>
              <w:spacing w:lineRule="auto" w:line="240" w:before="0" w:after="120"/>
              <w:ind w:firstLine="567"/>
              <w:jc w:val="left"/>
              <w:rPr>
                <w:rFonts w:ascii="Times New Roman" w:hAnsi="Times New Roman"/>
                <w:sz w:val="24"/>
                <w:szCs w:val="24"/>
                <w:lang w:val="ru-RU"/>
              </w:rPr>
            </w:pPr>
            <w:r>
              <w:rPr>
                <w:rFonts w:ascii="Times New Roman" w:hAnsi="Times New Roman"/>
                <w:sz w:val="24"/>
                <w:szCs w:val="24"/>
                <w:lang w:val="ru-RU"/>
              </w:rPr>
              <w:t xml:space="preserve">_______________ / </w:t>
            </w:r>
            <w:r>
              <w:rPr>
                <w:rFonts w:ascii="Times New Roman" w:hAnsi="Times New Roman"/>
                <w:bCs/>
                <w:sz w:val="24"/>
                <w:szCs w:val="24"/>
                <w:lang w:val="ru-RU"/>
              </w:rPr>
              <w:t>___________</w:t>
            </w:r>
            <w:r>
              <w:rPr>
                <w:rFonts w:ascii="Times New Roman" w:hAnsi="Times New Roman"/>
                <w:sz w:val="24"/>
                <w:szCs w:val="24"/>
                <w:lang w:val="ru-RU"/>
              </w:rPr>
              <w:t xml:space="preserve"> /</w:t>
            </w:r>
          </w:p>
          <w:p>
            <w:pPr>
              <w:pStyle w:val="Style17"/>
              <w:widowControl w:val="false"/>
              <w:spacing w:lineRule="auto" w:line="240" w:before="0" w:after="120"/>
              <w:ind w:firstLine="567"/>
              <w:jc w:val="left"/>
              <w:rPr>
                <w:rFonts w:ascii="Times New Roman" w:hAnsi="Times New Roman"/>
                <w:szCs w:val="24"/>
                <w:lang w:val="ru-RU"/>
              </w:rPr>
            </w:pPr>
            <w:r>
              <w:rPr>
                <w:rFonts w:ascii="Times New Roman" w:hAnsi="Times New Roman"/>
                <w:sz w:val="24"/>
                <w:szCs w:val="24"/>
                <w:lang w:val="ru-RU"/>
              </w:rPr>
              <w:t>м.п.</w:t>
            </w:r>
          </w:p>
        </w:tc>
      </w:tr>
    </w:tbl>
    <w:p>
      <w:pPr>
        <w:pStyle w:val="BodyText"/>
        <w:numPr>
          <w:ilvl w:val="0"/>
          <w:numId w:val="0"/>
        </w:numPr>
        <w:spacing w:before="0" w:after="120"/>
        <w:ind w:left="0" w:hanging="0"/>
        <w:outlineLvl w:val="0"/>
        <w:rPr>
          <w:b/>
          <w:bCs/>
          <w:sz w:val="24"/>
          <w:szCs w:val="24"/>
        </w:rPr>
      </w:pPr>
      <w:r>
        <w:rPr/>
      </w:r>
    </w:p>
    <w:sectPr>
      <w:headerReference w:type="default" r:id="rId9"/>
      <w:headerReference w:type="first" r:id="rId10"/>
      <w:footerReference w:type="even" r:id="rId11"/>
      <w:footerReference w:type="default" r:id="rId12"/>
      <w:footerReference w:type="first" r:id="rId13"/>
      <w:type w:val="nextPage"/>
      <w:pgSz w:w="11906" w:h="16838"/>
      <w:pgMar w:left="1134" w:right="707" w:gutter="0" w:header="720" w:top="1134" w:footer="720" w:bottom="1134"/>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Calibri">
    <w:charset w:val="01"/>
    <w:family w:val="roman"/>
    <w:pitch w:val="variable"/>
  </w:font>
  <w:font w:name="Helvetica Neu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3"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37">
              <wp:simplePos x="0" y="0"/>
              <wp:positionH relativeFrom="margin">
                <wp:align>right</wp:align>
              </wp:positionH>
              <wp:positionV relativeFrom="paragraph">
                <wp:posOffset>635</wp:posOffset>
              </wp:positionV>
              <wp:extent cx="127635" cy="145415"/>
              <wp:effectExtent l="0" t="0" r="0" b="0"/>
              <wp:wrapSquare wrapText="bothSides"/>
              <wp:docPr id="5" name="Врезка2"/>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57.65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17</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7"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9"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1" distT="0" distB="0" distL="0" distR="0" simplePos="0" locked="0" layoutInCell="0" allowOverlap="1" relativeHeight="41">
              <wp:simplePos x="0" y="0"/>
              <wp:positionH relativeFrom="margin">
                <wp:align>right</wp:align>
              </wp:positionH>
              <wp:positionV relativeFrom="paragraph">
                <wp:posOffset>635</wp:posOffset>
              </wp:positionV>
              <wp:extent cx="127635" cy="145415"/>
              <wp:effectExtent l="0" t="0" r="0" b="0"/>
              <wp:wrapSquare wrapText="bothSides"/>
              <wp:docPr id="11" name="Врезка4"/>
              <a:graphic xmlns:a="http://schemas.openxmlformats.org/drawingml/2006/main">
                <a:graphicData uri="http://schemas.microsoft.com/office/word/2010/wordprocessingShape">
                  <wps:wsp>
                    <wps:cNvSpPr/>
                    <wps:spPr>
                      <a:xfrm>
                        <a:off x="0" y="0"/>
                        <a:ext cx="127800" cy="14544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493.1pt;margin-top:0.05pt;width:10pt;height:11.4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19</w:t>
                    </w:r>
                    <w:r>
                      <w:rPr>
                        <w:rStyle w:val="Pagenumber"/>
                        <w:color w:val="000000"/>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5321"/>
        </w:tabs>
        <w:ind w:left="5321" w:hanging="360"/>
      </w:pPr>
      <w:rPr/>
    </w:lvl>
    <w:lvl w:ilvl="1">
      <w:start w:val="1"/>
      <w:numFmt w:val="decimal"/>
      <w:lvlText w:val="%1.%2."/>
      <w:lvlJc w:val="left"/>
      <w:pPr>
        <w:tabs>
          <w:tab w:val="num" w:pos="1425"/>
        </w:tabs>
        <w:ind w:left="1425" w:hanging="432"/>
      </w:pPr>
      <w:rPr>
        <w:sz w:val="24"/>
        <w:szCs w:val="24"/>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4">
    <w:lvl w:ilvl="0">
      <w:start w:val="1"/>
      <w:numFmt w:val="bullet"/>
      <w:lvlText w:val="–"/>
      <w:lvlJc w:val="left"/>
      <w:pPr>
        <w:tabs>
          <w:tab w:val="num" w:pos="0"/>
        </w:tabs>
        <w:ind w:left="1429" w:hanging="360"/>
      </w:pPr>
      <w:rPr>
        <w:rFonts w:ascii="Times New Roman" w:hAnsi="Times New Roman" w:cs="Times New Roman" w:hint="default"/>
        <w:sz w:val="24"/>
        <w:b/>
        <w:color w:val="000000"/>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5">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6">
    <w:lvl w:ilvl="0">
      <w:start w:val="1"/>
      <w:numFmt w:val="decimal"/>
      <w:lvlText w:val="%1."/>
      <w:lvlJc w:val="left"/>
      <w:pPr>
        <w:tabs>
          <w:tab w:val="num" w:pos="1440"/>
        </w:tabs>
        <w:ind w:left="1440" w:hanging="360"/>
      </w:pPr>
      <w:rPr/>
    </w:lvl>
    <w:lvl w:ilvl="1">
      <w:start w:val="1"/>
      <w:numFmt w:val="lowerLetter"/>
      <w:lvlText w:val="%2."/>
      <w:lvlJc w:val="left"/>
      <w:pPr>
        <w:tabs>
          <w:tab w:val="num" w:pos="2160"/>
        </w:tabs>
        <w:ind w:left="2160" w:hanging="360"/>
      </w:pPr>
      <w:rPr/>
    </w:lvl>
    <w:lvl w:ilvl="2">
      <w:start w:val="1"/>
      <w:numFmt w:val="lowerRoman"/>
      <w:lvlText w:val="%3."/>
      <w:lvlJc w:val="right"/>
      <w:pPr>
        <w:tabs>
          <w:tab w:val="num" w:pos="2880"/>
        </w:tabs>
        <w:ind w:left="2880" w:hanging="180"/>
      </w:pPr>
      <w:rPr/>
    </w:lvl>
    <w:lvl w:ilvl="3">
      <w:start w:val="1"/>
      <w:numFmt w:val="decimal"/>
      <w:lvlText w:val="%4."/>
      <w:lvlJc w:val="left"/>
      <w:pPr>
        <w:tabs>
          <w:tab w:val="num" w:pos="3600"/>
        </w:tabs>
        <w:ind w:left="3600" w:hanging="360"/>
      </w:pPr>
      <w:rPr/>
    </w:lvl>
    <w:lvl w:ilvl="4">
      <w:start w:val="1"/>
      <w:numFmt w:val="lowerLetter"/>
      <w:lvlText w:val="%5."/>
      <w:lvlJc w:val="left"/>
      <w:pPr>
        <w:tabs>
          <w:tab w:val="num" w:pos="4320"/>
        </w:tabs>
        <w:ind w:left="4320" w:hanging="360"/>
      </w:pPr>
      <w:rPr/>
    </w:lvl>
    <w:lvl w:ilvl="5">
      <w:start w:val="1"/>
      <w:numFmt w:val="lowerRoman"/>
      <w:lvlText w:val="%6."/>
      <w:lvlJc w:val="right"/>
      <w:pPr>
        <w:tabs>
          <w:tab w:val="num" w:pos="5040"/>
        </w:tabs>
        <w:ind w:left="5040" w:hanging="180"/>
      </w:pPr>
      <w:rPr/>
    </w:lvl>
    <w:lvl w:ilvl="6">
      <w:start w:val="1"/>
      <w:numFmt w:val="decimal"/>
      <w:lvlText w:val="%7."/>
      <w:lvlJc w:val="left"/>
      <w:pPr>
        <w:tabs>
          <w:tab w:val="num" w:pos="5760"/>
        </w:tabs>
        <w:ind w:left="5760" w:hanging="360"/>
      </w:pPr>
      <w:rPr/>
    </w:lvl>
    <w:lvl w:ilvl="7">
      <w:start w:val="1"/>
      <w:numFmt w:val="lowerLetter"/>
      <w:lvlText w:val="%8."/>
      <w:lvlJc w:val="left"/>
      <w:pPr>
        <w:tabs>
          <w:tab w:val="num" w:pos="6480"/>
        </w:tabs>
        <w:ind w:left="6480" w:hanging="360"/>
      </w:pPr>
      <w:rPr/>
    </w:lvl>
    <w:lvl w:ilvl="8">
      <w:start w:val="1"/>
      <w:numFmt w:val="lowerRoman"/>
      <w:lvlText w:val="%9."/>
      <w:lvlJc w:val="right"/>
      <w:pPr>
        <w:tabs>
          <w:tab w:val="num" w:pos="7200"/>
        </w:tabs>
        <w:ind w:left="720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5"/>
    <w:lvlOverride w:ilvl="0">
      <w:startOverride w:val="1"/>
    </w:lvlOverride>
  </w:num>
  <w:num w:numId="19">
    <w:abstractNumId w:val="15"/>
  </w:num>
</w:numbering>
</file>

<file path=word/settings.xml><?xml version="1.0" encoding="utf-8"?>
<w:settings xmlns:w="http://schemas.openxmlformats.org/wordprocessingml/2006/main">
  <w:zoom w:percent="150"/>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21f7a"/>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name w:val="Символ сноски"/>
    <w:uiPriority w:val="99"/>
    <w:qFormat/>
    <w:rsid w:val="0066561f"/>
    <w:rPr>
      <w:vertAlign w:val="superscript"/>
    </w:rPr>
  </w:style>
  <w:style w:type="character" w:styleId="FootnoteReference">
    <w:name w:val="Footnote Reference"/>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uiPriority w:val="99"/>
    <w:qFormat/>
    <w:rsid w:val="0066561f"/>
    <w:rPr/>
  </w:style>
  <w:style w:type="character" w:styleId="Hyperlink">
    <w:name w:val="Hyperlink"/>
    <w:basedOn w:val="DefaultParagraphFont"/>
    <w:uiPriority w:val="99"/>
    <w:unhideWhenUsed/>
    <w:rsid w:val="0066722e"/>
    <w:rPr>
      <w:color w:val="0000FF" w:themeColor="hyperlink"/>
      <w:u w:val="single"/>
    </w:rPr>
  </w:style>
  <w:style w:type="character" w:styleId="Style12" w:customStyle="1">
    <w:name w:val="Абзац списка Знак"/>
    <w:link w:val="ListParagraph"/>
    <w:uiPriority w:val="34"/>
    <w:qFormat/>
    <w:locked/>
    <w:rsid w:val="00b11d27"/>
    <w:rPr/>
  </w:style>
  <w:style w:type="character" w:styleId="1" w:customStyle="1">
    <w:name w:val="1. Статья Знак"/>
    <w:link w:val="12"/>
    <w:qFormat/>
    <w:rsid w:val="00b11d27"/>
    <w:rPr>
      <w:sz w:val="24"/>
      <w:szCs w:val="24"/>
      <w:lang w:val="x-none" w:eastAsia="x-none"/>
    </w:rPr>
  </w:style>
  <w:style w:type="paragraph" w:styleId="Style13">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4">
    <w:name w:val="Указатель"/>
    <w:basedOn w:val="Normal"/>
    <w:qFormat/>
    <w:pPr>
      <w:suppressLineNumbers/>
    </w:pPr>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5">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Title">
    <w:name w:val="Title"/>
    <w:basedOn w:val="Normal"/>
    <w:link w:val="Style1"/>
    <w:qFormat/>
    <w:rsid w:val="00e42745"/>
    <w:pPr>
      <w:jc w:val="center"/>
    </w:pPr>
    <w:rPr>
      <w:b/>
      <w:bCs/>
      <w:sz w:val="28"/>
      <w:szCs w:val="24"/>
    </w:rPr>
  </w:style>
  <w:style w:type="paragraph" w:styleId="1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6"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7"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8"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19"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12" w:customStyle="1">
    <w:name w:val="1. Статья"/>
    <w:basedOn w:val="Heading3"/>
    <w:link w:val="1"/>
    <w:qFormat/>
    <w:rsid w:val="00b11d27"/>
    <w:pPr>
      <w:keepNext w:val="false"/>
      <w:widowControl w:val="false"/>
      <w:numPr>
        <w:ilvl w:val="0"/>
        <w:numId w:val="9"/>
      </w:numPr>
      <w:tabs>
        <w:tab w:val="left" w:pos="0" w:leader="none"/>
        <w:tab w:val="left" w:pos="2340" w:leader="none"/>
      </w:tabs>
      <w:overflowPunct w:val="false"/>
      <w:ind w:right="1462" w:hanging="0"/>
      <w:textAlignment w:val="baseline"/>
    </w:pPr>
    <w:rPr>
      <w:b w:val="false"/>
      <w:sz w:val="24"/>
      <w:szCs w:val="24"/>
      <w:lang w:val="x-none" w:eastAsia="x-none"/>
    </w:rPr>
  </w:style>
  <w:style w:type="paragraph" w:styleId="21" w:customStyle="1">
    <w:name w:val="2. Пункт"/>
    <w:basedOn w:val="Heading3"/>
    <w:qFormat/>
    <w:rsid w:val="00b11d27"/>
    <w:pPr>
      <w:keepNext w:val="false"/>
      <w:widowControl w:val="false"/>
      <w:numPr>
        <w:ilvl w:val="1"/>
        <w:numId w:val="9"/>
      </w:numPr>
      <w:overflowPunct w:val="false"/>
      <w:jc w:val="both"/>
      <w:textAlignment w:val="baseline"/>
    </w:pPr>
    <w:rPr>
      <w:b w:val="false"/>
      <w:sz w:val="24"/>
      <w:szCs w:val="24"/>
      <w:lang w:val="x-none" w:eastAsia="x-none"/>
    </w:rPr>
  </w:style>
  <w:style w:type="paragraph" w:styleId="32" w:customStyle="1">
    <w:name w:val="3. Подпункт"/>
    <w:basedOn w:val="Heading3"/>
    <w:qFormat/>
    <w:rsid w:val="00b11d27"/>
    <w:pPr>
      <w:keepNext w:val="false"/>
      <w:widowControl w:val="false"/>
      <w:numPr>
        <w:ilvl w:val="2"/>
        <w:numId w:val="9"/>
      </w:numPr>
      <w:tabs>
        <w:tab w:val="left" w:pos="0" w:leader="none"/>
        <w:tab w:val="left" w:pos="1620" w:leader="none"/>
      </w:tabs>
      <w:overflowPunct w:val="false"/>
      <w:jc w:val="both"/>
      <w:textAlignment w:val="baseline"/>
    </w:pPr>
    <w:rPr>
      <w:bCs/>
      <w:sz w:val="24"/>
      <w:szCs w:val="24"/>
      <w:lang w:val="x-none" w:eastAsia="x-none"/>
    </w:rPr>
  </w:style>
  <w:style w:type="paragraph" w:styleId="Default" w:customStyle="1">
    <w:name w:val="Default"/>
    <w:qFormat/>
    <w:rsid w:val="00db29d6"/>
    <w:pPr>
      <w:widowControl/>
      <w:suppressAutoHyphens w:val="true"/>
      <w:bidi w:val="0"/>
      <w:spacing w:before="0" w:after="0"/>
      <w:jc w:val="left"/>
    </w:pPr>
    <w:rPr>
      <w:rFonts w:ascii="Times New Roman" w:hAnsi="Times New Roman" w:eastAsia="Calibri" w:cs="Times New Roman" w:eastAsiaTheme="minorHAnsi"/>
      <w:color w:val="000000"/>
      <w:kern w:val="0"/>
      <w:sz w:val="24"/>
      <w:szCs w:val="24"/>
      <w:lang w:val="ru-RU" w:eastAsia="en-US" w:bidi="ar-SA"/>
    </w:rPr>
  </w:style>
  <w:style w:type="paragraph" w:styleId="TableParagraph" w:customStyle="1">
    <w:name w:val="Table Paragraph"/>
    <w:basedOn w:val="Normal"/>
    <w:uiPriority w:val="1"/>
    <w:qFormat/>
    <w:rsid w:val="003266d1"/>
    <w:pPr>
      <w:widowControl w:val="false"/>
      <w:spacing w:lineRule="exact" w:line="264" w:before="16" w:after="0"/>
      <w:jc w:val="center"/>
    </w:pPr>
    <w:rPr>
      <w:rFonts w:ascii="Calibri" w:hAnsi="Calibri" w:eastAsia="Calibri" w:cs="Calibri"/>
      <w:sz w:val="22"/>
      <w:szCs w:val="22"/>
      <w:lang w:eastAsia="en-US"/>
    </w:rPr>
  </w:style>
  <w:style w:type="paragraph" w:styleId="Style20" w:customStyle="1">
    <w:name w:val="По умолчанию"/>
    <w:qFormat/>
    <w:rsid w:val="00e121b0"/>
    <w:pPr>
      <w:widowControl/>
      <w:suppressAutoHyphens w:val="true"/>
      <w:bidi w:val="0"/>
      <w:spacing w:lineRule="auto" w:line="288" w:before="160" w:after="0"/>
      <w:jc w:val="left"/>
    </w:pPr>
    <w:rPr>
      <w:rFonts w:ascii="Helvetica Neue" w:hAnsi="Helvetica Neue" w:eastAsia="Helvetica Neue" w:cs="Helvetica Neue"/>
      <w:color w:val="000000"/>
      <w:kern w:val="0"/>
      <w:sz w:val="24"/>
      <w:szCs w:val="24"/>
      <w:u w:val="none" w:color="000000"/>
      <w:lang w:val="ru-RU" w:eastAsia="ru-RU" w:bidi="ar-SA"/>
      <w14:textOutline w14:w="12700" w14:cap="flat" w14:cmpd="sng" w14:algn="ctr">
        <w14:noFill/>
        <w14:prstDash w14:val="solid"/>
        <w14:miter w14:lim="400000"/>
      </w14:textOutline>
    </w:rPr>
  </w:style>
  <w:style w:type="paragraph" w:styleId="Style21" w:customStyle="1">
    <w:name w:val="Таблица шапка"/>
    <w:qFormat/>
    <w:rsid w:val="00e121b0"/>
    <w:pPr>
      <w:keepNext w:val="true"/>
      <w:widowControl/>
      <w:suppressAutoHyphens w:val="true"/>
      <w:bidi w:val="0"/>
      <w:spacing w:before="40" w:after="40"/>
      <w:ind w:left="57" w:right="57" w:hanging="0"/>
      <w:jc w:val="left"/>
    </w:pPr>
    <w:rPr>
      <w:rFonts w:ascii="Times New Roman" w:hAnsi="Times New Roman" w:eastAsia="Arial Unicode MS" w:cs="Arial Unicode MS"/>
      <w:color w:val="000000"/>
      <w:kern w:val="0"/>
      <w:sz w:val="22"/>
      <w:szCs w:val="22"/>
      <w:u w:val="none" w:color="000000"/>
      <w:lang w:val="ru-RU" w:eastAsia="ru-RU" w:bidi="ar-SA"/>
    </w:rPr>
  </w:style>
  <w:style w:type="paragraph" w:styleId="Style22">
    <w:name w:val="Содержимое врезки"/>
    <w:basedOn w:val="Normal"/>
    <w:qFormat/>
    <w:pPr/>
    <w:rPr/>
  </w:style>
  <w:style w:type="numbering" w:styleId="NoList" w:default="1">
    <w:name w:val="No List"/>
    <w:uiPriority w:val="99"/>
    <w:semiHidden/>
    <w:unhideWhenUsed/>
    <w:qFormat/>
  </w:style>
  <w:style w:type="numbering" w:styleId="13" w:customStyle="1">
    <w:name w:val="Импортированный стиль 1"/>
    <w:qFormat/>
    <w:rsid w:val="00e121b0"/>
  </w:style>
  <w:style w:type="numbering" w:styleId="111" w:customStyle="1">
    <w:name w:val="Импортированный стиль 11"/>
    <w:qFormat/>
    <w:rsid w:val="004e0824"/>
  </w:style>
  <w:style w:type="table" w:default="1" w:styleId="a1">
    <w:name w:val="Normal Table"/>
    <w:uiPriority w:val="99"/>
    <w:semiHidden/>
    <w:unhideWhenUsed/>
    <w:tblPr>
      <w:tblCellMar>
        <w:top w:w="0" w:type="dxa"/>
        <w:left w:w="108" w:type="dxa"/>
        <w:bottom w:w="0" w:type="dxa"/>
        <w:right w:w="108" w:type="dxa"/>
      </w:tblCellMar>
    </w:tblPr>
  </w:style>
  <w:style w:type="table" w:styleId="af">
    <w:name w:val="Table Grid"/>
    <w:basedOn w:val="a1"/>
    <w:uiPriority w:val="39"/>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
    <w:name w:val="Сетка таблицы1"/>
    <w:basedOn w:val="a1"/>
    <w:uiPriority w:val="59"/>
    <w:rsid w:val="00fe4a59"/>
    <w:rPr>
      <w:rFonts w:asciiTheme="minorHAnsi" w:hAnsiTheme="minorHAnsi" w:eastAsiaTheme="minorEastAsia"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nhideWhenUsed/>
    <w:qFormat/>
    <w:rsid w:val="003266d1"/>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 w:type="table" w:customStyle="1" w:styleId="TableNormal1">
    <w:name w:val="Table Normal1"/>
    <w:rsid w:val="004e082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D723B9-076E-4EB5-8E6B-FD2442FD9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Application>AlterOffice/3.4.0.9$Linux_X86_64 LibreOffice_project/b8daf9e823b1a5463a2f48435ddc2e8696e7d4fc</Application>
  <AppVersion>15.0000</AppVersion>
  <Pages>19</Pages>
  <Words>6543</Words>
  <Characters>46185</Characters>
  <CharactersWithSpaces>52389</CharactersWithSpaces>
  <Paragraphs>312</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2017-11-29T13:43:00Z</dcterms:created>
  <dc:creator>Света &amp; Алла (Twix)</dc:creator>
  <dc:description/>
  <dc:language>ru-RU</dc:language>
  <cp:lastModifiedBy>ramazanovaza@corp.gidroogk.com</cp:lastModifiedBy>
  <cp:lastPrinted>2024-04-26T11:34:00Z</cp:lastPrinted>
  <dcterms:modified xsi:type="dcterms:W3CDTF">2026-06-02T10:02:16Z</dcterms:modified>
  <cp:revision>74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