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media/image13.wmf" ContentType="image/x-wmf"/>
  <Override PartName="/word/media/image12.wmf" ContentType="image/x-wmf"/>
  <Override PartName="/word/media/image11.wmf" ContentType="image/x-wmf"/>
  <Override PartName="/word/media/image10.wmf" ContentType="image/x-wmf"/>
  <Override PartName="/word/media/image9.wmf" ContentType="image/x-wmf"/>
  <Override PartName="/word/media/image8.wmf" ContentType="image/x-wmf"/>
  <Override PartName="/word/media/image17.wmf" ContentType="image/x-wmf"/>
  <Override PartName="/word/media/image5.wmf" ContentType="image/x-wmf"/>
  <Override PartName="/word/media/image18.wmf" ContentType="image/x-wmf"/>
  <Override PartName="/word/media/image6.wmf" ContentType="image/x-wmf"/>
  <Override PartName="/word/media/image19.wmf" ContentType="image/x-wmf"/>
  <Override PartName="/word/media/image7.wmf" ContentType="image/x-wmf"/>
  <Override PartName="/word/media/image20.wmf" ContentType="image/x-wmf"/>
  <Override PartName="/word/media/image22.wmf" ContentType="image/x-wmf"/>
  <Override PartName="/word/media/image21.wmf" ContentType="image/x-wmf"/>
  <Override PartName="/word/media/image4.wmf" ContentType="image/x-wmf"/>
  <Override PartName="/word/media/image16.wmf" ContentType="image/x-wmf"/>
  <Override PartName="/word/media/image15.wmf" ContentType="image/x-wmf"/>
  <Override PartName="/word/media/image1.png" ContentType="image/png"/>
  <Override PartName="/word/media/image3.wmf" ContentType="image/x-wmf"/>
  <Override PartName="/word/media/image2.wmf" ContentType="image/x-wmf"/>
  <Override PartName="/word/media/image14.wmf" ContentType="image/x-wmf"/>
  <Override PartName="/word/header5.xml" ContentType="application/vnd.openxmlformats-officedocument.wordprocessingml.header+xml"/>
  <Override PartName="/word/theme/theme1.xml" ContentType="application/vnd.openxmlformats-officedocument.theme+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пгт. Талакан  </w:t>
        <w:tab/>
      </w:r>
      <w:bookmarkStart w:id="0" w:name="OLE_LINK1"/>
      <w:bookmarkStart w:id="1" w:name="OLE_LINK2"/>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rFonts w:eastAsia="Times New Roman" w:cs="Times New Roman"/>
          <w:b/>
          <w:color w:val="auto"/>
          <w:kern w:val="0"/>
          <w:sz w:val="24"/>
          <w:szCs w:val="24"/>
          <w:lang w:val="ru-RU" w:eastAsia="en-US" w:bidi="ar-SA"/>
        </w:rPr>
        <w:t>«</w:t>
      </w:r>
      <w:r>
        <w:rPr>
          <w:b/>
          <w:lang w:eastAsia="en-US"/>
        </w:rPr>
        <w:t>Национальный режим</w:t>
      </w:r>
      <w:r>
        <w:rPr>
          <w:rFonts w:eastAsia="Times New Roman" w:cs="Times New Roman"/>
          <w:b/>
          <w:color w:val="auto"/>
          <w:kern w:val="0"/>
          <w:sz w:val="24"/>
          <w:szCs w:val="24"/>
          <w:lang w:val="ru-RU" w:eastAsia="en-US" w:bidi="ar-SA"/>
        </w:rPr>
        <w:t xml:space="preserve">» – </w:t>
      </w:r>
      <w:r>
        <w:rPr>
          <w:rFonts w:eastAsia="Times New Roman" w:cs="Times New Roman"/>
          <w:b w:val="false"/>
          <w:bCs w:val="false"/>
          <w:color w:val="auto"/>
          <w:kern w:val="0"/>
          <w:sz w:val="24"/>
          <w:szCs w:val="24"/>
          <w:lang w:val="ru-RU" w:eastAsia="en-US" w:bidi="ar-SA"/>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ListParagraph"/>
        <w:shd w:val="clear" w:color="auto" w:fill="FFFFFF"/>
        <w:tabs>
          <w:tab w:val="clear" w:pos="709"/>
          <w:tab w:val="left" w:pos="0" w:leader="none"/>
        </w:tabs>
        <w:overflowPunct w:val="false"/>
        <w:ind w:left="0" w:firstLine="709"/>
        <w:jc w:val="both"/>
        <w:textAlignment w:val="baseline"/>
        <w:rPr>
          <w:lang w:eastAsia="en-US"/>
        </w:rPr>
      </w:pPr>
      <w:commentRangeStart w:id="0"/>
      <w:r>
        <w:rPr>
          <w:rFonts w:eastAsia="Times New Roman" w:cs="Times New Roman"/>
          <w:b/>
          <w:bCs/>
          <w:color w:val="000000"/>
          <w:kern w:val="0"/>
          <w:sz w:val="24"/>
          <w:szCs w:val="24"/>
          <w:shd w:fill="auto" w:val="clear"/>
          <w:lang w:val="ru-RU" w:eastAsia="ru-RU" w:bidi="ar-SA"/>
        </w:rPr>
        <w:t>«Отходы»</w:t>
      </w:r>
      <w:r>
        <w:rPr>
          <w:rFonts w:eastAsia="Times New Roman" w:cs="Times New Roman"/>
          <w:color w:val="000000"/>
          <w:kern w:val="0"/>
          <w:sz w:val="24"/>
          <w:szCs w:val="24"/>
          <w:shd w:fill="auto" w:val="clear"/>
          <w:lang w:val="ru-RU" w:eastAsia="ru-RU" w:bidi="ar-SA"/>
        </w:rPr>
        <w:t xml:space="preserve"> </w:t>
      </w:r>
      <w:r>
        <w:rPr>
          <w:rFonts w:eastAsia="Times New Roman" w:cs="Times New Roman"/>
          <w:color w:val="000000"/>
          <w:kern w:val="0"/>
          <w:sz w:val="24"/>
          <w:szCs w:val="24"/>
          <w:shd w:fill="auto" w:val="clear"/>
          <w:lang w:val="ru-RU" w:eastAsia="en-US" w:bidi="ar-SA"/>
        </w:rPr>
        <w:t>–</w:t>
      </w:r>
      <w:r>
        <w:rPr>
          <w:rFonts w:eastAsia="Times New Roman" w:cs="Times New Roman"/>
          <w:color w:val="000000"/>
          <w:kern w:val="0"/>
          <w:sz w:val="24"/>
          <w:szCs w:val="24"/>
          <w:shd w:fill="auto" w:val="clear"/>
          <w:lang w:val="ru-RU" w:eastAsia="ru-RU" w:bidi="ar-SA"/>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оказании Услуг по Договору, ответственность за обращение с которыми несет Исполнитель.</w:t>
      </w:r>
      <w:commentRangeEnd w:id="0"/>
      <w:r>
        <w:commentReference w:id="0"/>
      </w:r>
      <w:r>
        <w:rPr>
          <w:rFonts w:eastAsia="Times New Roman" w:cs="Times New Roman"/>
          <w:color w:val="000000"/>
          <w:kern w:val="0"/>
          <w:sz w:val="24"/>
          <w:szCs w:val="24"/>
          <w:shd w:fill="auto" w:val="clear"/>
          <w:lang w:val="ru-RU" w:eastAsia="en-US" w:bidi="ar-SA"/>
        </w:rPr>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shd w:fill="auto" w:val="clear"/>
        </w:rPr>
        <w:t>проведению инвентаризации и разработки проекта нормативов допустимых выбросов для нужд филиала ПАО «РусГидро»- «Бурейская ГЭС», а также получение санитарно-эпидемиологического заключения о соответствии нормативов допустимых выбросов санитарным правилам, разработка плана мероприятий по уменьшению выбросов в периоды НМУ (</w:t>
      </w:r>
      <w:r>
        <w:rPr>
          <w:bCs/>
          <w:shd w:fill="auto" w:val="clear"/>
        </w:rPr>
        <w:t>д</w:t>
      </w:r>
      <w:r>
        <w:rPr>
          <w:bCs/>
        </w:rPr>
        <w:t>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rFonts w:eastAsia="Times New Roman" w:cs="Times New Roman"/>
          <w:color w:val="000000"/>
          <w:shd w:fill="auto" w:val="clear"/>
          <w:lang w:val="ru-RU" w:eastAsia="ru-RU" w:bidi="ar-SA"/>
        </w:rPr>
        <w:t>филиала ПАО «РусГидро»-«Бурейская ГЭС».</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t>В части работ выполняемых на Бурейской ГЭС - Амурская область, пгт. Талакан, Бурейская ГЭС;</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t>в части работ, выполняемых на Нижне-Бурейской ГЭС — Амурская область, п.Новобурейский, Нижне-Бурейская ГЭС.</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с даты заключения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w:t>
      </w:r>
      <w:r>
        <w:rPr>
          <w:bCs/>
          <w:shd w:fill="auto" w:val="clear"/>
          <w:lang w:val="ru-RU"/>
        </w:rPr>
        <w:t>Услуг:</w:t>
      </w:r>
      <w:r>
        <w:rPr>
          <w:bCs/>
          <w:shd w:fill="auto" w:val="clear"/>
        </w:rPr>
        <w:t xml:space="preserve"> «01» декабря 2026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highlight w:val="none"/>
          <w:shd w:fill="auto" w:val="clear"/>
        </w:rPr>
      </w:pPr>
      <w:bookmarkStart w:id="2" w:name="_Ref361320734"/>
      <w:r>
        <w:rPr>
          <w:shd w:fill="auto" w:val="clear"/>
        </w:rPr>
        <w:t>Указанная документация и информация предоставляются Заказчиком Исполнителю не позднее 10 (десяти)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bookmarkStart w:id="3" w:name="_Ref361334602"/>
      <w:r>
        <w:rPr>
          <w:bCs/>
          <w:shd w:fill="auto" w:val="clear"/>
        </w:rPr>
        <w:t>В любое время осуществлять контроль и надзор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shd w:fill="auto" w:val="clear"/>
        </w:rPr>
        <w:t xml:space="preserve"> указывать Исполнителю на выявленные недостатки, требовать их устранения.</w:t>
      </w:r>
      <w:r>
        <w:rPr>
          <w:bCs/>
          <w:shd w:fill="auto" w:val="clear"/>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shd w:fill="auto" w:val="clea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bCs/>
          <w:shd w:fill="auto" w:val="clear"/>
        </w:rPr>
        <w:t xml:space="preserve">В срок, указанный в пункте 2.1.2 Договора, принять от Заказчика на время оказания Услуг по Договору </w:t>
      </w:r>
      <w:r>
        <w:rPr>
          <w:shd w:fill="auto" w:val="clear"/>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highlight w:val="none"/>
          <w:shd w:fill="auto" w:val="clear"/>
        </w:rPr>
      </w:pPr>
      <w:r>
        <w:rPr>
          <w:bCs/>
          <w:shd w:fill="auto" w:val="clear"/>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shd w:fill="auto" w:val="clear"/>
        </w:rPr>
        <w:t>разделе 14 Договора</w:t>
      </w:r>
      <w:r>
        <w:rPr>
          <w:shd w:fill="auto" w:val="clear"/>
        </w:rPr>
        <w:t>, – не позднее 3 (трех) рабочих дней с даты получения соответствующего требования Заказчика.</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Оказывать Услуги силами только квалифицированных специалистов, прошедших соответствующую подготовку, </w:t>
      </w:r>
      <w:r>
        <w:rPr>
          <w:bCs/>
          <w:shd w:fill="auto" w:val="clear"/>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shd w:fill="auto" w:val="clear"/>
          <w:lang w:val="ru-RU"/>
        </w:rPr>
        <w:t>В случае, если такие указания могут привести к увеличению Цены Договора и (или) сроков оказания Услуг, Исполнитель обязан письменно сооб</w:t>
      </w:r>
      <w:r>
        <w:rPr>
          <w:bCs/>
          <w:lang w:val="ru-RU"/>
        </w:rPr>
        <w:t xml:space="preserve">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w:t>
      </w:r>
      <w:r>
        <w:rPr>
          <w:shd w:fill="auto" w:val="clear"/>
        </w:rPr>
        <w:t>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w:t>
      </w:r>
      <w:r>
        <w:rPr/>
        <w:t>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(десять)</w:t>
      </w:r>
      <w:r>
        <w:rPr>
          <w:bCs/>
        </w:rPr>
        <w:t xml:space="preserve"> процентов</w:t>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Цена Договора в соответствии с Р</w:t>
      </w:r>
      <w:r>
        <w:rPr>
          <w:shd w:fill="auto" w:val="clear"/>
        </w:rPr>
        <w:t>асчетом стоимости Услуг (Приложение № 2 к Договору) является твердой и</w:t>
      </w:r>
      <w:r>
        <w:rPr/>
        <w:t xml:space="preserve">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w:t>
      </w:r>
      <w:r>
        <w:rPr>
          <w:shd w:fill="auto" w:val="clear"/>
        </w:rPr>
        <w:t>полнителя на:</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highlight w:val="none"/>
          <w:shd w:fill="auto" w:val="clear"/>
        </w:rPr>
      </w:pPr>
      <w:r>
        <w:rPr>
          <w:shd w:fill="auto" w:val="clea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highlight w:val="none"/>
          <w:shd w:fill="auto" w:val="clear"/>
        </w:rPr>
      </w:pPr>
      <w:bookmarkStart w:id="9" w:name="_Ref361858588"/>
      <w:r>
        <w:rPr>
          <w:shd w:fill="auto" w:val="clear"/>
        </w:rPr>
        <w:t>Оплата по Договору осуществляется Заказчиком в следующем порядке:</w:t>
      </w:r>
      <w:bookmarkEnd w:id="9"/>
      <w:r>
        <w:rPr>
          <w:shd w:fill="auto" w:val="clea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highlight w:val="none"/>
          <w:shd w:fill="auto" w:val="clear"/>
        </w:rPr>
      </w:pPr>
      <w:bookmarkStart w:id="10" w:name="_Ref373240288"/>
      <w:bookmarkStart w:id="11" w:name="_Ref361834178"/>
      <w:bookmarkEnd w:id="11"/>
      <w:r>
        <w:rPr>
          <w:shd w:fill="auto" w:val="clea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shd w:fill="auto" w:val="clear"/>
        </w:rPr>
        <w:t xml:space="preserve">Авансовый платеж </w:t>
      </w:r>
      <w:r>
        <w:rPr>
          <w:shd w:fill="auto" w:val="clear"/>
        </w:rPr>
        <w:t>в размере 10 (десяти) процентов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пунктов 3.5.1 и</w:t>
      </w:r>
      <w:r>
        <w:rPr/>
        <w:t xml:space="preserve"> 3.5.4 Договора. </w:t>
      </w:r>
      <w:bookmarkEnd w:id="10"/>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w:t>
      </w:r>
      <w:r>
        <w:rPr>
          <w:shd w:fill="auto" w:val="clear"/>
        </w:rPr>
        <w:t xml:space="preserve"> 20 (двадцати) календарных дней / 7 (семи) рабочих дней с</w:t>
      </w:r>
      <w:r>
        <w:rPr/>
        <w:t xml:space="preserve">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2" w:name="_Ref372549497"/>
      <w:bookmarkStart w:id="13" w:name="_Ref361834178_Копия_1"/>
      <w:bookmarkEnd w:id="13"/>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По окончании оказания Услуг Исполнитель в течение</w:t>
      </w:r>
      <w:r>
        <w:rPr>
          <w:shd w:fill="auto" w:val="clear"/>
        </w:rPr>
        <w:t xml:space="preserve"> 3 (трех) рабочих дней предоставляет Заказчику подписанные со своей стороны в 2 (двух) экземплярах Акты об оказании Услуг по форме Приложения № 4 к Договору/УПД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4"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w:t>
      </w:r>
      <w:r>
        <w:rPr/>
        <w:t>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5"/>
        </w:numPr>
        <w:shd w:val="clear" w:color="auto" w:fill="FFFFFF"/>
        <w:tabs>
          <w:tab w:val="clear" w:pos="709"/>
          <w:tab w:val="left" w:pos="1418" w:leader="none"/>
          <w:tab w:val="left" w:pos="1701" w:leader="none"/>
        </w:tabs>
        <w:ind w:left="0" w:firstLine="709"/>
        <w:jc w:val="both"/>
        <w:rPr>
          <w:sz w:val="24"/>
          <w:szCs w:val="24"/>
        </w:rPr>
      </w:pPr>
      <w:r>
        <w:rPr>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highlight w:val="none"/>
          <w:shd w:fill="auto" w:val="clear"/>
        </w:rPr>
      </w:pPr>
      <w:r>
        <w:rPr>
          <w:shd w:fill="auto" w:val="clear"/>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w:t>
      </w:r>
      <w:r>
        <w:rPr>
          <w:bCs/>
          <w:shd w:fill="auto" w:val="clear"/>
        </w:rPr>
        <w:t>пропускного и внутриобъектового режима, требований охраны труда, пожарной безопасности, экологических, санитарно-</w:t>
      </w:r>
      <w:r>
        <w:rPr>
          <w:rFonts w:eastAsia="Times New Roman" w:cs="Times New Roman"/>
          <w:bCs/>
          <w:color w:val="000000"/>
          <w:kern w:val="0"/>
          <w:sz w:val="24"/>
          <w:szCs w:val="24"/>
          <w:shd w:fill="auto" w:val="clear"/>
          <w:lang w:val="ru-RU" w:eastAsia="ru-RU" w:bidi="ar-SA"/>
        </w:rPr>
        <w:t xml:space="preserve">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 </w:t>
      </w:r>
      <w:r>
        <w:rPr>
          <w:bCs/>
          <w:shd w:fill="auto" w:val="clear"/>
        </w:rPr>
        <w:t xml:space="preserve">если они зафиксированы Заказчиком или уполномоченным государственным органом, Заказчик, помимо возмещения убытков, включая реальный ущерб в виде возмещения расходов по уплате </w:t>
      </w:r>
      <w:r>
        <w:rPr>
          <w:rFonts w:eastAsia="Times New Roman" w:cs="Times New Roman"/>
          <w:bCs/>
          <w:color w:val="000000"/>
          <w:kern w:val="0"/>
          <w:sz w:val="24"/>
          <w:szCs w:val="24"/>
          <w:shd w:fill="auto" w:val="clear"/>
          <w:lang w:val="ru-RU" w:eastAsia="ru-RU" w:bidi="ar-SA"/>
        </w:rPr>
        <w:t>соответствующих</w:t>
      </w:r>
      <w:r>
        <w:rPr>
          <w:bCs/>
          <w:shd w:fill="auto" w:val="clear"/>
        </w:rPr>
        <w:t xml:space="preserve"> административных штрафов, </w:t>
      </w:r>
      <w:r>
        <w:rPr>
          <w:bCs/>
        </w:rPr>
        <w:t xml:space="preserve">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w:t>
      </w:r>
      <w:r>
        <w:rPr>
          <w:bCs/>
          <w:shd w:fill="auto" w:val="clear"/>
        </w:rPr>
        <w:t>том 15.8 Дого</w:t>
      </w:r>
      <w:r>
        <w:rPr>
          <w:bCs/>
        </w:rPr>
        <w:t>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highlight w:val="none"/>
          <w:shd w:fill="auto" w:val="clear"/>
        </w:rPr>
      </w:pPr>
      <w:r>
        <w:rPr>
          <w:shd w:fill="auto" w:val="clea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shd w:fill="auto" w:val="clear"/>
        </w:rPr>
        <w:t xml:space="preserve">При прекращении (расторжении) Договора по основаниям, указанным в настоящем разделе, все обязательства Сторон по Договору считаются </w:t>
      </w:r>
      <w:r>
        <w:rPr/>
        <w:t>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8"/>
        </w:numPr>
        <w:shd w:val="clear" w:color="auto" w:fill="FFFFFF"/>
        <w:tabs>
          <w:tab w:val="clear" w:pos="709"/>
          <w:tab w:val="left" w:pos="426" w:leader="none"/>
        </w:tabs>
        <w:ind w:left="0" w:firstLine="709"/>
        <w:jc w:val="both"/>
        <w:rPr>
          <w:b/>
          <w:bCs/>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w:t>
      </w:r>
      <w:r>
        <w:rPr>
          <w:shd w:fill="auto" w:val="clear"/>
        </w:rPr>
        <w:t xml:space="preserve">м 15.7 Договора. </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highlight w:val="none"/>
          <w:shd w:fill="auto" w:val="clear"/>
        </w:rPr>
      </w:pPr>
      <w:r>
        <w:rPr>
          <w:bCs/>
          <w:shd w:fill="auto" w:val="clear"/>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highlight w:val="none"/>
          <w:shd w:fill="auto" w:val="clear"/>
        </w:rPr>
      </w:pPr>
      <w:r>
        <w:rPr>
          <w:bCs/>
          <w:shd w:fill="auto" w:val="clear"/>
        </w:rPr>
        <w:t xml:space="preserve">15.8.2. 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highlight w:val="none"/>
          <w:shd w:fill="auto" w:val="clear"/>
        </w:rPr>
      </w:pPr>
      <w:r>
        <w:rPr>
          <w:bCs/>
          <w:shd w:fill="auto" w:val="clear"/>
        </w:rPr>
        <w:t>15.8.3.  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highlight w:val="none"/>
          <w:shd w:fill="auto" w:val="clear"/>
        </w:rPr>
      </w:pPr>
      <w:r>
        <w:rPr>
          <w:bCs/>
          <w:shd w:fill="auto"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shd w:fill="auto" w:val="clear"/>
        </w:rPr>
        <w:t>Во избежание сомнений, к</w:t>
      </w:r>
      <w:r>
        <w:rPr>
          <w:bCs/>
        </w:rPr>
        <w:t xml:space="preserve">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w:t>
      </w:r>
      <w:r>
        <w:rPr>
          <w:shd w:fill="auto" w:val="clear"/>
          <w:lang w:val="ru-RU"/>
        </w:rPr>
        <w:t xml:space="preserve">–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сдачи-приемки технической и иной документации</w:t>
      </w:r>
      <w:r>
        <w:rPr>
          <w:bCs/>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4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rPr>
                <w:lang w:val="ru-RU"/>
              </w:rPr>
            </w:pPr>
            <w:r>
              <w:rPr>
                <w:sz w:val="24"/>
                <w:szCs w:val="24"/>
                <w:lang w:val="ru-RU"/>
              </w:rPr>
              <w:t>д. 43, стр. 1</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rFonts w:eastAsia="Times New Roman" w:cs="Times New Roman"/>
                <w:color w:val="auto"/>
                <w:kern w:val="0"/>
                <w:sz w:val="24"/>
                <w:szCs w:val="24"/>
                <w:lang w:val="ru-RU" w:eastAsia="ru-RU" w:bidi="ar-SA"/>
              </w:rPr>
              <w:t>Юридический</w:t>
            </w:r>
            <w:r>
              <w:rPr>
                <w:sz w:val="24"/>
                <w:szCs w:val="24"/>
                <w:lang w:val="ru-RU"/>
              </w:rPr>
              <w:t xml:space="preserve"> адрес</w:t>
            </w:r>
            <w:r>
              <w:rPr>
                <w:lang w:val="ru-RU"/>
              </w:rPr>
              <w:t>:</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jc w:val="center"/>
        <w:rPr>
          <w:b/>
          <w:lang w:val="ru-RU" w:eastAsia="en-US"/>
        </w:rPr>
      </w:pPr>
      <w:r>
        <w:rPr>
          <w:b/>
          <w:lang w:val="ru-RU" w:eastAsia="en-US"/>
        </w:rPr>
      </w:r>
    </w:p>
    <w:p>
      <w:pPr>
        <w:pStyle w:val="Normal"/>
        <w:jc w:val="center"/>
        <w:rPr>
          <w:b/>
          <w:lang w:val="ru-RU" w:eastAsia="en-US"/>
        </w:rPr>
      </w:pPr>
      <w:r>
        <w:rPr>
          <w:b/>
          <w:highlight w:val="lightGray"/>
          <w:lang w:val="ru-RU" w:eastAsia="en-US"/>
        </w:rPr>
        <w:t xml:space="preserve"> </w:t>
      </w: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shd w:fill="auto" w:val="clear"/>
          <w:lang w:val="ru-RU"/>
        </w:rPr>
        <w:t>Приложение № 3</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rPr>
          <w:highlight w:val="none"/>
          <w:shd w:fill="auto" w:val="clear"/>
          <w:lang w:val="ru-RU"/>
        </w:rPr>
      </w:pPr>
      <w:r>
        <w:rPr>
          <w:shd w:fill="auto" w:val="clear"/>
          <w:lang w:val="ru-RU"/>
        </w:rPr>
      </w:r>
    </w:p>
    <w:p>
      <w:pPr>
        <w:pStyle w:val="Title"/>
        <w:jc w:val="both"/>
        <w:rPr>
          <w:highlight w:val="none"/>
          <w:shd w:fill="auto" w:val="clear"/>
          <w:lang w:val="ru-RU"/>
        </w:rPr>
      </w:pPr>
      <w:r>
        <w:rPr>
          <w:shd w:fill="auto" w:val="clear"/>
          <w:lang w:val="ru-RU"/>
        </w:rPr>
      </w:r>
    </w:p>
    <w:p>
      <w:pPr>
        <w:pStyle w:val="Title"/>
        <w:rPr>
          <w:highlight w:val="none"/>
          <w:shd w:fill="auto" w:val="clear"/>
        </w:rPr>
      </w:pPr>
      <w:r>
        <w:rPr>
          <w:iCs/>
          <w:shd w:fill="auto" w:val="clear"/>
        </w:rPr>
        <w:t>ФОРМА</w:t>
      </w:r>
    </w:p>
    <w:p>
      <w:pPr>
        <w:pStyle w:val="Title"/>
        <w:rPr>
          <w:highlight w:val="none"/>
          <w:shd w:fill="auto" w:val="clear"/>
        </w:rPr>
      </w:pPr>
      <w:r>
        <w:rPr>
          <w:bCs w:val="false"/>
          <w:shd w:fill="auto" w:val="clear"/>
        </w:rPr>
        <w:t xml:space="preserve">Акта сдачи-приемки технической и иной документации </w:t>
      </w:r>
    </w:p>
    <w:p>
      <w:pPr>
        <w:pStyle w:val="Normal"/>
        <w:rPr>
          <w:highlight w:val="none"/>
          <w:shd w:fill="auto" w:val="clear"/>
          <w:lang w:val="ru-RU"/>
        </w:rPr>
      </w:pPr>
      <w:r>
        <w:rPr>
          <w:shd w:fill="auto" w:val="clear"/>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highlight w:val="none"/>
                <w:shd w:fill="auto" w:val="clear"/>
              </w:rPr>
            </w:pPr>
            <w:r>
              <w:rPr>
                <w:b w:val="false"/>
                <w:bCs w:val="false"/>
                <w:shd w:fill="auto" w:val="clear"/>
                <w:lang w:val="ru-RU" w:eastAsia="ru-RU"/>
              </w:rPr>
              <w:t xml:space="preserve">Акт </w:t>
            </w:r>
          </w:p>
          <w:p>
            <w:pPr>
              <w:pStyle w:val="Title"/>
              <w:widowControl w:val="false"/>
              <w:rPr>
                <w:highlight w:val="none"/>
                <w:shd w:fill="auto" w:val="clear"/>
              </w:rPr>
            </w:pPr>
            <w:r>
              <w:rPr>
                <w:b w:val="false"/>
                <w:bCs w:val="false"/>
                <w:shd w:fill="auto" w:val="clear"/>
                <w:lang w:val="ru-RU" w:eastAsia="ru-RU"/>
              </w:rPr>
              <w:t>сдачи-приемки технической и иной документации</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г.___________                                                                                  «_____» _________20_г.</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highlight w:val="none"/>
                <w:shd w:fill="auto" w:val="clear"/>
              </w:rPr>
            </w:pPr>
            <w:r>
              <w:rPr>
                <w:shd w:fill="auto" w:val="clear"/>
                <w:lang w:val="ru-RU"/>
              </w:rPr>
              <w:t>Заказчик передал Исполнителю, а Исполнитель принял</w:t>
            </w:r>
            <w:r>
              <w:rPr>
                <w:bCs/>
                <w:shd w:fill="auto" w:val="clear"/>
                <w:lang w:val="ru-RU"/>
              </w:rPr>
              <w:t xml:space="preserve"> следующую </w:t>
            </w:r>
            <w:r>
              <w:rPr>
                <w:shd w:fill="auto" w:val="clear"/>
                <w:lang w:val="ru-RU"/>
              </w:rPr>
              <w:t>техническую и иную документацию для оказания Услуг по Договору</w:t>
            </w:r>
            <w:r>
              <w:rPr>
                <w:bCs/>
                <w:shd w:fill="auto" w:val="clear"/>
                <w:lang w:val="ru-RU"/>
              </w:rPr>
              <w:t xml:space="preserve"> №______ от _____________:</w:t>
            </w:r>
          </w:p>
          <w:p>
            <w:pPr>
              <w:pStyle w:val="Normal"/>
              <w:widowControl w:val="false"/>
              <w:rPr>
                <w:highlight w:val="none"/>
                <w:shd w:fill="auto" w:val="clear"/>
              </w:rPr>
            </w:pPr>
            <w:r>
              <w:rPr>
                <w:bCs/>
                <w:shd w:fill="auto" w:val="clear"/>
                <w:lang w:val="ru-RU"/>
              </w:rPr>
              <w:t xml:space="preserve">__________________________________________________________________________ </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 xml:space="preserve">Документация передана </w:t>
            </w:r>
            <w:r>
              <w:rPr>
                <w:shd w:fill="auto" w:val="clear"/>
                <w:lang w:val="ru-RU"/>
              </w:rPr>
              <w:t>Исполнителю</w:t>
            </w:r>
            <w:r>
              <w:rPr>
                <w:bCs/>
                <w:shd w:fill="auto" w:val="clear"/>
                <w:lang w:val="ru-RU"/>
              </w:rPr>
              <w:t xml:space="preserve"> в установленный Договором срок. </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lang w:val="ru-RU"/>
              </w:rPr>
            </w:pPr>
            <w:r>
              <w:rPr>
                <w:shd w:fill="auto" w:val="clear"/>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highlight w:val="none"/>
                      <w:shd w:fill="auto" w:val="clear"/>
                    </w:rPr>
                  </w:pPr>
                  <w:r>
                    <w:rPr>
                      <w:bCs/>
                      <w:shd w:fill="auto" w:val="clear"/>
                    </w:rPr>
                    <w:t>Заказчик:</w:t>
                  </w:r>
                </w:p>
              </w:tc>
              <w:tc>
                <w:tcPr>
                  <w:tcW w:w="4694" w:type="dxa"/>
                  <w:tcBorders/>
                </w:tcPr>
                <w:p>
                  <w:pPr>
                    <w:pStyle w:val="Normal"/>
                    <w:widowControl w:val="false"/>
                    <w:rPr>
                      <w:highlight w:val="none"/>
                      <w:shd w:fill="auto" w:val="clear"/>
                    </w:rPr>
                  </w:pPr>
                  <w:r>
                    <w:rPr>
                      <w:bCs/>
                      <w:shd w:fill="auto" w:val="clear"/>
                      <w:lang w:val="ru-RU"/>
                    </w:rPr>
                    <w:t>Исполнитель</w:t>
                  </w:r>
                  <w:r>
                    <w:rPr>
                      <w:bCs/>
                      <w:shd w:fill="auto" w:val="clear"/>
                    </w:rPr>
                    <w:t>:</w:t>
                  </w:r>
                </w:p>
              </w:tc>
            </w:tr>
            <w:tr>
              <w:trPr/>
              <w:tc>
                <w:tcPr>
                  <w:tcW w:w="4695"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694"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Title"/>
              <w:widowControl w:val="false"/>
              <w:jc w:val="left"/>
              <w:rPr>
                <w:i/>
                <w:i/>
                <w:iCs/>
                <w:highlight w:val="none"/>
                <w:shd w:fill="auto" w:val="clear"/>
                <w:lang w:val="ru-RU" w:eastAsia="ru-RU"/>
              </w:rPr>
            </w:pPr>
            <w:r>
              <w:rPr>
                <w:i/>
                <w:iCs/>
                <w:shd w:fill="auto" w:val="clear"/>
                <w:lang w:val="ru-RU" w:eastAsia="ru-RU"/>
              </w:rPr>
            </w:r>
          </w:p>
          <w:p>
            <w:pPr>
              <w:pStyle w:val="Title"/>
              <w:widowControl w:val="false"/>
              <w:spacing w:before="0" w:after="120"/>
              <w:jc w:val="left"/>
              <w:rPr>
                <w:i/>
                <w:i/>
                <w:iCs/>
                <w:highlight w:val="none"/>
                <w:shd w:fill="auto" w:val="clear"/>
                <w:lang w:val="ru-RU" w:eastAsia="ru-RU"/>
              </w:rPr>
            </w:pPr>
            <w:r>
              <w:rPr>
                <w:i/>
                <w:iCs/>
                <w:shd w:fill="auto" w:val="clear"/>
                <w:lang w:val="ru-RU" w:eastAsia="ru-RU"/>
              </w:rPr>
            </w:r>
          </w:p>
        </w:tc>
      </w:tr>
    </w:tbl>
    <w:p>
      <w:pPr>
        <w:pStyle w:val="Title"/>
        <w:jc w:val="left"/>
        <w:rPr>
          <w:i/>
          <w:i/>
          <w:iCs/>
          <w:highlight w:val="none"/>
          <w:shd w:fill="auto" w:val="clear"/>
        </w:rPr>
      </w:pPr>
      <w:r>
        <w:rPr>
          <w:i/>
          <w:iCs/>
          <w:shd w:fill="auto" w:val="clear"/>
        </w:rPr>
      </w:r>
    </w:p>
    <w:p>
      <w:pPr>
        <w:pStyle w:val="Title"/>
        <w:jc w:val="left"/>
        <w:rPr>
          <w:i/>
          <w:i/>
          <w:iCs/>
          <w:highlight w:val="none"/>
          <w:shd w:fill="auto" w:val="clear"/>
        </w:rPr>
      </w:pPr>
      <w:r>
        <w:rPr>
          <w:i/>
          <w:iCs/>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ind w:firstLine="709"/>
        <w:jc w:val="right"/>
        <w:rPr>
          <w:highlight w:val="none"/>
          <w:shd w:fill="auto" w:val="clear"/>
        </w:rPr>
      </w:pPr>
      <w:r>
        <w:br w:type="page"/>
      </w:r>
      <w:r>
        <w:rPr>
          <w:sz w:val="22"/>
          <w:szCs w:val="22"/>
          <w:shd w:fill="auto" w:val="clear"/>
          <w:lang w:val="ru-RU"/>
        </w:rPr>
        <w:t>Приложение № 4</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both"/>
        <w:rPr>
          <w:highlight w:val="none"/>
          <w:shd w:fill="auto" w:val="clear"/>
          <w:lang w:val="ru-RU"/>
        </w:rPr>
      </w:pPr>
      <w:r>
        <w:rPr>
          <w:shd w:fill="auto" w:val="clear"/>
          <w:lang w:val="ru-RU"/>
        </w:rPr>
      </w:r>
    </w:p>
    <w:p>
      <w:pPr>
        <w:pStyle w:val="Title"/>
        <w:rPr>
          <w:highlight w:val="none"/>
          <w:shd w:fill="auto" w:val="clear"/>
        </w:rPr>
      </w:pPr>
      <w:r>
        <w:rPr>
          <w:iCs/>
          <w:shd w:fill="auto" w:val="clear"/>
        </w:rPr>
        <w:t xml:space="preserve">ФОРМА </w:t>
      </w:r>
    </w:p>
    <w:p>
      <w:pPr>
        <w:pStyle w:val="Title"/>
        <w:rPr>
          <w:highlight w:val="none"/>
          <w:shd w:fill="auto" w:val="clear"/>
        </w:rPr>
      </w:pPr>
      <w:r>
        <w:rPr>
          <w:iCs/>
          <w:shd w:fill="auto" w:val="clear"/>
        </w:rPr>
        <w:t xml:space="preserve">Акта </w:t>
      </w:r>
      <w:r>
        <w:rPr>
          <w:shd w:fill="auto" w:val="clear"/>
        </w:rPr>
        <w:t>об оказании</w:t>
      </w:r>
      <w:r>
        <w:rPr>
          <w:iCs/>
          <w:shd w:fill="auto" w:val="clear"/>
        </w:rPr>
        <w:t xml:space="preserve"> Услуг</w:t>
      </w:r>
      <w:r>
        <w:rPr>
          <w:rStyle w:val="FootnoteReference"/>
          <w:b/>
          <w:bCs/>
          <w:iCs/>
          <w:sz w:val="24"/>
          <w:szCs w:val="24"/>
          <w:shd w:fill="auto" w:val="clear"/>
        </w:rPr>
        <w:footnoteReference w:id="2"/>
      </w:r>
    </w:p>
    <w:p>
      <w:pPr>
        <w:pStyle w:val="Title"/>
        <w:rPr>
          <w:iCs/>
          <w:highlight w:val="none"/>
          <w:shd w:fill="auto" w:val="clear"/>
        </w:rPr>
      </w:pPr>
      <w:r>
        <w:rPr>
          <w:iCs/>
          <w:shd w:fill="auto" w:val="clear"/>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highlight w:val="none"/>
                <w:shd w:fill="auto" w:val="clear"/>
              </w:rPr>
            </w:pPr>
            <w:r>
              <w:rPr>
                <w:iCs/>
                <w:shd w:fill="auto" w:val="clear"/>
                <w:lang w:val="ru-RU" w:eastAsia="ru-RU"/>
              </w:rPr>
              <w:t xml:space="preserve">АКТ </w:t>
            </w:r>
            <w:r>
              <w:rPr>
                <w:shd w:fill="auto" w:val="clear"/>
                <w:lang w:val="ru-RU"/>
              </w:rPr>
              <w:t>№  ____</w:t>
            </w:r>
          </w:p>
          <w:p>
            <w:pPr>
              <w:pStyle w:val="Normal"/>
              <w:widowControl w:val="false"/>
              <w:jc w:val="center"/>
              <w:rPr>
                <w:highlight w:val="none"/>
                <w:shd w:fill="auto" w:val="clear"/>
              </w:rPr>
            </w:pPr>
            <w:r>
              <w:rPr>
                <w:b/>
                <w:shd w:fill="auto" w:val="clear"/>
                <w:lang w:val="ru-RU"/>
              </w:rPr>
              <w:t xml:space="preserve">об оказании </w:t>
            </w:r>
            <w:r>
              <w:rPr>
                <w:b/>
                <w:bCs/>
                <w:iCs/>
                <w:shd w:fill="auto" w:val="clear"/>
                <w:lang w:val="ru-RU"/>
              </w:rPr>
              <w:t>Услуг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г.______________                                                                                «_____»___________ 20__г.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highlight w:val="none"/>
                <w:shd w:fill="auto" w:val="clear"/>
              </w:rPr>
            </w:pPr>
            <w:r>
              <w:rPr>
                <w:b/>
                <w:bCs/>
                <w:shd w:fill="auto" w:val="clear"/>
                <w:lang w:val="ru-RU"/>
              </w:rPr>
              <w:t xml:space="preserve">______________________________________________________________.   </w:t>
            </w:r>
          </w:p>
          <w:p>
            <w:pPr>
              <w:pStyle w:val="Normal"/>
              <w:widowControl w:val="false"/>
              <w:tabs>
                <w:tab w:val="left" w:pos="709" w:leader="none"/>
                <w:tab w:val="left" w:pos="4111" w:leader="none"/>
              </w:tabs>
              <w:jc w:val="both"/>
              <w:rPr>
                <w:b/>
                <w:bCs/>
                <w:highlight w:val="none"/>
                <w:shd w:fill="auto" w:val="clear"/>
                <w:lang w:val="ru-RU"/>
              </w:rPr>
            </w:pPr>
            <w:r>
              <w:rPr>
                <w:b/>
                <w:bCs/>
                <w:shd w:fill="auto" w:val="clear"/>
                <w:lang w:val="ru-RU"/>
              </w:rPr>
            </w:r>
          </w:p>
          <w:p>
            <w:pPr>
              <w:pStyle w:val="Normal"/>
              <w:widowControl w:val="false"/>
              <w:spacing w:lineRule="auto" w:line="240"/>
              <w:ind w:left="0" w:right="0" w:hanging="0"/>
              <w:jc w:val="both"/>
              <w:rPr>
                <w:highlight w:val="none"/>
                <w:shd w:fill="auto" w:val="clear"/>
              </w:rPr>
            </w:pPr>
            <w:r>
              <w:rPr>
                <w:b w:val="false"/>
                <w:bCs w:val="false"/>
                <w:i w:val="false"/>
                <w:iCs w:val="false"/>
                <w:sz w:val="16"/>
                <w:szCs w:val="20"/>
                <w:shd w:fill="auto" w:val="clear"/>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highlight w:val="none"/>
                <w:shd w:fill="auto" w:val="clear"/>
                <w:lang w:val="ru-RU"/>
              </w:rPr>
            </w:pPr>
            <w:r>
              <w:rPr>
                <w:b/>
                <w:bCs/>
                <w:shd w:fill="auto" w:val="clear"/>
                <w:lang w:val="ru-RU"/>
              </w:rPr>
            </w:r>
          </w:p>
          <w:p>
            <w:pPr>
              <w:pStyle w:val="Normal"/>
              <w:widowControl w:val="false"/>
              <w:jc w:val="center"/>
              <w:rPr>
                <w:b/>
                <w:highlight w:val="none"/>
                <w:shd w:fill="auto" w:val="clear"/>
                <w:lang w:val="ru-RU"/>
              </w:rPr>
            </w:pPr>
            <w:r>
              <w:rPr>
                <w:b/>
                <w:shd w:fill="auto" w:val="clear"/>
                <w:lang w:val="ru-RU"/>
              </w:rPr>
            </w:r>
          </w:p>
          <w:p>
            <w:pPr>
              <w:pStyle w:val="Normal"/>
              <w:widowControl w:val="false"/>
              <w:jc w:val="center"/>
              <w:rPr>
                <w:highlight w:val="none"/>
                <w:shd w:fill="auto" w:val="clear"/>
              </w:rPr>
            </w:pPr>
            <w:r>
              <w:rPr>
                <w:b/>
                <w:shd w:fill="auto" w:val="clear"/>
                <w:lang w:val="ru-RU"/>
              </w:rPr>
              <w:t>ПОДПИСИ СТОРОН:</w:t>
            </w:r>
          </w:p>
          <w:p>
            <w:pPr>
              <w:pStyle w:val="Normal"/>
              <w:widowControl w:val="false"/>
              <w:rPr>
                <w:highlight w:val="none"/>
                <w:shd w:fill="auto" w:val="clear"/>
                <w:lang w:val="ru-RU"/>
              </w:rPr>
            </w:pPr>
            <w:r>
              <w:rPr>
                <w:shd w:fill="auto" w:val="clea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highlight w:val="none"/>
                      <w:shd w:fill="auto" w:val="clear"/>
                    </w:rPr>
                  </w:pPr>
                  <w:r>
                    <w:rPr>
                      <w:b/>
                      <w:shd w:fill="auto" w:val="clear"/>
                      <w:lang w:val="ru-RU"/>
                    </w:rPr>
                    <w:t>Заказчик</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/____________</w:t>
                  </w:r>
                </w:p>
                <w:p>
                  <w:pPr>
                    <w:pStyle w:val="Normal"/>
                    <w:widowControl w:val="false"/>
                    <w:jc w:val="both"/>
                    <w:rPr>
                      <w:highlight w:val="none"/>
                      <w:shd w:fill="auto" w:val="clear"/>
                      <w:lang w:val="ru-RU"/>
                    </w:rPr>
                  </w:pPr>
                  <w:r>
                    <w:rPr>
                      <w:shd w:fill="auto" w:val="clear"/>
                      <w:lang w:val="ru-RU"/>
                    </w:rPr>
                  </w:r>
                </w:p>
              </w:tc>
              <w:tc>
                <w:tcPr>
                  <w:tcW w:w="4860" w:type="dxa"/>
                  <w:tcBorders/>
                </w:tcPr>
                <w:p>
                  <w:pPr>
                    <w:pStyle w:val="Normal"/>
                    <w:widowControl w:val="false"/>
                    <w:jc w:val="both"/>
                    <w:rPr>
                      <w:highlight w:val="none"/>
                      <w:shd w:fill="auto" w:val="clear"/>
                    </w:rPr>
                  </w:pPr>
                  <w:r>
                    <w:rPr>
                      <w:b/>
                      <w:shd w:fill="auto" w:val="clear"/>
                      <w:lang w:val="ru-RU"/>
                    </w:rPr>
                    <w:t>Исполнитель</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 __________/</w:t>
                  </w:r>
                </w:p>
                <w:p>
                  <w:pPr>
                    <w:pStyle w:val="Normal"/>
                    <w:widowControl w:val="false"/>
                    <w:jc w:val="both"/>
                    <w:rPr>
                      <w:highlight w:val="none"/>
                      <w:shd w:fill="auto" w:val="clear"/>
                      <w:lang w:val="ru-RU"/>
                    </w:rPr>
                  </w:pPr>
                  <w:r>
                    <w:rPr>
                      <w:shd w:fill="auto" w:val="clear"/>
                      <w:lang w:val="ru-RU"/>
                    </w:rPr>
                  </w:r>
                </w:p>
              </w:tc>
            </w:tr>
          </w:tbl>
          <w:p>
            <w:pPr>
              <w:pStyle w:val="Normal"/>
              <w:widowControl w:val="false"/>
              <w:rPr>
                <w:i/>
                <w:i/>
                <w:iCs/>
                <w:highlight w:val="none"/>
                <w:shd w:fill="auto" w:val="clear"/>
                <w:lang w:val="ru-RU"/>
              </w:rPr>
            </w:pPr>
            <w:r>
              <w:rPr>
                <w:i/>
                <w:iCs/>
                <w:shd w:fill="auto" w:val="clear"/>
                <w:lang w:val="ru-RU"/>
              </w:rPr>
            </w:r>
          </w:p>
        </w:tc>
      </w:tr>
    </w:tbl>
    <w:p>
      <w:pPr>
        <w:pStyle w:val="Normal"/>
        <w:ind w:firstLine="720"/>
        <w:jc w:val="right"/>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tc>
      </w:tr>
    </w:tbl>
    <w:p>
      <w:pPr>
        <w:pStyle w:val="Normal"/>
        <w:ind w:firstLine="709"/>
        <w:jc w:val="right"/>
        <w:rPr>
          <w:highlight w:val="none"/>
          <w:shd w:fill="auto" w:val="clear"/>
        </w:rPr>
      </w:pPr>
      <w:r>
        <w:br w:type="page"/>
      </w:r>
      <w:r>
        <w:rPr>
          <w:sz w:val="22"/>
          <w:szCs w:val="22"/>
          <w:shd w:fill="auto" w:val="clear"/>
          <w:lang w:val="ru-RU"/>
        </w:rPr>
        <w:t>Приложение № 5</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Размер ответственности Исполнителя</w:t>
      </w:r>
    </w:p>
    <w:p>
      <w:pPr>
        <w:pStyle w:val="Normal"/>
        <w:jc w:val="center"/>
        <w:rPr>
          <w:highlight w:val="none"/>
          <w:shd w:fill="auto" w:val="clear"/>
        </w:rPr>
      </w:pPr>
      <w:r>
        <w:rPr>
          <w:b/>
          <w:shd w:fill="auto" w:val="clear"/>
          <w:lang w:val="ru-RU"/>
        </w:rPr>
        <w:t xml:space="preserve">за нарушения пропускного и внутриобъектового режима, </w:t>
      </w:r>
      <w:r>
        <w:rPr>
          <w:b/>
          <w:color w:val="000000"/>
          <w:shd w:fill="auto" w:val="clear"/>
          <w:lang w:val="ru-RU"/>
        </w:rPr>
        <w:t>требований охраны труда, пожарной безопасности</w:t>
      </w:r>
    </w:p>
    <w:p>
      <w:pPr>
        <w:pStyle w:val="Normal"/>
        <w:jc w:val="center"/>
        <w:rPr>
          <w:b/>
          <w:highlight w:val="none"/>
          <w:shd w:fill="auto" w:val="clear"/>
          <w:lang w:val="ru-RU"/>
        </w:rPr>
      </w:pPr>
      <w:r>
        <w:rPr>
          <w:b/>
          <w:shd w:fill="auto" w:val="clear"/>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lang w:val="ru-RU"/>
              </w:rPr>
            </w:pPr>
            <w:r>
              <w:rPr>
                <w:shd w:fill="auto" w:val="clea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rPr>
              <w:t>1.1.Нарушение ППБ без возникновения пожара</w:t>
            </w:r>
          </w:p>
          <w:p>
            <w:pPr>
              <w:pStyle w:val="Normal"/>
              <w:widowControl w:val="false"/>
              <w:jc w:val="both"/>
              <w:rPr>
                <w:highlight w:val="none"/>
                <w:shd w:fill="auto" w:val="clear"/>
              </w:rPr>
            </w:pPr>
            <w:r>
              <w:rPr>
                <w:shd w:fill="auto" w:val="clea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w:t>
            </w:r>
            <w:r>
              <w:rPr>
                <w:shd w:fill="auto" w:val="clear"/>
              </w:rPr>
              <w:t> </w:t>
            </w:r>
            <w:r>
              <w:rPr>
                <w:shd w:fill="auto" w:val="clear"/>
                <w:lang w:val="ru-RU"/>
              </w:rPr>
              <w:t>000 (двадцать пять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xml:space="preserve">2. Нарушение пропускного и внутриобъектового режима, </w:t>
            </w:r>
            <w:r>
              <w:rPr>
                <w:color w:val="000000"/>
                <w:shd w:fill="auto" w:val="clear"/>
                <w:lang w:val="ru-RU"/>
              </w:rPr>
              <w:t xml:space="preserve">требований охраны труда, </w:t>
            </w:r>
            <w:r>
              <w:rPr>
                <w:color w:val="000000"/>
                <w:sz w:val="24"/>
                <w:shd w:fill="auto" w:val="clear"/>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rFonts w:eastAsia="Times New Roman" w:cs="Times New Roman"/>
                <w:color w:val="000000"/>
                <w:kern w:val="0"/>
                <w:sz w:val="24"/>
                <w:szCs w:val="28"/>
                <w:shd w:fill="auto" w:val="clear"/>
                <w:lang w:val="ru-RU" w:eastAsia="ru-RU" w:bidi="ar-SA"/>
              </w:rPr>
              <w:t>требований</w:t>
            </w:r>
            <w:r>
              <w:rPr>
                <w:color w:val="000000"/>
                <w:sz w:val="24"/>
                <w:shd w:fill="auto" w:val="clear"/>
                <w:lang w:val="ru-RU"/>
              </w:rPr>
              <w:t>, установленных локальными нормативными актами (документами) Заказчика в области обращения с Отходами на территории Заказчика.</w:t>
            </w:r>
            <w:r>
              <w:rPr>
                <w:rStyle w:val="FootnoteReference"/>
                <w:color w:val="000000"/>
                <w:sz w:val="24"/>
                <w:shd w:fill="auto" w:val="clear"/>
                <w:lang w:val="ru-RU"/>
              </w:rPr>
              <w:footnoteReference w:id="3"/>
            </w:r>
            <w:r>
              <w:rPr>
                <w:color w:val="000000"/>
                <w:shd w:fill="auto" w:val="clear"/>
                <w:lang w:val="ru-RU"/>
              </w:rPr>
              <w:t xml:space="preserve">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ind w:firstLine="709"/>
        <w:jc w:val="right"/>
        <w:rPr>
          <w:sz w:val="22"/>
          <w:szCs w:val="22"/>
          <w:highlight w:val="none"/>
          <w:shd w:fill="auto" w:val="clear"/>
          <w:lang w:val="ru-RU"/>
        </w:rPr>
      </w:pPr>
      <w:r>
        <w:rPr>
          <w:sz w:val="22"/>
          <w:szCs w:val="22"/>
          <w:shd w:fill="auto" w:val="clear"/>
          <w:lang w:val="ru-RU"/>
        </w:rPr>
      </w:r>
      <w:r>
        <w:br w:type="page"/>
      </w:r>
    </w:p>
    <w:p>
      <w:pPr>
        <w:pStyle w:val="Normal"/>
        <w:ind w:firstLine="709"/>
        <w:jc w:val="right"/>
        <w:rPr>
          <w:highlight w:val="none"/>
          <w:shd w:fill="auto" w:val="clear"/>
        </w:rPr>
      </w:pPr>
      <w:r>
        <w:rPr>
          <w:sz w:val="22"/>
          <w:szCs w:val="22"/>
          <w:shd w:fill="auto" w:val="clear"/>
          <w:lang w:val="ru-RU"/>
        </w:rPr>
        <w:t>Приложение № 6</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ind w:firstLine="709"/>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Критерии отбора Банков-Гарантов</w:t>
      </w:r>
    </w:p>
    <w:p>
      <w:pPr>
        <w:pStyle w:val="Normal"/>
        <w:tabs>
          <w:tab w:val="clear" w:pos="709"/>
          <w:tab w:val="left" w:pos="1134" w:leader="none"/>
        </w:tabs>
        <w:ind w:firstLine="709"/>
        <w:jc w:val="both"/>
        <w:rPr>
          <w:highlight w:val="none"/>
          <w:shd w:fill="auto" w:val="clear"/>
          <w:lang w:val="ru-RU"/>
        </w:rPr>
      </w:pPr>
      <w:r>
        <w:rPr>
          <w:shd w:fill="auto" w:val="clear"/>
          <w:lang w:val="ru-RU"/>
        </w:rPr>
      </w:r>
    </w:p>
    <w:p>
      <w:pPr>
        <w:pStyle w:val="Normal"/>
        <w:tabs>
          <w:tab w:val="clear" w:pos="709"/>
          <w:tab w:val="left" w:pos="1134" w:leader="none"/>
        </w:tabs>
        <w:ind w:firstLine="709"/>
        <w:jc w:val="both"/>
        <w:rPr>
          <w:highlight w:val="none"/>
          <w:shd w:fill="auto" w:val="clear"/>
        </w:rPr>
      </w:pPr>
      <w:r>
        <w:rPr>
          <w:shd w:fill="auto" w:val="clea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shd w:fill="auto" w:val="clear"/>
        </w:rPr>
        <w:footnoteReference w:id="4"/>
      </w:r>
      <w:r>
        <w:rPr>
          <w:shd w:fill="auto" w:val="clear"/>
          <w:lang w:val="ru-RU"/>
        </w:rPr>
        <w:t>, а также соответствовать следующим критериям:</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Присутствовать в Перечне кредитных организаций, соответствующих требованиям, установленным ч. 1 ст. 2 Федерального закона от 21.07.2014 №</w:t>
      </w:r>
      <w:r>
        <w:rPr>
          <w:shd w:fill="auto" w:val="clear"/>
        </w:rPr>
        <w:t> </w:t>
      </w:r>
      <w:r>
        <w:rPr>
          <w:shd w:fill="auto" w:val="clea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1"/>
        </w:numPr>
        <w:tabs>
          <w:tab w:val="clear" w:pos="709"/>
          <w:tab w:val="left" w:pos="1134" w:leader="none"/>
        </w:tabs>
        <w:ind w:left="0" w:firstLine="710"/>
        <w:jc w:val="both"/>
        <w:rPr/>
      </w:pPr>
      <w:r>
        <w:rPr>
          <w:sz w:val="24"/>
          <w:szCs w:val="24"/>
          <w:shd w:fill="auto" w:val="clear"/>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000000"/>
          <w:kern w:val="0"/>
          <w:sz w:val="24"/>
          <w:szCs w:val="24"/>
          <w:shd w:fill="auto" w:val="clear"/>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shd w:fill="auto" w:val="clear"/>
          <w:lang w:val="ru-RU"/>
        </w:rPr>
        <w:t>, опубликованной в информационно-телекоммуникационной сети «Интернет» (</w:t>
      </w:r>
      <w:hyperlink r:id="rId5">
        <w:r>
          <w:rPr>
            <w:rStyle w:val="Hyperlink"/>
            <w:rFonts w:eastAsia="Times New Roman" w:cs="Times New Roman"/>
            <w:color w:val="000000"/>
            <w:sz w:val="24"/>
            <w:szCs w:val="24"/>
            <w:shd w:fill="auto" w:val="clear"/>
            <w:lang w:val="ru-RU" w:eastAsia="ru-RU" w:bidi="ar-SA"/>
          </w:rPr>
          <w:t>www.cbr.ru</w:t>
        </w:r>
      </w:hyperlink>
      <w:r>
        <w:rPr>
          <w:sz w:val="24"/>
          <w:szCs w:val="24"/>
          <w:shd w:fill="auto" w:val="clear"/>
          <w:lang w:val="ru-RU"/>
        </w:rPr>
        <w:t xml:space="preserve">) на официальных сайтах ЦБ РФ и/ или кредитной организации либо представленной кредитной </w:t>
      </w:r>
      <w:r>
        <w:rPr>
          <w:rFonts w:eastAsia="Times New Roman" w:cs="Times New Roman"/>
          <w:color w:val="000000"/>
          <w:kern w:val="0"/>
          <w:sz w:val="24"/>
          <w:szCs w:val="24"/>
          <w:shd w:fill="auto" w:val="clear"/>
          <w:lang w:val="ru-RU" w:eastAsia="ru-RU" w:bidi="ar-SA"/>
        </w:rPr>
        <w:t>организации</w:t>
      </w:r>
      <w:r>
        <w:rPr>
          <w:sz w:val="24"/>
          <w:szCs w:val="24"/>
          <w:shd w:fill="auto" w:val="clear"/>
          <w:lang w:val="ru-RU"/>
        </w:rPr>
        <w:t xml:space="preserve"> Заказчику. </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Иметь кредитный рейтинг по национальной шкале не ниже уровня «</w:t>
      </w:r>
      <w:r>
        <w:rPr>
          <w:shd w:fill="auto" w:val="clear"/>
        </w:rPr>
        <w:t>BBB</w:t>
      </w:r>
      <w:r>
        <w:rPr>
          <w:shd w:fill="auto" w:val="clear"/>
          <w:lang w:val="ru-RU"/>
        </w:rPr>
        <w:t>» рейтингового агентства АКРА или не ниже уровня «</w:t>
      </w:r>
      <w:r>
        <w:rPr>
          <w:shd w:fill="auto" w:val="clear"/>
        </w:rPr>
        <w:t>ruBBB</w:t>
      </w:r>
      <w:r>
        <w:rPr>
          <w:shd w:fill="auto" w:val="clea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hd w:fill="auto" w:val="clear"/>
        </w:rPr>
        <w:t>Fitch</w:t>
      </w:r>
      <w:r>
        <w:rPr>
          <w:shd w:fill="auto" w:val="clear"/>
          <w:lang w:val="ru-RU"/>
        </w:rPr>
        <w:t>-</w:t>
      </w:r>
      <w:r>
        <w:rPr>
          <w:shd w:fill="auto" w:val="clear"/>
        </w:rPr>
        <w:t>Ratings</w:t>
      </w:r>
      <w:r>
        <w:rPr>
          <w:shd w:fill="auto" w:val="clear"/>
          <w:lang w:val="ru-RU"/>
        </w:rPr>
        <w:t>» или «</w:t>
      </w:r>
      <w:r>
        <w:rPr>
          <w:shd w:fill="auto" w:val="clear"/>
        </w:rPr>
        <w:t>Standard</w:t>
      </w:r>
      <w:r>
        <w:rPr>
          <w:shd w:fill="auto" w:val="clear"/>
          <w:lang w:val="ru-RU"/>
        </w:rPr>
        <w:t xml:space="preserve"> &amp; </w:t>
      </w:r>
      <w:r>
        <w:rPr>
          <w:shd w:fill="auto" w:val="clear"/>
        </w:rPr>
        <w:t>Poor</w:t>
      </w:r>
      <w:r>
        <w:rPr>
          <w:shd w:fill="auto" w:val="clear"/>
          <w:lang w:val="ru-RU"/>
        </w:rPr>
        <w:t>'</w:t>
      </w:r>
      <w:r>
        <w:rPr>
          <w:shd w:fill="auto" w:val="clear"/>
        </w:rPr>
        <w:t>s</w:t>
      </w:r>
      <w:r>
        <w:rPr>
          <w:shd w:fill="auto" w:val="clear"/>
          <w:lang w:val="ru-RU"/>
        </w:rPr>
        <w:t>» либо уровня «</w:t>
      </w:r>
      <w:r>
        <w:rPr>
          <w:shd w:fill="auto" w:val="clear"/>
        </w:rPr>
        <w:t>B</w:t>
      </w:r>
      <w:r>
        <w:rPr>
          <w:shd w:fill="auto" w:val="clear"/>
          <w:lang w:val="ru-RU"/>
        </w:rPr>
        <w:t>а2» по классификации рейтингового агентства «</w:t>
      </w:r>
      <w:r>
        <w:rPr>
          <w:shd w:fill="auto" w:val="clear"/>
        </w:rPr>
        <w:t>Moody</w:t>
      </w:r>
      <w:r>
        <w:rPr>
          <w:shd w:fill="auto" w:val="clear"/>
          <w:lang w:val="ru-RU"/>
        </w:rPr>
        <w:t>'</w:t>
      </w:r>
      <w:r>
        <w:rPr>
          <w:shd w:fill="auto" w:val="clear"/>
        </w:rPr>
        <w:t>s</w:t>
      </w:r>
      <w:r>
        <w:rPr>
          <w:shd w:fill="auto" w:val="clear"/>
          <w:lang w:val="ru-RU"/>
        </w:rPr>
        <w:t xml:space="preserve"> </w:t>
      </w:r>
      <w:r>
        <w:rPr>
          <w:shd w:fill="auto" w:val="clear"/>
        </w:rPr>
        <w:t>Investors</w:t>
      </w:r>
      <w:r>
        <w:rPr>
          <w:shd w:fill="auto" w:val="clear"/>
          <w:lang w:val="ru-RU"/>
        </w:rPr>
        <w:t xml:space="preserve"> </w:t>
      </w:r>
      <w:r>
        <w:rPr>
          <w:shd w:fill="auto" w:val="clear"/>
        </w:rPr>
        <w:t>Service</w:t>
      </w:r>
      <w:r>
        <w:rPr>
          <w:shd w:fill="auto" w:val="clear"/>
          <w:lang w:val="ru-RU"/>
        </w:rPr>
        <w:t>»</w:t>
      </w:r>
      <w:r>
        <w:rPr>
          <w:rStyle w:val="FootnoteReference"/>
          <w:shd w:fill="auto" w:val="clear"/>
        </w:rPr>
        <w:footnoteReference w:id="5"/>
      </w:r>
      <w:r>
        <w:rPr>
          <w:shd w:fill="auto" w:val="clear"/>
          <w:lang w:val="ru-RU"/>
        </w:rPr>
        <w:t xml:space="preserve">. </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shd w:fill="auto" w:val="clear"/>
        </w:rPr>
        <w:t> </w:t>
      </w:r>
      <w:r>
        <w:rPr>
          <w:shd w:fill="auto" w:val="clear"/>
          <w:lang w:val="ru-RU"/>
        </w:rPr>
        <w:t>177-ФЗ «О страховании вкладов в банках Российской Федерации»</w:t>
      </w:r>
      <w:r>
        <w:rPr>
          <w:rStyle w:val="FootnoteReference"/>
          <w:shd w:fill="auto" w:val="clear"/>
        </w:rPr>
        <w:footnoteReference w:id="6"/>
      </w:r>
      <w:r>
        <w:rPr>
          <w:shd w:fill="auto" w:val="clear"/>
          <w:lang w:val="ru-RU"/>
        </w:rPr>
        <w:t>.</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hd w:fill="auto" w:val="clear"/>
        </w:rPr>
        <w:t>http</w:t>
      </w:r>
      <w:r>
        <w:rPr>
          <w:shd w:fill="auto" w:val="clear"/>
          <w:lang w:val="ru-RU"/>
        </w:rPr>
        <w:t>://</w:t>
      </w:r>
      <w:r>
        <w:rPr>
          <w:shd w:fill="auto" w:val="clear"/>
        </w:rPr>
        <w:t>www</w:t>
      </w:r>
      <w:r>
        <w:rPr>
          <w:shd w:fill="auto" w:val="clear"/>
          <w:lang w:val="ru-RU"/>
        </w:rPr>
        <w:t>.</w:t>
      </w:r>
      <w:r>
        <w:rPr>
          <w:shd w:fill="auto" w:val="clear"/>
        </w:rPr>
        <w:t>asv</w:t>
      </w:r>
      <w:r>
        <w:rPr>
          <w:shd w:fill="auto" w:val="clear"/>
          <w:lang w:val="ru-RU"/>
        </w:rPr>
        <w:t>.</w:t>
      </w:r>
      <w:r>
        <w:rPr>
          <w:shd w:fill="auto" w:val="clear"/>
        </w:rPr>
        <w:t>org</w:t>
      </w:r>
      <w:r>
        <w:rPr>
          <w:shd w:fill="auto" w:val="clear"/>
          <w:lang w:val="ru-RU"/>
        </w:rPr>
        <w:t>.</w:t>
      </w:r>
      <w:r>
        <w:rPr>
          <w:shd w:fill="auto" w:val="clear"/>
        </w:rPr>
        <w:t>ru</w:t>
      </w:r>
      <w:r>
        <w:rPr>
          <w:shd w:fill="auto" w:val="clear"/>
          <w:lang w:val="ru-RU"/>
        </w:rPr>
        <w:t>))».</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Не иметь просроченную задолженность перед Обществом и компаниями Группы РусГидро.</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hd w:fill="auto" w:val="clear"/>
        </w:rPr>
        <w:footnoteReference w:id="7"/>
      </w:r>
      <w:r>
        <w:rPr>
          <w:shd w:fill="auto" w:val="clear"/>
          <w:lang w:val="ru-RU"/>
        </w:rPr>
        <w:t>.</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2"/>
        </w:numPr>
        <w:tabs>
          <w:tab w:val="clear" w:pos="709"/>
          <w:tab w:val="left" w:pos="1134" w:leader="none"/>
        </w:tabs>
        <w:ind w:left="0" w:firstLine="709"/>
        <w:jc w:val="both"/>
        <w:rPr>
          <w:highlight w:val="none"/>
          <w:shd w:fill="auto" w:val="clear"/>
        </w:rPr>
      </w:pPr>
      <w:r>
        <w:rPr>
          <w:shd w:fill="auto" w:val="clear"/>
          <w:lang w:val="ru-RU"/>
        </w:rPr>
        <w:t xml:space="preserve"> </w:t>
      </w:r>
      <w:r>
        <w:rPr>
          <w:shd w:fill="auto" w:val="clea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2"/>
        </w:numPr>
        <w:tabs>
          <w:tab w:val="clear" w:pos="709"/>
          <w:tab w:val="left" w:pos="1134" w:leader="none"/>
        </w:tabs>
        <w:ind w:left="0" w:firstLine="709"/>
        <w:jc w:val="both"/>
        <w:rPr>
          <w:highlight w:val="none"/>
          <w:shd w:fill="auto" w:val="clear"/>
        </w:rPr>
      </w:pPr>
      <w:r>
        <w:rPr>
          <w:shd w:fill="auto" w:val="clear"/>
          <w:lang w:val="ru-RU"/>
        </w:rPr>
        <w:t xml:space="preserve"> </w:t>
      </w:r>
      <w:r>
        <w:rPr>
          <w:shd w:fill="auto" w:val="clea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2"/>
        </w:numPr>
        <w:tabs>
          <w:tab w:val="clear" w:pos="709"/>
          <w:tab w:val="left" w:pos="1134" w:leader="none"/>
        </w:tabs>
        <w:ind w:left="0" w:firstLine="709"/>
        <w:jc w:val="both"/>
        <w:rPr>
          <w:highlight w:val="none"/>
          <w:shd w:fill="auto" w:val="clear"/>
        </w:rPr>
      </w:pPr>
      <w:r>
        <w:rPr>
          <w:shd w:fill="auto" w:val="clear"/>
          <w:lang w:val="ru-RU"/>
        </w:rPr>
        <w:t xml:space="preserve"> </w:t>
      </w:r>
      <w:r>
        <w:rPr>
          <w:shd w:fill="auto" w:val="clea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2"/>
        </w:numPr>
        <w:tabs>
          <w:tab w:val="clear" w:pos="709"/>
          <w:tab w:val="left" w:pos="1134" w:leader="none"/>
        </w:tabs>
        <w:ind w:left="0" w:firstLine="709"/>
        <w:jc w:val="both"/>
        <w:rPr>
          <w:highlight w:val="none"/>
          <w:shd w:fill="auto" w:val="clear"/>
        </w:rPr>
      </w:pPr>
      <w:r>
        <w:rPr>
          <w:shd w:fill="auto" w:val="clear"/>
          <w:lang w:val="ru-RU"/>
        </w:rPr>
        <w:t xml:space="preserve"> </w:t>
      </w:r>
      <w:r>
        <w:rPr>
          <w:shd w:fill="auto" w:val="clear"/>
        </w:rPr>
        <w:t>ВЭБ.РФ.</w:t>
      </w:r>
    </w:p>
    <w:p>
      <w:pPr>
        <w:pStyle w:val="Normal"/>
        <w:numPr>
          <w:ilvl w:val="1"/>
          <w:numId w:val="32"/>
        </w:numPr>
        <w:tabs>
          <w:tab w:val="clear" w:pos="709"/>
          <w:tab w:val="left" w:pos="1134" w:leader="none"/>
        </w:tabs>
        <w:spacing w:lineRule="auto" w:line="240"/>
        <w:ind w:left="0" w:firstLine="709"/>
        <w:rPr>
          <w:highlight w:val="none"/>
          <w:shd w:fill="auto" w:val="clear"/>
        </w:rPr>
      </w:pPr>
      <w:r>
        <w:rPr>
          <w:sz w:val="24"/>
          <w:szCs w:val="24"/>
          <w:shd w:fill="auto" w:val="clear"/>
          <w:lang w:val="en-GB"/>
        </w:rPr>
        <w:t>Нерезидентов Российской Федерации.</w:t>
      </w:r>
    </w:p>
    <w:p>
      <w:pPr>
        <w:pStyle w:val="Normal"/>
        <w:numPr>
          <w:ilvl w:val="1"/>
          <w:numId w:val="31"/>
        </w:numPr>
        <w:tabs>
          <w:tab w:val="clear" w:pos="709"/>
          <w:tab w:val="left" w:pos="1134" w:leader="none"/>
        </w:tabs>
        <w:ind w:left="0" w:firstLine="710"/>
        <w:jc w:val="both"/>
        <w:rPr>
          <w:highlight w:val="none"/>
          <w:shd w:fill="auto" w:val="clear"/>
        </w:rPr>
      </w:pPr>
      <w:r>
        <w:rPr>
          <w:shd w:fill="auto" w:val="clea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left="0" w:firstLine="710"/>
        <w:jc w:val="both"/>
        <w:rPr>
          <w:highlight w:val="none"/>
          <w:shd w:fill="auto" w:val="clear"/>
          <w:lang w:val="ru-RU"/>
        </w:rPr>
      </w:pPr>
      <w:r>
        <w:rPr>
          <w:shd w:fill="auto" w:val="clear"/>
          <w:lang w:val="ru-RU"/>
        </w:rPr>
      </w:r>
    </w:p>
    <w:p>
      <w:pPr>
        <w:pStyle w:val="Normal"/>
        <w:tabs>
          <w:tab w:val="clear" w:pos="709"/>
          <w:tab w:val="left" w:pos="1134" w:leader="none"/>
        </w:tabs>
        <w:ind w:firstLine="709"/>
        <w:jc w:val="center"/>
        <w:rPr>
          <w:highlight w:val="none"/>
          <w:shd w:fill="auto" w:val="clear"/>
        </w:rPr>
      </w:pPr>
      <w:r>
        <w:rPr>
          <w:b/>
          <w:i/>
          <w:shd w:fill="auto" w:val="clear"/>
        </w:rPr>
        <w:t>Lim</w:t>
      </w:r>
      <w:r>
        <w:rPr>
          <w:b/>
          <w:i/>
          <w:shd w:fill="auto" w:val="clear"/>
          <w:vertAlign w:val="subscript"/>
        </w:rPr>
        <w:t>Ai</w:t>
      </w:r>
      <w:r>
        <w:rPr>
          <w:b/>
          <w:i/>
          <w:shd w:fill="auto" w:val="clear"/>
        </w:rPr>
        <w:t xml:space="preserve">  = r</w:t>
      </w:r>
      <w:r>
        <w:rPr>
          <w:b/>
          <w:i/>
          <w:shd w:fill="auto" w:val="clear"/>
          <w:vertAlign w:val="subscript"/>
        </w:rPr>
        <w:t>i</w:t>
      </w:r>
      <w:r>
        <w:rPr>
          <w:b/>
          <w:i/>
          <w:shd w:fill="auto" w:val="clear"/>
        </w:rPr>
        <w:t xml:space="preserve"> × СK</w:t>
      </w:r>
      <w:r>
        <w:rPr>
          <w:b/>
          <w:i/>
          <w:shd w:fill="auto" w:val="clear"/>
          <w:vertAlign w:val="subscript"/>
        </w:rPr>
        <w:t>i</w:t>
      </w:r>
      <w:r>
        <w:rPr>
          <w:shd w:fill="auto" w:val="clear"/>
        </w:rPr>
        <w:t>, где</w:t>
      </w:r>
    </w:p>
    <w:p>
      <w:pPr>
        <w:pStyle w:val="Normal"/>
        <w:tabs>
          <w:tab w:val="clear" w:pos="709"/>
          <w:tab w:val="left" w:pos="1134" w:leader="none"/>
        </w:tabs>
        <w:ind w:firstLine="709"/>
        <w:jc w:val="center"/>
        <w:rPr>
          <w:highlight w:val="none"/>
          <w:shd w:fill="auto" w:val="clear"/>
        </w:rPr>
      </w:pPr>
      <w:r>
        <w:rPr>
          <w:shd w:fill="auto" w:val="clear"/>
        </w:rPr>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highlight w:val="none"/>
                <w:shd w:fill="auto" w:val="clear"/>
              </w:rPr>
            </w:pPr>
            <w:r>
              <w:rPr>
                <w:b/>
                <w:i/>
                <w:color w:val="000000"/>
                <w:sz w:val="24"/>
                <w:szCs w:val="24"/>
                <w:shd w:fill="auto" w:val="clear"/>
              </w:rPr>
              <w:t>Lim</w:t>
            </w:r>
            <w:r>
              <w:rPr>
                <w:b/>
                <w:i/>
                <w:color w:val="000000"/>
                <w:sz w:val="24"/>
                <w:szCs w:val="24"/>
                <w:shd w:fill="auto" w:val="clear"/>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highlight w:val="none"/>
                <w:shd w:fill="auto" w:val="clear"/>
              </w:rPr>
            </w:pPr>
            <w:r>
              <w:rPr>
                <w:sz w:val="24"/>
                <w:szCs w:val="24"/>
                <w:shd w:fill="auto" w:val="clear"/>
              </w:rPr>
              <w:t xml:space="preserve">-  </w:t>
            </w:r>
          </w:p>
        </w:tc>
        <w:tc>
          <w:tcPr>
            <w:tcW w:w="8509" w:type="dxa"/>
            <w:tcBorders/>
            <w:shd w:color="auto" w:fill="auto" w:val="clear"/>
          </w:tcPr>
          <w:p>
            <w:pPr>
              <w:pStyle w:val="Normal"/>
              <w:widowControl w:val="false"/>
              <w:spacing w:lineRule="auto" w:line="240"/>
              <w:ind w:left="-75" w:right="-108" w:firstLine="567"/>
              <w:rPr>
                <w:highlight w:val="none"/>
                <w:shd w:fill="auto" w:val="clear"/>
              </w:rPr>
            </w:pPr>
            <w:r>
              <w:rPr>
                <w:rFonts w:eastAsia="Times New Roman" w:cs="Times New Roman"/>
                <w:sz w:val="24"/>
                <w:szCs w:val="24"/>
                <w:shd w:fill="auto" w:val="clear"/>
                <w:lang w:eastAsia="ru-RU"/>
              </w:rPr>
              <w:t>Лимит риска для i-ой кредитной организации</w:t>
            </w:r>
            <w:r>
              <w:rPr>
                <w:rStyle w:val="FootnoteReference"/>
                <w:rFonts w:eastAsia="Times New Roman" w:cs="Times New Roman"/>
                <w:sz w:val="24"/>
                <w:szCs w:val="24"/>
                <w:shd w:fill="auto" w:val="clear"/>
                <w:lang w:eastAsia="ru-RU"/>
              </w:rPr>
              <w:footnoteReference w:id="8"/>
            </w:r>
            <w:r>
              <w:rPr>
                <w:rFonts w:eastAsia="Times New Roman" w:cs="Times New Roman"/>
                <w:sz w:val="24"/>
                <w:szCs w:val="24"/>
                <w:shd w:fill="auto" w:val="clear"/>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highlight w:val="none"/>
                <w:shd w:fill="auto" w:val="clear"/>
              </w:rPr>
            </w:pPr>
            <w:r>
              <w:rPr>
                <w:b/>
                <w:i/>
                <w:color w:val="000000"/>
                <w:sz w:val="24"/>
                <w:szCs w:val="24"/>
                <w:shd w:fill="auto" w:val="clear"/>
              </w:rPr>
              <w:t>С</w:t>
            </w:r>
            <w:r>
              <w:rPr>
                <w:b/>
                <w:i/>
                <w:color w:val="000000"/>
                <w:sz w:val="24"/>
                <w:szCs w:val="24"/>
                <w:shd w:fill="auto" w:val="clear"/>
                <w:lang w:val="en-US"/>
              </w:rPr>
              <w:t>K</w:t>
            </w:r>
            <w:r>
              <w:rPr>
                <w:b/>
                <w:i/>
                <w:color w:val="000000"/>
                <w:sz w:val="24"/>
                <w:szCs w:val="24"/>
                <w:shd w:fill="auto" w:val="clear"/>
                <w:vertAlign w:val="subscript"/>
                <w:lang w:val="en-US"/>
              </w:rPr>
              <w:t>i</w:t>
            </w:r>
          </w:p>
          <w:p>
            <w:pPr>
              <w:pStyle w:val="Normal"/>
              <w:widowControl w:val="false"/>
              <w:spacing w:lineRule="auto" w:line="240"/>
              <w:ind w:left="0" w:right="-108" w:firstLine="567"/>
              <w:rPr>
                <w:color w:val="000000"/>
                <w:sz w:val="24"/>
                <w:szCs w:val="24"/>
                <w:highlight w:val="none"/>
                <w:shd w:fill="auto" w:val="clear"/>
              </w:rPr>
            </w:pPr>
            <w:r>
              <w:rPr>
                <w:color w:val="000000"/>
                <w:sz w:val="24"/>
                <w:szCs w:val="24"/>
                <w:shd w:fill="auto" w:val="clear"/>
              </w:rPr>
            </w:r>
          </w:p>
        </w:tc>
        <w:tc>
          <w:tcPr>
            <w:tcW w:w="280" w:type="dxa"/>
            <w:tcBorders/>
            <w:shd w:color="auto" w:fill="auto" w:val="clear"/>
          </w:tcPr>
          <w:p>
            <w:pPr>
              <w:pStyle w:val="Normal"/>
              <w:widowControl w:val="false"/>
              <w:spacing w:lineRule="auto" w:line="240"/>
              <w:ind w:left="0" w:right="-108" w:hanging="0"/>
              <w:rPr>
                <w:highlight w:val="none"/>
                <w:shd w:fill="auto" w:val="clear"/>
              </w:rPr>
            </w:pPr>
            <w:r>
              <w:rPr>
                <w:sz w:val="24"/>
                <w:szCs w:val="24"/>
                <w:shd w:fill="auto" w:val="clear"/>
              </w:rPr>
              <w:t>-</w:t>
            </w:r>
            <w:r>
              <w:rPr>
                <w:color w:val="000000"/>
                <w:sz w:val="24"/>
                <w:szCs w:val="24"/>
                <w:shd w:fill="auto" w:val="clear"/>
              </w:rPr>
              <w:t xml:space="preserve">  </w:t>
            </w:r>
          </w:p>
        </w:tc>
        <w:tc>
          <w:tcPr>
            <w:tcW w:w="8509" w:type="dxa"/>
            <w:tcBorders/>
            <w:shd w:color="auto" w:fill="auto" w:val="clear"/>
          </w:tcPr>
          <w:p>
            <w:pPr>
              <w:pStyle w:val="Normal"/>
              <w:widowControl w:val="false"/>
              <w:spacing w:lineRule="auto" w:line="240"/>
              <w:ind w:left="-75" w:right="-108" w:firstLine="567"/>
              <w:rPr/>
            </w:pPr>
            <w:r>
              <w:rPr>
                <w:rFonts w:eastAsia="Times New Roman" w:cs="Times New Roman"/>
                <w:sz w:val="24"/>
                <w:szCs w:val="24"/>
                <w:shd w:fill="auto" w:val="clear"/>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shd w:fill="auto" w:val="clear"/>
                  <w:lang w:eastAsia="ru-RU"/>
                </w:rPr>
                <w:t>www.cbr.ru</w:t>
              </w:r>
            </w:hyperlink>
            <w:r>
              <w:rPr>
                <w:rFonts w:eastAsia="Times New Roman" w:cs="Times New Roman"/>
                <w:sz w:val="24"/>
                <w:szCs w:val="24"/>
                <w:shd w:fill="auto" w:val="clear"/>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highlight w:val="none"/>
                <w:shd w:fill="auto" w:val="clear"/>
              </w:rPr>
            </w:pPr>
            <w:r>
              <w:rPr>
                <w:b/>
                <w:i/>
                <w:color w:val="000000"/>
                <w:sz w:val="24"/>
                <w:szCs w:val="24"/>
                <w:shd w:fill="auto" w:val="clear"/>
              </w:rPr>
              <w:t>r</w:t>
            </w:r>
            <w:r>
              <w:rPr>
                <w:b/>
                <w:i/>
                <w:color w:val="000000"/>
                <w:sz w:val="24"/>
                <w:szCs w:val="24"/>
                <w:shd w:fill="auto" w:val="clear"/>
                <w:vertAlign w:val="subscript"/>
              </w:rPr>
              <w:t>i</w:t>
            </w:r>
          </w:p>
        </w:tc>
        <w:tc>
          <w:tcPr>
            <w:tcW w:w="280" w:type="dxa"/>
            <w:tcBorders/>
          </w:tcPr>
          <w:p>
            <w:pPr>
              <w:pStyle w:val="Normal"/>
              <w:widowControl w:val="false"/>
              <w:spacing w:lineRule="auto" w:line="240"/>
              <w:ind w:left="0" w:right="-108" w:hanging="0"/>
              <w:rPr>
                <w:highlight w:val="none"/>
                <w:shd w:fill="auto" w:val="clear"/>
              </w:rPr>
            </w:pPr>
            <w:r>
              <w:rPr>
                <w:sz w:val="24"/>
                <w:szCs w:val="24"/>
                <w:shd w:fill="auto" w:val="clear"/>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highlight w:val="none"/>
                <w:shd w:fill="auto" w:val="clear"/>
              </w:rPr>
            </w:pPr>
            <w:r>
              <w:rPr>
                <w:rFonts w:eastAsia="Times New Roman" w:cs="Times New Roman"/>
                <w:sz w:val="24"/>
                <w:szCs w:val="24"/>
                <w:shd w:fill="auto" w:val="clear"/>
                <w:lang w:eastAsia="ru-RU"/>
              </w:rPr>
              <w:t>рейтинговый коэффициент</w:t>
            </w:r>
            <w:r>
              <w:rPr>
                <w:rStyle w:val="FootnoteReference"/>
                <w:rFonts w:eastAsia="Times New Roman" w:cs="Times New Roman"/>
                <w:sz w:val="24"/>
                <w:szCs w:val="24"/>
                <w:shd w:fill="auto" w:val="clear"/>
                <w:lang w:eastAsia="ru-RU"/>
              </w:rPr>
              <w:footnoteReference w:id="9"/>
            </w:r>
            <w:r>
              <w:rPr>
                <w:rFonts w:eastAsia="Times New Roman" w:cs="Times New Roman"/>
                <w:sz w:val="24"/>
                <w:szCs w:val="24"/>
                <w:shd w:fill="auto" w:val="clear"/>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highlight w:val="none"/>
                <w:shd w:fill="auto" w:val="clear"/>
              </w:rPr>
            </w:pPr>
            <w:r>
              <w:rPr>
                <w:rFonts w:eastAsia="Times New Roman" w:cs="Times New Roman"/>
                <w:b/>
                <w:sz w:val="24"/>
                <w:szCs w:val="24"/>
                <w:shd w:fill="auto" w:val="clear"/>
                <w:lang w:eastAsia="ru-RU"/>
              </w:rPr>
              <w:t>0,075</w:t>
            </w:r>
            <w:r>
              <w:rPr>
                <w:rFonts w:eastAsia="Times New Roman" w:cs="Times New Roman"/>
                <w:sz w:val="24"/>
                <w:szCs w:val="24"/>
                <w:shd w:fill="auto" w:val="clear"/>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shd w:fill="auto" w:val="clear"/>
                <w:lang w:eastAsia="ru-RU"/>
              </w:rPr>
              <w:t>«АА-»</w:t>
            </w:r>
            <w:r>
              <w:rPr>
                <w:rFonts w:eastAsia="Times New Roman" w:cs="Times New Roman"/>
                <w:sz w:val="24"/>
                <w:szCs w:val="24"/>
                <w:shd w:fill="auto" w:val="clear"/>
                <w:lang w:eastAsia="ru-RU"/>
              </w:rPr>
              <w:t xml:space="preserve">по классификации рейтингового агентства АКРА или не ниже уровня </w:t>
            </w:r>
            <w:r>
              <w:rPr>
                <w:rFonts w:eastAsia="Times New Roman" w:cs="Times New Roman"/>
                <w:b/>
                <w:sz w:val="24"/>
                <w:szCs w:val="24"/>
                <w:shd w:fill="auto" w:val="clear"/>
                <w:lang w:eastAsia="ru-RU"/>
              </w:rPr>
              <w:t>«</w:t>
            </w:r>
            <w:r>
              <w:rPr>
                <w:rFonts w:eastAsia="Times New Roman" w:cs="Times New Roman"/>
                <w:b/>
                <w:sz w:val="24"/>
                <w:szCs w:val="24"/>
                <w:shd w:fill="auto" w:val="clear"/>
                <w:lang w:val="en-US" w:eastAsia="ru-RU"/>
              </w:rPr>
              <w:t>ru</w:t>
            </w:r>
            <w:r>
              <w:rPr>
                <w:rFonts w:eastAsia="Times New Roman" w:cs="Times New Roman"/>
                <w:b/>
                <w:sz w:val="24"/>
                <w:szCs w:val="24"/>
                <w:shd w:fill="auto" w:val="clear"/>
                <w:lang w:eastAsia="ru-RU"/>
              </w:rPr>
              <w:t>А</w:t>
            </w:r>
            <w:r>
              <w:rPr>
                <w:rFonts w:eastAsia="Times New Roman" w:cs="Times New Roman"/>
                <w:b/>
                <w:sz w:val="24"/>
                <w:szCs w:val="24"/>
                <w:shd w:fill="auto" w:val="clear"/>
                <w:lang w:val="en-US" w:eastAsia="ru-RU"/>
              </w:rPr>
              <w:t>A</w:t>
            </w:r>
            <w:r>
              <w:rPr>
                <w:rFonts w:eastAsia="Times New Roman" w:cs="Times New Roman"/>
                <w:b/>
                <w:sz w:val="24"/>
                <w:szCs w:val="24"/>
                <w:shd w:fill="auto" w:val="clear"/>
                <w:lang w:eastAsia="ru-RU"/>
              </w:rPr>
              <w:t>-»</w:t>
            </w:r>
            <w:r>
              <w:rPr>
                <w:rFonts w:eastAsia="Times New Roman" w:cs="Times New Roman"/>
                <w:sz w:val="24"/>
                <w:szCs w:val="24"/>
                <w:shd w:fill="auto" w:val="clear"/>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highlight w:val="none"/>
                <w:shd w:fill="auto" w:val="clear"/>
              </w:rPr>
            </w:pPr>
            <w:r>
              <w:rPr>
                <w:rFonts w:eastAsia="Times New Roman" w:cs="Times New Roman"/>
                <w:b/>
                <w:sz w:val="24"/>
                <w:szCs w:val="24"/>
                <w:shd w:fill="auto" w:val="clear"/>
                <w:lang w:eastAsia="ru-RU"/>
              </w:rPr>
              <w:t>0,05</w:t>
            </w:r>
            <w:r>
              <w:rPr>
                <w:rFonts w:eastAsia="Times New Roman" w:cs="Times New Roman"/>
                <w:sz w:val="24"/>
                <w:szCs w:val="24"/>
                <w:shd w:fill="auto" w:val="clear"/>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shd w:fill="auto" w:val="clear"/>
                <w:lang w:eastAsia="ru-RU"/>
              </w:rPr>
              <w:t>«А-»</w:t>
            </w:r>
            <w:r>
              <w:rPr>
                <w:rFonts w:eastAsia="Times New Roman" w:cs="Times New Roman"/>
                <w:sz w:val="24"/>
                <w:szCs w:val="24"/>
                <w:shd w:fill="auto" w:val="clear"/>
                <w:lang w:eastAsia="ru-RU"/>
              </w:rPr>
              <w:t xml:space="preserve"> по классификации рейтингового агентства АКРА или не ниже уровня </w:t>
            </w:r>
            <w:r>
              <w:rPr>
                <w:rFonts w:eastAsia="Times New Roman" w:cs="Times New Roman"/>
                <w:b/>
                <w:sz w:val="24"/>
                <w:szCs w:val="24"/>
                <w:shd w:fill="auto" w:val="clear"/>
                <w:lang w:eastAsia="ru-RU"/>
              </w:rPr>
              <w:t>«ruA-»</w:t>
            </w:r>
            <w:r>
              <w:rPr>
                <w:rFonts w:eastAsia="Times New Roman" w:cs="Times New Roman"/>
                <w:sz w:val="24"/>
                <w:szCs w:val="24"/>
                <w:shd w:fill="auto" w:val="clear"/>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highlight w:val="none"/>
                <w:shd w:fill="auto" w:val="clear"/>
              </w:rPr>
            </w:pPr>
            <w:r>
              <w:rPr>
                <w:rFonts w:eastAsia="Times New Roman" w:cs="Times New Roman"/>
                <w:b/>
                <w:sz w:val="24"/>
                <w:szCs w:val="24"/>
                <w:shd w:fill="auto" w:val="clear"/>
                <w:lang w:eastAsia="ru-RU"/>
              </w:rPr>
              <w:t>0,025</w:t>
            </w:r>
            <w:r>
              <w:rPr>
                <w:rFonts w:eastAsia="Times New Roman" w:cs="Times New Roman"/>
                <w:sz w:val="24"/>
                <w:szCs w:val="24"/>
                <w:shd w:fill="auto" w:val="clear"/>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shd w:fill="auto" w:val="clear"/>
                <w:lang w:eastAsia="ru-RU"/>
              </w:rPr>
              <w:t>«</w:t>
            </w:r>
            <w:r>
              <w:rPr>
                <w:rFonts w:eastAsia="Times New Roman" w:cs="Times New Roman"/>
                <w:b/>
                <w:sz w:val="24"/>
                <w:szCs w:val="24"/>
                <w:shd w:fill="auto" w:val="clear"/>
                <w:lang w:val="en-US" w:eastAsia="ru-RU"/>
              </w:rPr>
              <w:t>BB</w:t>
            </w:r>
            <w:r>
              <w:rPr>
                <w:rFonts w:eastAsia="Times New Roman" w:cs="Times New Roman"/>
                <w:b/>
                <w:sz w:val="24"/>
                <w:szCs w:val="24"/>
                <w:shd w:fill="auto" w:val="clear"/>
                <w:lang w:eastAsia="ru-RU"/>
              </w:rPr>
              <w:t>В»</w:t>
            </w:r>
            <w:r>
              <w:rPr>
                <w:rFonts w:eastAsia="Times New Roman" w:cs="Times New Roman"/>
                <w:sz w:val="24"/>
                <w:szCs w:val="24"/>
                <w:shd w:fill="auto" w:val="clear"/>
                <w:lang w:eastAsia="ru-RU"/>
              </w:rPr>
              <w:t xml:space="preserve"> по классификации рейтингового агентства АКРА или не ниже уровня «</w:t>
            </w:r>
            <w:r>
              <w:rPr>
                <w:rFonts w:eastAsia="Times New Roman" w:cs="Times New Roman"/>
                <w:sz w:val="24"/>
                <w:szCs w:val="24"/>
                <w:shd w:fill="auto" w:val="clear"/>
                <w:lang w:val="en-US" w:eastAsia="ru-RU"/>
              </w:rPr>
              <w:t>ruBB</w:t>
            </w:r>
            <w:r>
              <w:rPr>
                <w:rFonts w:eastAsia="Times New Roman" w:cs="Times New Roman"/>
                <w:sz w:val="24"/>
                <w:szCs w:val="24"/>
                <w:shd w:fill="auto" w:val="clear"/>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highlight w:val="none"/>
          <w:shd w:fill="auto" w:val="clear"/>
        </w:rPr>
      </w:pPr>
      <w:r>
        <w:rPr>
          <w:shd w:fill="auto" w:val="clear"/>
        </w:rPr>
      </w:r>
    </w:p>
    <w:p>
      <w:pPr>
        <w:pStyle w:val="Normal"/>
        <w:tabs>
          <w:tab w:val="clear" w:pos="709"/>
          <w:tab w:val="left" w:pos="1425" w:leader="none"/>
        </w:tabs>
        <w:rPr>
          <w:highlight w:val="none"/>
          <w:shd w:fill="auto" w:val="clear"/>
          <w:lang w:val="ru-RU"/>
        </w:rPr>
      </w:pPr>
      <w:r>
        <w:rPr>
          <w:shd w:fill="auto" w:val="clea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noVBand="1" w:val="04a0" w:noHBand="0" w:lastColumn="0" w:firstColumn="1" w:lastRow="0" w:firstRow="1"/>
      </w:tblPr>
      <w:tblGrid>
        <w:gridCol w:w="262"/>
        <w:gridCol w:w="781"/>
        <w:gridCol w:w="1149"/>
        <w:gridCol w:w="1377"/>
        <w:gridCol w:w="2338"/>
        <w:gridCol w:w="2886"/>
        <w:gridCol w:w="2752"/>
        <w:gridCol w:w="976"/>
        <w:gridCol w:w="2046"/>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w:t>
            </w:r>
            <w:r>
              <w:rPr>
                <w:bCs/>
                <w:sz w:val="16"/>
                <w:szCs w:val="16"/>
                <w:lang w:val="ru-RU"/>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r>
              <w:rPr>
                <w:sz w:val="16"/>
                <w:szCs w:val="16"/>
                <w:lang w:val="ru-RU"/>
              </w:rPr>
              <w:t>)</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0"/>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8</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center"/>
        <w:rPr>
          <w:lang w:val="ru-RU"/>
        </w:rPr>
      </w:pPr>
      <w:r>
        <w:rPr>
          <w:lang w:val="ru-RU"/>
        </w:rPr>
      </w:r>
    </w:p>
    <w:p>
      <w:pPr>
        <w:pStyle w:val="Normal"/>
        <w:spacing w:before="20" w:after="20"/>
        <w:ind w:firstLine="709"/>
        <w:jc w:val="center"/>
        <w:rPr>
          <w:lang w:val="ru-RU"/>
        </w:rPr>
      </w:pPr>
      <w:bookmarkStart w:id="21" w:name="_Toc122678954_Копия_5"/>
      <w:r>
        <w:rPr>
          <w:b/>
          <w:sz w:val="24"/>
          <w:szCs w:val="24"/>
          <w:lang w:val="ru-RU"/>
        </w:rPr>
        <w:t>Методика расчета упущенной выгоды (выручки)</w:t>
      </w:r>
      <w:bookmarkEnd w:id="21"/>
      <w:r>
        <w:rPr>
          <w:b/>
          <w:sz w:val="24"/>
          <w:szCs w:val="24"/>
          <w:lang w:val="ru-RU"/>
        </w:rPr>
        <w:t xml:space="preserve"> </w:t>
      </w:r>
    </w:p>
    <w:p>
      <w:pPr>
        <w:pStyle w:val="Normal"/>
        <w:spacing w:before="20" w:after="20"/>
        <w:ind w:firstLine="709"/>
        <w:jc w:val="center"/>
        <w:rPr>
          <w:lang w:val="ru-RU"/>
        </w:rPr>
      </w:pPr>
      <w:r>
        <w:rPr>
          <w:b/>
          <w:sz w:val="24"/>
          <w:szCs w:val="24"/>
        </w:rPr>
        <w:t>и дополнительных обязательств участника ОРЭМ от недопоставки электрической энергии и мощности на ОРЭМ в</w:t>
      </w:r>
      <w:r>
        <w:rPr>
          <w:rFonts w:eastAsia="Times New Roman" w:cs="Times New Roman"/>
          <w:b/>
          <w:color w:val="auto"/>
          <w:kern w:val="0"/>
          <w:sz w:val="24"/>
          <w:szCs w:val="24"/>
          <w:lang w:val="ru-RU" w:eastAsia="ru-RU" w:bidi="ar-SA"/>
        </w:rPr>
        <w:t xml:space="preserve"> отдельной территории ценовой зоны оптового рынка, ранее относившейся к</w:t>
      </w:r>
      <w:r>
        <w:rPr>
          <w:b/>
          <w:sz w:val="24"/>
          <w:szCs w:val="24"/>
        </w:rPr>
        <w:t> неценовой зоне отпового рынка Дальнего Востока</w:t>
      </w:r>
    </w:p>
    <w:p>
      <w:pPr>
        <w:pStyle w:val="Normal"/>
        <w:spacing w:before="20" w:after="20"/>
        <w:ind w:firstLine="709"/>
        <w:jc w:val="center"/>
        <w:rPr>
          <w:lang w:val="ru-RU"/>
        </w:rPr>
      </w:pPr>
      <w:r>
        <w:rPr>
          <w:lang w:val="ru-RU"/>
        </w:rPr>
      </w:r>
    </w:p>
    <w:p>
      <w:pPr>
        <w:pStyle w:val="Normal"/>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33"/>
        </w:numPr>
        <w:ind w:left="0" w:firstLine="709"/>
        <w:jc w:val="both"/>
        <w:rPr>
          <w:bCs/>
        </w:rPr>
      </w:pPr>
      <w:r>
        <w:rPr>
          <w:bCs/>
        </w:rPr>
        <w:t>номер заявки;</w:t>
      </w:r>
    </w:p>
    <w:p>
      <w:pPr>
        <w:pStyle w:val="Normal"/>
        <w:numPr>
          <w:ilvl w:val="0"/>
          <w:numId w:val="33"/>
        </w:numPr>
        <w:ind w:left="0" w:firstLine="709"/>
        <w:jc w:val="both"/>
        <w:rPr>
          <w:bCs/>
        </w:rPr>
      </w:pPr>
      <w:r>
        <w:rPr>
          <w:bCs/>
        </w:rPr>
        <w:t>подающее предприятие;</w:t>
      </w:r>
    </w:p>
    <w:p>
      <w:pPr>
        <w:pStyle w:val="Normal"/>
        <w:numPr>
          <w:ilvl w:val="0"/>
          <w:numId w:val="33"/>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3"/>
        </w:numPr>
        <w:ind w:left="0" w:firstLine="709"/>
        <w:jc w:val="both"/>
        <w:rPr>
          <w:bCs/>
        </w:rPr>
      </w:pPr>
      <w:r>
        <w:rPr>
          <w:bCs/>
        </w:rPr>
        <w:t>величина снижения максимальной мощности;</w:t>
      </w:r>
    </w:p>
    <w:p>
      <w:pPr>
        <w:pStyle w:val="Normal"/>
        <w:numPr>
          <w:ilvl w:val="0"/>
          <w:numId w:val="33"/>
        </w:numPr>
        <w:ind w:left="0" w:firstLine="709"/>
        <w:jc w:val="both"/>
        <w:rPr>
          <w:bCs/>
        </w:rPr>
      </w:pPr>
      <w:r>
        <w:rPr>
          <w:bCs/>
        </w:rPr>
        <w:t>содержание работ;</w:t>
      </w:r>
    </w:p>
    <w:p>
      <w:pPr>
        <w:pStyle w:val="Normal"/>
        <w:numPr>
          <w:ilvl w:val="0"/>
          <w:numId w:val="33"/>
        </w:numPr>
        <w:ind w:left="0" w:firstLine="709"/>
        <w:jc w:val="both"/>
        <w:rPr>
          <w:bCs/>
        </w:rPr>
      </w:pPr>
      <w:r>
        <w:rPr>
          <w:bCs/>
        </w:rPr>
        <w:t>время подачи заявки;</w:t>
      </w:r>
    </w:p>
    <w:p>
      <w:pPr>
        <w:pStyle w:val="Normal"/>
        <w:numPr>
          <w:ilvl w:val="0"/>
          <w:numId w:val="33"/>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r>
      <w:r>
        <w:rPr>
          <w:sz w:val="24"/>
          <w:szCs w:val="24"/>
          <w:lang w:val="ru-RU"/>
        </w:rPr>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t>
      </w:r>
      <w:r>
        <w:rPr>
          <w:rFonts w:eastAsia="Times New Roman" w:cs="Times New Roman"/>
          <w:color w:val="auto"/>
          <w:kern w:val="0"/>
          <w:sz w:val="24"/>
          <w:szCs w:val="24"/>
          <w:lang w:val="ru-RU" w:eastAsia="ru-RU" w:bidi="ar-SA"/>
        </w:rPr>
        <w:t>«</w:t>
      </w:r>
      <w:r>
        <w:rPr>
          <w:sz w:val="24"/>
          <w:szCs w:val="24"/>
          <w:lang w:val="ru-RU"/>
        </w:rPr>
        <w:t>Порядка установления соответствия генерирующего оборудования участников оптового рынка техническим требованиям</w:t>
      </w:r>
      <w:r>
        <w:rPr>
          <w:rFonts w:eastAsia="Times New Roman" w:cs="Times New Roman"/>
          <w:color w:val="auto"/>
          <w:kern w:val="0"/>
          <w:sz w:val="24"/>
          <w:szCs w:val="24"/>
          <w:lang w:val="ru-RU" w:eastAsia="ru-RU" w:bidi="ar-SA"/>
        </w:rPr>
        <w:t>»</w:t>
      </w:r>
      <w:r>
        <w:rPr>
          <w:sz w:val="24"/>
          <w:szCs w:val="24"/>
          <w:lang w:val="ru-RU"/>
        </w:rPr>
        <w: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r>
        <w:rPr/>
      </w:r>
      <m:oMath xmlns:m="http://schemas.openxmlformats.org/officeDocument/2006/math"/>
      <w:r>
        <w:rPr>
          <w:rFonts w:eastAsia="Times New Roman" w:cs="Times New Roman"/>
          <w:sz w:val="24"/>
          <w:szCs w:val="24"/>
          <w:lang w:val="ru-RU"/>
        </w:rPr>
        <w:t xml:space="preserve"> </w:t>
      </w:r>
    </w:p>
    <w:p>
      <w:pPr>
        <w:pStyle w:val="Normal"/>
        <w:spacing w:lineRule="auto" w:line="240" w:before="20" w:after="20"/>
        <w:ind w:firstLine="709"/>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sz w:val="24"/>
          <w:szCs w:val="24"/>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4"/>
                    <a:srcRect l="-222" t="-329" r="-222" b="-329"/>
                    <a:stretch>
                      <a:fillRect/>
                    </a:stretch>
                  </pic:blipFill>
                  <pic:spPr bwMode="auto">
                    <a:xfrm>
                      <a:off x="0" y="0"/>
                      <a:ext cx="323850" cy="21907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согласованного планового ремонтного снижения мощности;</w:t>
      </w:r>
    </w:p>
    <w:p>
      <w:pPr>
        <w:pStyle w:val="Normal"/>
        <w:spacing w:lineRule="auto" w:line="276"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sz w:val="24"/>
          <w:szCs w:val="24"/>
        </w:rPr>
      </w:pPr>
      <w:r>
        <w:rPr/>
      </w:r>
      <m:oMath xmlns:m="http://schemas.openxmlformats.org/officeDocument/2006/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sz w:val="24"/>
          <w:szCs w:val="24"/>
        </w:rPr>
      </w:pPr>
      <w:r>
        <w:rPr>
          <w:rFonts w:eastAsia="Times New Roman" w:cs="Times New Roman"/>
          <w:sz w:val="24"/>
          <w:szCs w:val="24"/>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sz w:val="24"/>
          <w:szCs w:val="24"/>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5"/>
                    <a:stretch>
                      <a:fillRect/>
                    </a:stretch>
                  </pic:blipFill>
                  <pic:spPr bwMode="auto">
                    <a:xfrm>
                      <a:off x="0" y="0"/>
                      <a:ext cx="545465" cy="2730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sz w:val="24"/>
          <w:szCs w:val="24"/>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6"/>
                    <a:stretch>
                      <a:fillRect/>
                    </a:stretch>
                  </pic:blipFill>
                  <pic:spPr bwMode="auto">
                    <a:xfrm>
                      <a:off x="0" y="0"/>
                      <a:ext cx="524510" cy="2660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sz w:val="24"/>
          <w:szCs w:val="24"/>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7"/>
                    <a:stretch>
                      <a:fillRect/>
                    </a:stretch>
                  </pic:blipFill>
                  <pic:spPr bwMode="auto">
                    <a:xfrm>
                      <a:off x="0" y="0"/>
                      <a:ext cx="532130" cy="2724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sz w:val="24"/>
          <w:szCs w:val="24"/>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8"/>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sz w:val="24"/>
          <w:szCs w:val="24"/>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9"/>
                    <a:stretch>
                      <a:fillRect/>
                    </a:stretch>
                  </pic:blipFill>
                  <pic:spPr bwMode="auto">
                    <a:xfrm>
                      <a:off x="0" y="0"/>
                      <a:ext cx="620395" cy="32004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0"/>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1"/>
                    <a:stretch>
                      <a:fillRect/>
                    </a:stretch>
                  </pic:blipFill>
                  <pic:spPr bwMode="auto">
                    <a:xfrm>
                      <a:off x="0" y="0"/>
                      <a:ext cx="511810" cy="24130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sz w:val="24"/>
          <w:szCs w:val="24"/>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2"/>
                    <a:stretch>
                      <a:fillRect/>
                    </a:stretch>
                  </pic:blipFill>
                  <pic:spPr bwMode="auto">
                    <a:xfrm>
                      <a:off x="0" y="0"/>
                      <a:ext cx="497205" cy="2406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sz w:val="24"/>
          <w:szCs w:val="24"/>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3"/>
                    <a:stretch>
                      <a:fillRect/>
                    </a:stretch>
                  </pic:blipFill>
                  <pic:spPr bwMode="auto">
                    <a:xfrm>
                      <a:off x="0" y="0"/>
                      <a:ext cx="914400" cy="2851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sz w:val="24"/>
          <w:szCs w:val="24"/>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4"/>
                    <a:stretch>
                      <a:fillRect/>
                    </a:stretch>
                  </pic:blipFill>
                  <pic:spPr bwMode="auto">
                    <a:xfrm>
                      <a:off x="0" y="0"/>
                      <a:ext cx="1052830" cy="35750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согласованном увеличении времени включения в сеть;</w:t>
      </w:r>
    </w:p>
    <w:p>
      <w:pPr>
        <w:pStyle w:val="Normal"/>
        <w:spacing w:lineRule="auto" w:line="276" w:before="20" w:after="20"/>
        <w:ind w:firstLine="709"/>
        <w:jc w:val="both"/>
        <w:rPr>
          <w:sz w:val="24"/>
          <w:szCs w:val="24"/>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5"/>
                    <a:stretch>
                      <a:fillRect/>
                    </a:stretch>
                  </pic:blipFill>
                  <pic:spPr bwMode="auto">
                    <a:xfrm>
                      <a:off x="0" y="0"/>
                      <a:ext cx="958215" cy="3136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sz w:val="24"/>
          <w:szCs w:val="24"/>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6"/>
                    <a:stretch>
                      <a:fillRect/>
                    </a:stretch>
                  </pic:blipFill>
                  <pic:spPr bwMode="auto">
                    <a:xfrm>
                      <a:off x="0" y="0"/>
                      <a:ext cx="368300" cy="2857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7"/>
                    <a:stretch>
                      <a:fillRect/>
                    </a:stretch>
                  </pic:blipFill>
                  <pic:spPr bwMode="auto">
                    <a:xfrm>
                      <a:off x="0" y="0"/>
                      <a:ext cx="336550" cy="26733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spacing w:lineRule="auto" w:line="240" w:before="20" w:after="20"/>
        <w:jc w:val="center"/>
        <w:rPr>
          <w:sz w:val="24"/>
          <w:szCs w:val="24"/>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8"/>
                    <a:stretch>
                      <a:fillRect/>
                    </a:stretch>
                  </pic:blipFill>
                  <pic:spPr bwMode="auto">
                    <a:xfrm>
                      <a:off x="0" y="0"/>
                      <a:ext cx="1371600" cy="673100"/>
                    </a:xfrm>
                    <a:prstGeom prst="rect">
                      <a:avLst/>
                    </a:prstGeom>
                  </pic:spPr>
                </pic:pic>
              </a:graphicData>
            </a:graphic>
          </wp:inline>
        </w:drawing>
      </w:r>
    </w:p>
    <w:p>
      <w:pPr>
        <w:pStyle w:val="Normal"/>
        <w:spacing w:lineRule="auto" w:line="240" w:before="20" w:after="20"/>
        <w:ind w:firstLine="709"/>
        <w:rPr>
          <w:sz w:val="24"/>
          <w:szCs w:val="24"/>
        </w:rPr>
      </w:pPr>
      <w:r>
        <w:rPr>
          <w:sz w:val="24"/>
          <w:szCs w:val="24"/>
        </w:rPr>
        <w:t>где:</w:t>
      </w:r>
    </w:p>
    <w:p>
      <w:pPr>
        <w:pStyle w:val="Normal"/>
        <w:spacing w:lineRule="auto" w:line="240" w:before="20" w:after="20"/>
        <w:ind w:firstLine="709"/>
        <w:rPr>
          <w:sz w:val="24"/>
          <w:szCs w:val="24"/>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9"/>
                    <a:stretch>
                      <a:fillRect/>
                    </a:stretch>
                  </pic:blipFill>
                  <pic:spPr bwMode="auto">
                    <a:xfrm>
                      <a:off x="0" y="0"/>
                      <a:ext cx="293370" cy="26733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spacing w:lineRule="auto" w:line="240" w:before="20" w:after="20"/>
        <w:ind w:firstLine="709"/>
        <w:rPr>
          <w:sz w:val="24"/>
          <w:szCs w:val="24"/>
        </w:rPr>
      </w:pPr>
      <w:r>
        <w:rPr>
          <w:sz w:val="24"/>
          <w:szCs w:val="24"/>
        </w:rPr>
        <w:t xml:space="preserve">Н – количество часов, соответствующее расчетному месяцу m. </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p>
    <w:p>
      <w:pPr>
        <w:pStyle w:val="Normal"/>
        <w:spacing w:lineRule="auto" w:line="276" w:before="0" w:after="200"/>
        <w:ind w:firstLine="709"/>
        <w:rPr>
          <w:rFonts w:ascii="Times New Roman" w:hAnsi="Times New Roman" w:eastAsia="Arial" w:cs="Times New Roman"/>
          <w:sz w:val="24"/>
          <w:szCs w:val="24"/>
        </w:rPr>
      </w:pPr>
      <w:r>
        <w:rPr>
          <w:rFonts w:eastAsia="Arial" w:cs="Times New Roman"/>
          <w:sz w:val="24"/>
          <w:szCs w:val="24"/>
        </w:rPr>
        <w:t>где:</w:t>
        <w:tab/>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0"/>
                    <a:stretch>
                      <a:fillRect/>
                    </a:stretch>
                  </pic:blipFill>
                  <pic:spPr bwMode="auto">
                    <a:xfrm>
                      <a:off x="0" y="0"/>
                      <a:ext cx="185420" cy="228600"/>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 xml:space="preserve">коэффициенты </w:t>
      </w:r>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1"/>
                    <a:stretch>
                      <a:fillRect/>
                    </a:stretch>
                  </pic:blipFill>
                  <pic:spPr bwMode="auto">
                    <a:xfrm>
                      <a:off x="0" y="0"/>
                      <a:ext cx="184785" cy="277495"/>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cs="Times New Roman"/>
          <w:sz w:val="24"/>
          <w:szCs w:val="24"/>
        </w:rPr>
        <w:t xml:space="preserve">), </w:t>
      </w:r>
    </w:p>
    <w:p>
      <w:pPr>
        <w:pStyle w:val="Normal"/>
        <w:numPr>
          <w:ilvl w:val="0"/>
          <w:numId w:val="0"/>
        </w:numPr>
        <w:spacing w:lineRule="auto" w:line="276" w:before="120" w:after="120"/>
        <w:ind w:left="0" w:firstLine="567"/>
        <w:jc w:val="both"/>
        <w:outlineLvl w:val="3"/>
        <w:rPr>
          <w:sz w:val="24"/>
          <w:szCs w:val="24"/>
        </w:rPr>
      </w:pPr>
      <w:r>
        <w:rPr>
          <w:rFonts w:eastAsia="Arial" w:cs="Times New Roman"/>
          <w:sz w:val="24"/>
          <w:szCs w:val="24"/>
        </w:rPr>
        <w:t xml:space="preserve">определяемые для каждого из соответствующих им объемов невыполнения требований по готовности </w:t>
      </w:r>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2"/>
                    <a:stretch>
                      <a:fillRect/>
                    </a:stretch>
                  </pic:blipFill>
                  <pic:spPr bwMode="auto">
                    <a:xfrm>
                      <a:off x="0" y="0"/>
                      <a:ext cx="277495" cy="277495"/>
                    </a:xfrm>
                    <a:prstGeom prst="rect">
                      <a:avLst/>
                    </a:prstGeom>
                  </pic:spPr>
                </pic:pic>
              </a:graphicData>
            </a:graphic>
          </wp:inline>
        </w:drawing>
      </w:r>
      <w:r>
        <w:rPr>
          <w:rFonts w:eastAsia="Arial" w:cs="Times New Roman"/>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sz w:val="24"/>
          <w:szCs w:val="24"/>
        </w:rPr>
      </w:pPr>
      <w:r>
        <w:rPr>
          <w:rFonts w:eastAsia="Arial" w:cs="Times New Roman"/>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3"/>
                    <a:stretch>
                      <a:fillRect/>
                    </a:stretch>
                  </pic:blipFill>
                  <pic:spPr bwMode="auto">
                    <a:xfrm>
                      <a:off x="0" y="0"/>
                      <a:ext cx="636270" cy="278130"/>
                    </a:xfrm>
                    <a:prstGeom prst="rect">
                      <a:avLst/>
                    </a:prstGeom>
                  </pic:spPr>
                </pic:pic>
              </a:graphicData>
            </a:graphic>
          </wp:inline>
        </w:drawing>
      </w:r>
      <w:r>
        <w:rPr>
          <w:rFonts w:eastAsia="Arial" w:cs="Times New Roman"/>
          <w:sz w:val="24"/>
          <w:szCs w:val="24"/>
        </w:rPr>
        <w:t>.</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sz w:val="24"/>
          <w:szCs w:val="24"/>
        </w:rPr>
      </w:pPr>
      <w:r>
        <w:rPr>
          <w:rFonts w:eastAsia="Times New Roman" w:cs="Times New Roman"/>
          <w:sz w:val="24"/>
          <w:szCs w:val="24"/>
        </w:rPr>
        <w:t xml:space="preserve">  </w:t>
      </w:r>
      <w:r>
        <w:rPr>
          <w:rFonts w:eastAsia="Arial" w:cs="Times New Roman"/>
          <w:sz w:val="24"/>
          <w:szCs w:val="24"/>
        </w:rPr>
        <w:t xml:space="preserve">- </w:t>
      </w:r>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4"/>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sz w:val="24"/>
          <w:szCs w:val="24"/>
        </w:rPr>
      </w:pPr>
      <w:r>
        <w:rPr>
          <w:rFonts w:eastAsia="Arial" w:cs="Times New Roman"/>
          <w:sz w:val="24"/>
          <w:szCs w:val="24"/>
        </w:rPr>
        <w:t xml:space="preserve">- </w:t>
      </w:r>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 сезонный коэффициент, рассчитанный для ценовой зоны оптового рынка (z) месяца (m); </w:t>
      </w:r>
    </w:p>
    <w:p>
      <w:pPr>
        <w:pStyle w:val="Normal"/>
        <w:widowControl/>
        <w:spacing w:before="120" w:after="20"/>
        <w:ind w:firstLine="709"/>
        <w:jc w:val="both"/>
        <w:rPr>
          <w:sz w:val="24"/>
          <w:szCs w:val="24"/>
        </w:rPr>
      </w:pPr>
      <w:r>
        <w:rPr>
          <w:rFonts w:eastAsia="Arial" w:cs="Times New Roman"/>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cs="Times New Roman"/>
          <w:sz w:val="24"/>
          <w:szCs w:val="24"/>
        </w:rPr>
        <w:t xml:space="preserve"> на цену </w:t>
      </w:r>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6"/>
                    <a:srcRect l="-42" t="-65" r="-42" b="-65"/>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и на коэффициент сезонности</w:t>
      </w:r>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7"/>
                    <a:srcRect l="-43" t="-65" r="-43" b="-6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w:t>
      </w:r>
    </w:p>
    <w:p>
      <w:pPr>
        <w:pStyle w:val="Normal"/>
        <w:spacing w:before="120" w:after="20"/>
        <w:ind w:firstLine="709"/>
        <w:jc w:val="both"/>
        <w:rPr>
          <w:lang w:val="ru-RU"/>
        </w:rPr>
      </w:pPr>
      <w:r>
        <w:rPr>
          <w:lang w:val="ru-RU"/>
        </w:rPr>
      </w:r>
    </w:p>
    <w:tbl>
      <w:tblPr>
        <w:tblW w:w="1012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40"/>
        <w:gridCol w:w="4879"/>
      </w:tblGrid>
      <w:tr>
        <w:trPr>
          <w:trHeight w:val="282" w:hRule="atLeast"/>
        </w:trPr>
        <w:tc>
          <w:tcPr>
            <w:tcW w:w="5240" w:type="dxa"/>
            <w:tcBorders/>
          </w:tcPr>
          <w:p>
            <w:pPr>
              <w:pStyle w:val="Normal"/>
              <w:widowControl w:val="false"/>
              <w:jc w:val="center"/>
              <w:rPr>
                <w:b/>
              </w:rPr>
            </w:pPr>
            <w:r>
              <w:rPr>
                <w:b/>
              </w:rPr>
              <w:t>Заказчик:</w:t>
            </w:r>
          </w:p>
        </w:tc>
        <w:tc>
          <w:tcPr>
            <w:tcW w:w="4879" w:type="dxa"/>
            <w:tcBorders/>
          </w:tcPr>
          <w:p>
            <w:pPr>
              <w:pStyle w:val="Normal"/>
              <w:widowControl w:val="false"/>
              <w:jc w:val="center"/>
              <w:rPr>
                <w:b/>
              </w:rPr>
            </w:pPr>
            <w:r>
              <w:rPr>
                <w:b/>
                <w:lang w:val="ru-RU"/>
              </w:rPr>
              <w:t>Исполнитель</w:t>
            </w:r>
            <w:r>
              <w:rPr>
                <w:b/>
              </w:rPr>
              <w:t>:</w:t>
            </w:r>
          </w:p>
        </w:tc>
      </w:tr>
      <w:tr>
        <w:trPr>
          <w:trHeight w:val="611" w:hRule="atLeast"/>
        </w:trPr>
        <w:tc>
          <w:tcPr>
            <w:tcW w:w="5240"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487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spacing w:before="120" w:after="20"/>
        <w:jc w:val="both"/>
        <w:rPr>
          <w:lang w:val="ru-RU"/>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avindma@corp.gidroogk.com" w:date="2026-07-16T14:40:42Z" w:initials="s">
    <w:p>
      <w:pPr>
        <w:kinsoku w:val="true"/>
        <w:overflowPunct w:val="false"/>
        <w:autoSpaceDE w:val="true"/>
        <w:bidi w:val="0"/>
        <w:spacing w:before="0" w:after="0" w:lineRule="auto" w:line="240"/>
        <w:ind w:hanging="0"/>
        <w:jc w:val="left"/>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shd w:fill="auto" w:val="clear"/>
          <w:vertAlign w:val="baseline"/>
          <w:em w:val="none"/>
          <w:lang w:bidi="ar-SA" w:eastAsia="ru-RU" w:val="ru-RU"/>
        </w:rPr>
        <w:t>Лишний абзац</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33</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38</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6"/>
        </w:rPr>
        <w:footnoteRef/>
      </w:r>
      <w:r>
        <w:rPr/>
        <w:t xml:space="preserve"> </w:t>
      </w:r>
      <w:r>
        <w:rPr/>
        <w:t>Применяется, если не используется УПД.</w:t>
      </w:r>
    </w:p>
  </w:footnote>
  <w:footnote w:id="3">
    <w:p>
      <w:pPr>
        <w:pStyle w:val="FootnoteText"/>
        <w:rPr/>
      </w:pPr>
      <w:r>
        <w:rPr>
          <w:rStyle w:val="Style6"/>
        </w:rPr>
        <w:footnoteRef/>
      </w: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xml:space="preserve">- утилизации плавмусора. </w:t>
      </w:r>
    </w:p>
  </w:footnote>
  <w:footnote w:id="4">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5">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6">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7">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8">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9">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10">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2">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3">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revisionView w:insDel="0" w:formatting="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1.wmf"/><Relationship Id="rId37" Type="http://schemas.openxmlformats.org/officeDocument/2006/relationships/image" Target="media/image22.wmf"/><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footnotes" Target="footnotes.xml"/><Relationship Id="rId43" Type="http://schemas.openxmlformats.org/officeDocument/2006/relationships/comments" Target="comment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Relationship Id="rId49" Type="http://schemas.openxmlformats.org/officeDocument/2006/relationships/customXml" Target="../customXml/item2.xml"/><Relationship Id="rId50" Type="http://schemas.openxmlformats.org/officeDocument/2006/relationships/customXml" Target="../customXml/item3.xml"/><Relationship Id="rId51" Type="http://schemas.openxmlformats.org/officeDocument/2006/relationships/customXml" Target="../customXml/item4.xml"/><Relationship Id="rId52" Type="http://schemas.openxmlformats.org/officeDocument/2006/relationships/customXml" Target="../customXml/item5.xml"/><Relationship Id="rId53" Type="http://schemas.openxmlformats.org/officeDocument/2006/relationships/customXml" Target="../customXml/item6.xml"/><Relationship Id="rId54"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Application>AlterOffice/3.4.0.9$Linux_X86_64 LibreOffice_project/b8daf9e823b1a5463a2f48435ddc2e8696e7d4fc</Application>
  <AppVersion>15.0000</AppVersion>
  <Pages>38</Pages>
  <Words>12310</Words>
  <Characters>88126</Characters>
  <CharactersWithSpaces>92081</CharactersWithSpaces>
  <Paragraphs>633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savindma@corp.gidroogk.com</cp:lastModifiedBy>
  <cp:lastPrinted>2016-12-15T13:00:00Z</cp:lastPrinted>
  <dcterms:modified xsi:type="dcterms:W3CDTF">2026-07-16T15:21:35Z</dcterms:modified>
  <cp:revision>143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