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 Нерегламентированной закупки по лоту №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>41077729-ЭКСП ПРОД-2026-БурГЭС</w:t>
      </w:r>
    </w:p>
    <w:p>
      <w:pPr>
        <w:pStyle w:val="Normal"/>
        <w:keepNext w:val="true"/>
        <w:keepLines/>
        <w:spacing w:lineRule="auto" w:line="240"/>
        <w:ind w:hanging="0"/>
        <w:jc w:val="center"/>
        <w:rPr>
          <w:b/>
          <w:bCs/>
        </w:rPr>
      </w:pPr>
      <w:r>
        <w:rPr>
          <w:b/>
          <w:bCs/>
          <w:kern w:val="2"/>
          <w:sz w:val="26"/>
          <w:szCs w:val="26"/>
          <w:shd w:fill="auto" w:val="clear"/>
        </w:rPr>
        <w:t>«</w:t>
      </w:r>
      <w:r>
        <w:rPr>
          <w:b/>
          <w:bCs/>
          <w:color w:val="000000"/>
          <w:spacing w:val="-4"/>
          <w:w w:val="105"/>
          <w:kern w:val="2"/>
          <w:sz w:val="26"/>
          <w:szCs w:val="26"/>
          <w:shd w:fill="auto" w:val="clear"/>
        </w:rPr>
        <w:t>ОКПД2 71.20.19.190 Освидетельствование баллонов объекта 04/05 Бурейской ГЭС с целью продления срока службы</w:t>
      </w:r>
      <w:r>
        <w:rPr>
          <w:b/>
          <w:bCs/>
          <w:kern w:val="0"/>
          <w:sz w:val="26"/>
          <w:szCs w:val="26"/>
          <w:shd w:fill="auto" w:val="clear"/>
        </w:rPr>
        <w:t>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color w:val="000000"/>
          <w:sz w:val="24"/>
          <w:szCs w:val="24"/>
        </w:rPr>
        <w:t xml:space="preserve">нерегламентированной закупки на право заключения договора по </w:t>
      </w:r>
      <w:r>
        <w:rPr>
          <w:bCs/>
          <w:color w:val="000000"/>
          <w:sz w:val="24"/>
          <w:szCs w:val="24"/>
        </w:rPr>
        <w:t xml:space="preserve">лоту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41077729-ЭКСП ПРОД-2026-БурГЭС</w:t>
      </w:r>
      <w:r>
        <w:rPr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b w:val="false"/>
          <w:bCs w:val="false"/>
          <w:kern w:val="2"/>
          <w:sz w:val="24"/>
          <w:szCs w:val="24"/>
          <w:shd w:fill="auto" w:val="clear"/>
        </w:rPr>
        <w:t>«</w:t>
      </w:r>
      <w:r>
        <w:rPr>
          <w:b w:val="false"/>
          <w:bCs w:val="false"/>
          <w:color w:val="000000"/>
          <w:spacing w:val="-4"/>
          <w:w w:val="105"/>
          <w:kern w:val="2"/>
          <w:sz w:val="24"/>
          <w:szCs w:val="24"/>
          <w:shd w:fill="auto" w:val="clear"/>
        </w:rPr>
        <w:t>ОКПД2 71.20.19.190 Освидетельствование баллонов объекта 04/05 Бурейской ГЭС с целью продления срока службы</w:t>
      </w:r>
      <w:r>
        <w:rPr>
          <w:b w:val="false"/>
          <w:bCs w:val="false"/>
          <w:kern w:val="0"/>
          <w:sz w:val="24"/>
          <w:szCs w:val="24"/>
          <w:shd w:fill="auto" w:val="clear"/>
        </w:rPr>
        <w:t>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</w:t>
      </w:r>
      <w:r>
        <w:rPr>
          <w:color w:val="000000"/>
          <w:sz w:val="24"/>
          <w:szCs w:val="24"/>
          <w:shd w:fill="auto" w:val="clear"/>
        </w:rPr>
        <w:t>до 08:00 (МСК) 2</w:t>
      </w:r>
      <w:r>
        <w:rPr>
          <w:color w:val="000000"/>
          <w:sz w:val="24"/>
          <w:szCs w:val="24"/>
          <w:shd w:fill="auto" w:val="clear"/>
        </w:rPr>
        <w:t>4</w:t>
      </w:r>
      <w:r>
        <w:rPr>
          <w:color w:val="000000"/>
          <w:sz w:val="24"/>
          <w:szCs w:val="24"/>
          <w:shd w:fill="auto" w:val="clear"/>
        </w:rPr>
        <w:t>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2</Pages>
  <Words>486</Words>
  <Characters>3471</Characters>
  <CharactersWithSpaces>3912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2026-07-17T09:06:43Z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