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</w:rPr>
      </w:pPr>
      <w:r>
        <w:rPr>
          <w:color w:val="000000"/>
        </w:rPr>
        <w:t xml:space="preserve">   </w:t>
      </w:r>
    </w:p>
    <w:p>
      <w:pPr>
        <w:pStyle w:val="Normal"/>
        <w:jc w:val="right"/>
        <w:rPr>
          <w:rFonts w:eastAsia="Calibri"/>
        </w:rPr>
      </w:pPr>
      <w:r>
        <w:rPr>
          <w:color w:val="000000"/>
        </w:rPr>
        <w:t xml:space="preserve"> 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exact" w:line="285" w:before="76" w:after="0"/>
        <w:ind w:right="516" w:hanging="0"/>
        <w:jc w:val="right"/>
        <w:rPr>
          <w:sz w:val="25"/>
        </w:rPr>
      </w:pPr>
      <w:r>
        <w:rPr>
          <w:sz w:val="25"/>
        </w:rPr>
      </w:r>
    </w:p>
    <w:p>
      <w:pPr>
        <w:pStyle w:val="Normal"/>
        <w:spacing w:lineRule="exact" w:line="285" w:before="76" w:after="0"/>
        <w:ind w:right="516" w:hanging="0"/>
        <w:jc w:val="right"/>
        <w:rPr>
          <w:sz w:val="25"/>
        </w:rPr>
      </w:pPr>
      <w:r>
        <w:rPr>
          <w:sz w:val="25"/>
        </w:rPr>
      </w:r>
    </w:p>
    <w:p>
      <w:pPr>
        <w:pStyle w:val="Normal"/>
        <w:spacing w:lineRule="exact" w:line="285" w:before="76" w:after="0"/>
        <w:ind w:right="516" w:hanging="0"/>
        <w:jc w:val="righ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spacing w:before="66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1" w:after="0"/>
        <w:ind w:left="218" w:right="484" w:hanging="0"/>
        <w:jc w:val="center"/>
        <w:rPr>
          <w:b/>
        </w:rPr>
      </w:pPr>
      <w:r>
        <w:rPr>
          <w:b/>
          <w:color w:val="151515"/>
          <w:w w:val="105"/>
        </w:rPr>
        <w:t>ТЕХНИЧЕСКИЕ</w:t>
      </w:r>
      <w:r>
        <w:rPr>
          <w:b/>
          <w:color w:val="151515"/>
          <w:spacing w:val="16"/>
          <w:w w:val="105"/>
        </w:rPr>
        <w:t xml:space="preserve"> </w:t>
      </w:r>
      <w:r>
        <w:rPr>
          <w:b/>
          <w:spacing w:val="-2"/>
          <w:w w:val="105"/>
        </w:rPr>
        <w:t>ТРЕБОВАНИЯ</w:t>
      </w:r>
    </w:p>
    <w:p>
      <w:pPr>
        <w:pStyle w:val="BodyText"/>
        <w:spacing w:before="204" w:after="0"/>
        <w:ind w:left="241" w:right="484" w:hanging="0"/>
        <w:jc w:val="center"/>
        <w:rPr/>
      </w:pPr>
      <w:r>
        <w:rPr>
          <w:w w:val="105"/>
        </w:rPr>
        <w:t>ОКПД2 71.20.19.190. «Освидетельствование</w:t>
      </w:r>
      <w:r>
        <w:rPr>
          <w:color w:val="000000"/>
          <w:spacing w:val="-4"/>
          <w:w w:val="105"/>
        </w:rPr>
        <w:t xml:space="preserve"> баллонов объекта 04/05 Бурейской ГЭС с целью продления срока службы»</w:t>
      </w:r>
    </w:p>
    <w:p>
      <w:pPr>
        <w:pStyle w:val="BodyText"/>
        <w:spacing w:before="204" w:after="0"/>
        <w:ind w:left="241" w:right="484" w:hanging="0"/>
        <w:jc w:val="center"/>
        <w:rPr>
          <w:spacing w:val="-4"/>
          <w:w w:val="105"/>
        </w:rPr>
      </w:pPr>
      <w:r>
        <w:rPr>
          <w:spacing w:val="-4"/>
          <w:w w:val="105"/>
        </w:rPr>
      </w:r>
    </w:p>
    <w:p>
      <w:pPr>
        <w:pStyle w:val="BodyText"/>
        <w:spacing w:before="204" w:after="0"/>
        <w:ind w:left="241" w:right="484" w:hanging="0"/>
        <w:jc w:val="center"/>
        <w:rPr>
          <w:spacing w:val="-4"/>
          <w:w w:val="105"/>
        </w:rPr>
      </w:pPr>
      <w:r>
        <w:rPr>
          <w:spacing w:val="-4"/>
          <w:w w:val="105"/>
        </w:rPr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10" w:after="0"/>
        <w:rPr/>
      </w:pPr>
      <w:r>
        <w:rPr/>
      </w:r>
    </w:p>
    <w:p>
      <w:pPr>
        <w:sectPr>
          <w:type w:val="nextPage"/>
          <w:pgSz w:w="11906" w:h="16838"/>
          <w:pgMar w:left="850" w:right="425" w:gutter="0" w:header="0" w:top="560" w:footer="0" w:bottom="280"/>
          <w:pgNumType w:fmt="decimal"/>
          <w:formProt w:val="false"/>
          <w:textDirection w:val="lrTb"/>
          <w:docGrid w:type="default" w:linePitch="299" w:charSpace="8192"/>
        </w:sectPr>
        <w:pStyle w:val="BodyText"/>
        <w:spacing w:before="1" w:after="0"/>
        <w:ind w:left="254" w:right="484" w:hanging="0"/>
        <w:jc w:val="center"/>
        <w:rPr/>
      </w:pPr>
      <w:r>
        <w:rPr>
          <w:w w:val="105"/>
        </w:rPr>
        <w:t>пгт.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Талакан</w:t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0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СОДЕРЖАНИЕ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247"/>
        <w:gridCol w:w="1067"/>
      </w:tblGrid>
      <w:tr>
        <w:trPr/>
        <w:tc>
          <w:tcPr>
            <w:tcW w:w="9247" w:type="dxa"/>
            <w:tcBorders/>
          </w:tcPr>
          <w:p>
            <w:pPr>
              <w:pStyle w:val="Style14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Общие сведения</w:t>
            </w:r>
          </w:p>
        </w:tc>
        <w:tc>
          <w:tcPr>
            <w:tcW w:w="106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>
        <w:trPr/>
        <w:tc>
          <w:tcPr>
            <w:tcW w:w="924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1.1 Обозначения и сокращения</w:t>
            </w:r>
          </w:p>
        </w:tc>
        <w:tc>
          <w:tcPr>
            <w:tcW w:w="106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>
        <w:trPr/>
        <w:tc>
          <w:tcPr>
            <w:tcW w:w="924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1.2. </w:t>
            </w:r>
            <w:r>
              <w:rPr>
                <w:sz w:val="28"/>
                <w:szCs w:val="28"/>
                <w:lang w:val="en-US"/>
              </w:rPr>
              <w:t>Наименование закупаемых услуг</w:t>
            </w:r>
          </w:p>
        </w:tc>
        <w:tc>
          <w:tcPr>
            <w:tcW w:w="106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>
        <w:trPr/>
        <w:tc>
          <w:tcPr>
            <w:tcW w:w="924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1.3. </w:t>
            </w:r>
            <w:r>
              <w:rPr>
                <w:sz w:val="28"/>
                <w:szCs w:val="28"/>
                <w:lang w:val="en-US"/>
              </w:rPr>
              <w:t>Цель оказания услуг</w:t>
            </w:r>
          </w:p>
        </w:tc>
        <w:tc>
          <w:tcPr>
            <w:tcW w:w="106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>
        <w:trPr/>
        <w:tc>
          <w:tcPr>
            <w:tcW w:w="924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1.4. </w:t>
            </w:r>
            <w:r>
              <w:rPr>
                <w:sz w:val="28"/>
                <w:szCs w:val="28"/>
                <w:lang w:val="en-US"/>
              </w:rPr>
              <w:t>Существующее положение</w:t>
            </w:r>
          </w:p>
        </w:tc>
        <w:tc>
          <w:tcPr>
            <w:tcW w:w="106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>
        <w:trPr/>
        <w:tc>
          <w:tcPr>
            <w:tcW w:w="9247" w:type="dxa"/>
            <w:tcBorders/>
          </w:tcPr>
          <w:p>
            <w:pPr>
              <w:pStyle w:val="Style14"/>
              <w:widowControl w:val="false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>
              <w:rPr>
                <w:b/>
                <w:sz w:val="28"/>
                <w:szCs w:val="28"/>
                <w:lang w:val="en-US"/>
              </w:rPr>
              <w:t xml:space="preserve">Требования к услугам </w:t>
            </w:r>
          </w:p>
        </w:tc>
        <w:tc>
          <w:tcPr>
            <w:tcW w:w="106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>
        <w:trPr/>
        <w:tc>
          <w:tcPr>
            <w:tcW w:w="924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Требования к объёмам и срокам оказания услуг</w:t>
            </w:r>
          </w:p>
        </w:tc>
        <w:tc>
          <w:tcPr>
            <w:tcW w:w="106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>
        <w:trPr/>
        <w:tc>
          <w:tcPr>
            <w:tcW w:w="924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 Требования к перечню и объёму услуг</w:t>
            </w:r>
          </w:p>
        </w:tc>
        <w:tc>
          <w:tcPr>
            <w:tcW w:w="106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/>
        <w:tc>
          <w:tcPr>
            <w:tcW w:w="924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Требования к срокам оказания услуг</w:t>
            </w:r>
          </w:p>
        </w:tc>
        <w:tc>
          <w:tcPr>
            <w:tcW w:w="106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>
        <w:trPr/>
        <w:tc>
          <w:tcPr>
            <w:tcW w:w="924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2.2. </w:t>
            </w:r>
            <w:r>
              <w:rPr>
                <w:sz w:val="28"/>
                <w:szCs w:val="28"/>
                <w:lang w:val="en-US"/>
              </w:rPr>
              <w:t>Требования к качеству услуг</w:t>
            </w:r>
          </w:p>
        </w:tc>
        <w:tc>
          <w:tcPr>
            <w:tcW w:w="106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>
        <w:trPr/>
        <w:tc>
          <w:tcPr>
            <w:tcW w:w="9247" w:type="dxa"/>
            <w:tcBorders/>
          </w:tcPr>
          <w:p>
            <w:pPr>
              <w:pStyle w:val="Style14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6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9247" w:type="dxa"/>
            <w:tcBorders/>
          </w:tcPr>
          <w:p>
            <w:pPr>
              <w:pStyle w:val="Style14"/>
              <w:widowControl w:val="false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</w:tc>
        <w:tc>
          <w:tcPr>
            <w:tcW w:w="106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9247" w:type="dxa"/>
            <w:tcBorders/>
          </w:tcPr>
          <w:p>
            <w:pPr>
              <w:pStyle w:val="Style14"/>
              <w:widowControl w:val="false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</w:tc>
        <w:tc>
          <w:tcPr>
            <w:tcW w:w="106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</w:tbl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620" w:hanging="0"/>
        <w:jc w:val="center"/>
        <w:rPr/>
      </w:pPr>
      <w:r>
        <w:rPr>
          <w:spacing w:val="-2"/>
        </w:rPr>
        <w:t>1. Общие сведения</w:t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0"/>
        <w:rPr/>
      </w:pPr>
      <w:r>
        <w:rPr>
          <w:spacing w:val="-2"/>
        </w:rPr>
        <w:t>1.1. Обозначения и сокращения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034"/>
        <w:gridCol w:w="9280"/>
      </w:tblGrid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rPr/>
            </w:pPr>
            <w:r>
              <w:rPr/>
              <w:t>НК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rPr/>
            </w:pPr>
            <w:r>
              <w:rPr/>
              <w:t>Неразрушающий контроль</w:t>
            </w:r>
          </w:p>
        </w:tc>
      </w:tr>
      <w:tr>
        <w:trPr/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rPr/>
            </w:pPr>
            <w:r>
              <w:rPr/>
              <w:t>НТД</w:t>
            </w:r>
          </w:p>
        </w:tc>
        <w:tc>
          <w:tcPr>
            <w:tcW w:w="9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rPr>
                <w:lang w:val="en-US"/>
              </w:rPr>
            </w:pPr>
            <w:r>
              <w:rPr/>
              <w:t xml:space="preserve">нормативно-техническая </w:t>
            </w:r>
            <w:r>
              <w:rPr>
                <w:lang w:val="en-US"/>
              </w:rPr>
              <w:t>документация</w:t>
            </w:r>
          </w:p>
        </w:tc>
      </w:tr>
      <w:tr>
        <w:trPr/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rPr>
                <w:lang w:val="en-US"/>
              </w:rPr>
            </w:pPr>
            <w:r>
              <w:rPr>
                <w:lang w:val="en-US"/>
              </w:rPr>
              <w:t>ТТ</w:t>
            </w:r>
          </w:p>
        </w:tc>
        <w:tc>
          <w:tcPr>
            <w:tcW w:w="9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rPr>
                <w:lang w:val="en-US"/>
              </w:rPr>
            </w:pPr>
            <w:r>
              <w:rPr>
                <w:lang w:val="en-US"/>
              </w:rPr>
              <w:t>Технические требования</w:t>
            </w:r>
          </w:p>
        </w:tc>
      </w:tr>
      <w:tr>
        <w:trPr/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rPr>
                <w:lang w:val="en-US"/>
              </w:rPr>
            </w:pPr>
            <w:r>
              <w:rPr>
                <w:lang w:val="en-US"/>
              </w:rPr>
              <w:t>ЭПБ</w:t>
            </w:r>
          </w:p>
        </w:tc>
        <w:tc>
          <w:tcPr>
            <w:tcW w:w="9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rPr>
                <w:lang w:val="en-US"/>
              </w:rPr>
            </w:pPr>
            <w:r>
              <w:rPr>
                <w:lang w:val="en-US"/>
              </w:rPr>
              <w:t>Экспертиза промышленной безопасности</w:t>
            </w:r>
          </w:p>
        </w:tc>
      </w:tr>
    </w:tbl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0"/>
        <w:rPr/>
      </w:pPr>
      <w:r>
        <w:rPr>
          <w:spacing w:val="-2"/>
        </w:rPr>
        <w:t>1.2. Наименование</w:t>
      </w:r>
      <w:r>
        <w:rPr>
          <w:spacing w:val="3"/>
        </w:rPr>
        <w:t xml:space="preserve"> </w:t>
      </w:r>
      <w:r>
        <w:rPr>
          <w:spacing w:val="-2"/>
        </w:rPr>
        <w:t>закупаемых услуг</w:t>
      </w:r>
      <w:r>
        <w:rPr>
          <w:b w:val="false"/>
          <w:spacing w:val="-2"/>
        </w:rPr>
        <w:t>.</w:t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0"/>
        <w:rPr/>
      </w:pPr>
      <w:r>
        <w:rPr/>
      </w:r>
    </w:p>
    <w:p>
      <w:pPr>
        <w:pStyle w:val="BodyText"/>
        <w:widowControl w:val="false"/>
        <w:suppressAutoHyphens w:val="true"/>
        <w:bidi w:val="0"/>
        <w:spacing w:lineRule="exact" w:line="275" w:before="0" w:after="0"/>
        <w:ind w:left="227" w:right="0" w:hanging="0"/>
        <w:jc w:val="both"/>
        <w:rPr/>
      </w:pPr>
      <w:r>
        <w:rPr>
          <w:spacing w:val="-2"/>
        </w:rPr>
        <w:tab/>
      </w:r>
      <w:r>
        <w:rPr>
          <w:spacing w:val="-2"/>
          <w:w w:val="105"/>
        </w:rPr>
        <w:t>ОКПД2 71.20.19.190. «Освидетельствование</w:t>
      </w:r>
      <w:r>
        <w:rPr>
          <w:color w:val="000000"/>
          <w:spacing w:val="-4"/>
          <w:w w:val="105"/>
        </w:rPr>
        <w:t xml:space="preserve"> баллонов объекта 04/05 Бурейской ГЭС с целью продления срока службы».</w:t>
      </w:r>
    </w:p>
    <w:p>
      <w:pPr>
        <w:pStyle w:val="BodyText"/>
        <w:rPr/>
      </w:pPr>
      <w:r>
        <w:rPr/>
      </w:r>
    </w:p>
    <w:p>
      <w:pPr>
        <w:pStyle w:val="ListParagraph"/>
        <w:tabs>
          <w:tab w:val="clear" w:pos="720"/>
          <w:tab w:val="left" w:pos="588" w:leader="none"/>
        </w:tabs>
        <w:ind w:left="964" w:hanging="0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1.3.   Цель оказания услуг</w:t>
      </w:r>
    </w:p>
    <w:p>
      <w:pPr>
        <w:pStyle w:val="ListParagraph"/>
        <w:tabs>
          <w:tab w:val="clear" w:pos="720"/>
          <w:tab w:val="left" w:pos="588" w:leader="none"/>
        </w:tabs>
        <w:ind w:left="964" w:hanging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ListParagraph"/>
        <w:widowControl w:val="false"/>
        <w:tabs>
          <w:tab w:val="clear" w:pos="720"/>
          <w:tab w:val="left" w:pos="588" w:leader="none"/>
        </w:tabs>
        <w:suppressAutoHyphens w:val="true"/>
        <w:bidi w:val="0"/>
        <w:spacing w:before="0" w:after="0"/>
        <w:ind w:left="227" w:right="0" w:firstLine="510"/>
        <w:contextualSpacing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Целью оказания услуг является п</w:t>
      </w:r>
      <w:r>
        <w:rPr>
          <w:rFonts w:eastAsia="Calibri"/>
          <w:color w:val="000000"/>
          <w:spacing w:val="2"/>
          <w:sz w:val="24"/>
          <w:szCs w:val="24"/>
        </w:rPr>
        <w:t xml:space="preserve">роведение экспертизы промышленной безопасности сосудов, работающих под избыточным давлением в соответствии с Таблицей 2 с оформлением и выдачей Заказчику </w:t>
      </w:r>
      <w:r>
        <w:rPr>
          <w:rFonts w:eastAsia="Calibri"/>
          <w:color w:val="000000"/>
          <w:spacing w:val="-4"/>
          <w:sz w:val="24"/>
          <w:szCs w:val="24"/>
        </w:rPr>
        <w:t>заключения с определением срока безопасной эксплуатации сосудов.</w:t>
      </w:r>
    </w:p>
    <w:p>
      <w:pPr>
        <w:pStyle w:val="ListParagraph"/>
        <w:tabs>
          <w:tab w:val="clear" w:pos="720"/>
          <w:tab w:val="left" w:pos="588" w:leader="none"/>
        </w:tabs>
        <w:ind w:left="964" w:hanging="0"/>
        <w:jc w:val="both"/>
        <w:rPr>
          <w:rFonts w:eastAsia="Calibri"/>
          <w:color w:val="000000"/>
          <w:spacing w:val="-4"/>
          <w:sz w:val="24"/>
          <w:szCs w:val="24"/>
        </w:rPr>
      </w:pPr>
      <w:r>
        <w:rPr>
          <w:rFonts w:eastAsia="Calibri"/>
          <w:color w:val="000000"/>
          <w:spacing w:val="-4"/>
          <w:sz w:val="24"/>
          <w:szCs w:val="24"/>
        </w:rPr>
      </w:r>
    </w:p>
    <w:p>
      <w:pPr>
        <w:pStyle w:val="ListParagraph"/>
        <w:tabs>
          <w:tab w:val="clear" w:pos="720"/>
          <w:tab w:val="left" w:pos="588" w:leader="none"/>
        </w:tabs>
        <w:ind w:left="964" w:hanging="0"/>
        <w:jc w:val="both"/>
        <w:rPr>
          <w:sz w:val="24"/>
          <w:szCs w:val="24"/>
        </w:rPr>
      </w:pPr>
      <w:r>
        <w:rPr>
          <w:rFonts w:eastAsia="Calibri"/>
          <w:b/>
          <w:bCs/>
          <w:color w:val="000000"/>
          <w:spacing w:val="-4"/>
          <w:sz w:val="24"/>
          <w:szCs w:val="24"/>
        </w:rPr>
        <w:t>1.4. Существующее положение</w:t>
      </w:r>
    </w:p>
    <w:p>
      <w:pPr>
        <w:pStyle w:val="ListParagraph"/>
        <w:tabs>
          <w:tab w:val="clear" w:pos="720"/>
          <w:tab w:val="left" w:pos="588" w:leader="none"/>
        </w:tabs>
        <w:ind w:left="964" w:hanging="737"/>
        <w:jc w:val="both"/>
        <w:rPr>
          <w:rFonts w:eastAsia="Calibri"/>
          <w:b/>
          <w:bCs/>
          <w:color w:val="000000"/>
          <w:spacing w:val="-4"/>
          <w:sz w:val="24"/>
          <w:szCs w:val="24"/>
        </w:rPr>
      </w:pPr>
      <w:r>
        <w:rPr>
          <w:rFonts w:eastAsia="Calibri"/>
          <w:b/>
          <w:bCs/>
          <w:color w:val="000000"/>
          <w:spacing w:val="-4"/>
          <w:sz w:val="24"/>
          <w:szCs w:val="24"/>
        </w:rPr>
      </w:r>
    </w:p>
    <w:p>
      <w:pPr>
        <w:pStyle w:val="ListParagraph"/>
        <w:widowControl w:val="false"/>
        <w:tabs>
          <w:tab w:val="clear" w:pos="720"/>
          <w:tab w:val="left" w:pos="588" w:leader="none"/>
        </w:tabs>
        <w:suppressAutoHyphens w:val="true"/>
        <w:bidi w:val="0"/>
        <w:spacing w:before="0" w:after="0"/>
        <w:ind w:left="283" w:right="0" w:firstLine="454"/>
        <w:contextualSpacing/>
        <w:jc w:val="both"/>
        <w:rPr>
          <w:sz w:val="24"/>
          <w:szCs w:val="24"/>
        </w:rPr>
      </w:pPr>
      <w:r>
        <w:rPr>
          <w:rFonts w:eastAsia="Calibri"/>
          <w:color w:val="000000"/>
          <w:spacing w:val="-4"/>
          <w:sz w:val="24"/>
          <w:szCs w:val="24"/>
        </w:rPr>
        <w:t>В настоящее время на Филиале ПАО «РусГидро» - «Бурейская ГЭС» установлено оборудование, работающее под избыточным давлением, в отношении которого необходимо проведение экспертизы промышленной безопасности, с целью определения возможности продления срока его эксплуатации.</w:t>
      </w:r>
    </w:p>
    <w:p>
      <w:pPr>
        <w:pStyle w:val="ListParagraph"/>
        <w:tabs>
          <w:tab w:val="clear" w:pos="720"/>
          <w:tab w:val="left" w:pos="588" w:leader="none"/>
        </w:tabs>
        <w:ind w:left="964" w:hanging="737"/>
        <w:jc w:val="both"/>
        <w:rPr>
          <w:rFonts w:eastAsia="Calibri"/>
          <w:b/>
          <w:bCs/>
          <w:color w:val="000000"/>
          <w:spacing w:val="-4"/>
          <w:sz w:val="24"/>
          <w:szCs w:val="24"/>
        </w:rPr>
      </w:pPr>
      <w:r>
        <w:rPr>
          <w:rFonts w:eastAsia="Calibri"/>
          <w:b/>
          <w:bCs/>
          <w:color w:val="000000"/>
          <w:spacing w:val="-4"/>
          <w:sz w:val="24"/>
          <w:szCs w:val="24"/>
        </w:rPr>
      </w:r>
    </w:p>
    <w:p>
      <w:pPr>
        <w:pStyle w:val="ListParagraph"/>
        <w:tabs>
          <w:tab w:val="clear" w:pos="720"/>
          <w:tab w:val="left" w:pos="588" w:leader="none"/>
        </w:tabs>
        <w:ind w:left="964" w:hanging="737"/>
        <w:jc w:val="both"/>
        <w:rPr>
          <w:sz w:val="24"/>
          <w:szCs w:val="24"/>
        </w:rPr>
      </w:pPr>
      <w:r>
        <w:rPr>
          <w:rFonts w:eastAsia="Calibri"/>
          <w:b/>
          <w:bCs/>
          <w:color w:val="000000"/>
          <w:spacing w:val="-4"/>
          <w:sz w:val="24"/>
          <w:szCs w:val="24"/>
        </w:rPr>
        <w:t>Таблица 1. Перечень объектов Заказчика</w:t>
      </w:r>
    </w:p>
    <w:tbl>
      <w:tblPr>
        <w:tblW w:w="10108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85"/>
        <w:gridCol w:w="3118"/>
        <w:gridCol w:w="2065"/>
        <w:gridCol w:w="2065"/>
        <w:gridCol w:w="2075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(место оказания услуг)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04/05 Бурейской ГЭС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«Бурейская ГЭС», Российская Федерация, Амурская область, Бурейский район, пгт. Талакан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Баллоны для воздуха 20 шт., 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одного баллона 200 л, давление в баллонах200 кгс/см2</w:t>
            </w:r>
          </w:p>
        </w:tc>
      </w:tr>
    </w:tbl>
    <w:p>
      <w:pPr>
        <w:pStyle w:val="ListParagraph"/>
        <w:tabs>
          <w:tab w:val="clear" w:pos="720"/>
          <w:tab w:val="left" w:pos="588" w:leader="none"/>
        </w:tabs>
        <w:ind w:left="964" w:hanging="737"/>
        <w:jc w:val="both"/>
        <w:rPr>
          <w:rFonts w:eastAsia="Calibri"/>
          <w:b/>
          <w:bCs/>
          <w:color w:val="000000"/>
          <w:spacing w:val="-4"/>
          <w:sz w:val="24"/>
          <w:szCs w:val="24"/>
        </w:rPr>
      </w:pPr>
      <w:r>
        <w:rPr>
          <w:rFonts w:eastAsia="Calibri"/>
          <w:b/>
          <w:bCs/>
          <w:color w:val="000000"/>
          <w:spacing w:val="-4"/>
          <w:sz w:val="24"/>
          <w:szCs w:val="24"/>
        </w:rPr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z w:val="24"/>
          <w:szCs w:val="24"/>
        </w:rPr>
        <w:t>2. Требования</w:t>
      </w:r>
      <w:r>
        <w:rPr>
          <w:b/>
          <w:color w:val="000000"/>
          <w:spacing w:val="3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к</w:t>
      </w:r>
      <w:r>
        <w:rPr>
          <w:b/>
          <w:color w:val="000000"/>
          <w:spacing w:val="-3"/>
          <w:sz w:val="24"/>
          <w:szCs w:val="24"/>
        </w:rPr>
        <w:t xml:space="preserve"> услугам</w:t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2.1. Требования к объёмам и срокам оказания услуг</w:t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ab/>
        <w:tab/>
        <w:t>2.1.1. Требования к перечню и объёму услуг</w:t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tabs>
          <w:tab w:val="clear" w:pos="720"/>
          <w:tab w:val="left" w:pos="588" w:leader="none"/>
        </w:tabs>
        <w:ind w:left="227" w:hanging="0"/>
        <w:rPr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pacing w:val="-4"/>
          <w:sz w:val="24"/>
          <w:szCs w:val="24"/>
        </w:rPr>
        <w:t>Таблица 2.  Перечень и объём оказываемых услуг</w:t>
      </w:r>
    </w:p>
    <w:tbl>
      <w:tblPr>
        <w:tblW w:w="1066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075"/>
        <w:gridCol w:w="5329"/>
        <w:gridCol w:w="2670"/>
        <w:gridCol w:w="1585"/>
      </w:tblGrid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/>
              <w:ind w:left="23" w:right="3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промышленной безопасности сосудов, работающих под избыточным давлением. Объём сосуда — 200 л., расчётное давление — 200 кгс/см2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rFonts w:eastAsia="Calibri"/>
          <w:b/>
          <w:bCs/>
          <w:color w:val="000000"/>
          <w:spacing w:val="-2"/>
          <w:sz w:val="24"/>
          <w:szCs w:val="24"/>
        </w:rPr>
      </w:pPr>
      <w:r>
        <w:rPr>
          <w:rFonts w:eastAsia="Calibri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2"/>
          <w:sz w:val="24"/>
          <w:szCs w:val="24"/>
        </w:rPr>
        <w:tab/>
        <w:tab/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rFonts w:eastAsia="Calibri"/>
          <w:b/>
          <w:bCs/>
          <w:color w:val="000000"/>
          <w:spacing w:val="-2"/>
          <w:sz w:val="24"/>
          <w:szCs w:val="24"/>
        </w:rPr>
      </w:pPr>
      <w:r>
        <w:rPr>
          <w:rFonts w:eastAsia="Calibri"/>
          <w:b/>
          <w:bCs/>
          <w:color w:val="000000"/>
          <w:spacing w:val="-2"/>
          <w:sz w:val="24"/>
          <w:szCs w:val="24"/>
        </w:rPr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rFonts w:eastAsia="Calibri"/>
          <w:b/>
          <w:bCs/>
          <w:color w:val="000000"/>
          <w:spacing w:val="-2"/>
          <w:sz w:val="24"/>
          <w:szCs w:val="24"/>
        </w:rPr>
      </w:pPr>
      <w:r>
        <w:rPr>
          <w:rFonts w:eastAsia="Calibri"/>
          <w:b/>
          <w:bCs/>
          <w:color w:val="000000"/>
          <w:spacing w:val="-2"/>
          <w:sz w:val="24"/>
          <w:szCs w:val="24"/>
        </w:rPr>
        <w:t>2.1.2. Требования к срокам оказания услуг</w:t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tabs>
          <w:tab w:val="clear" w:pos="720"/>
          <w:tab w:val="left" w:pos="588" w:leader="none"/>
        </w:tabs>
        <w:ind w:left="227" w:hanging="0"/>
        <w:rPr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pacing w:val="-4"/>
          <w:sz w:val="24"/>
          <w:szCs w:val="24"/>
        </w:rPr>
        <w:t>Таблица 3.  Требования к срокам оказания услуг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034"/>
        <w:gridCol w:w="4904"/>
        <w:gridCol w:w="2425"/>
        <w:gridCol w:w="1951"/>
      </w:tblGrid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/>
              <w:ind w:left="23" w:right="3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промышленной безопасности сосудов, работающих под избыточным давлением. Объём сосуда — 200 л., расчётное давление — 200 кгс/см2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626" w:leader="none"/>
              </w:tabs>
              <w:spacing w:before="2" w:after="0"/>
              <w:ind w:left="265" w:hanging="0"/>
              <w:contextualSpacing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День, следующий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днем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подписания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договора.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622" w:leader="none"/>
              </w:tabs>
              <w:spacing w:before="3" w:after="0"/>
              <w:ind w:left="270" w:hanging="0"/>
              <w:contextualSpacing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622" w:leader="none"/>
              </w:tabs>
              <w:spacing w:before="3" w:after="0"/>
              <w:ind w:left="270" w:hanging="0"/>
              <w:contextualSpacing/>
              <w:rPr>
                <w:sz w:val="24"/>
                <w:szCs w:val="24"/>
              </w:rPr>
            </w:pPr>
            <w:r>
              <w:rPr>
                <w:color w:val="161616"/>
                <w:spacing w:val="-2"/>
                <w:sz w:val="24"/>
                <w:szCs w:val="24"/>
              </w:rPr>
              <w:t>до 01.12.2026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958" w:right="633" w:gutter="0" w:header="283" w:top="539" w:footer="0" w:bottom="890"/>
          <w:pgNumType w:fmt="decimal"/>
          <w:formProt w:val="false"/>
          <w:textDirection w:val="lrTb"/>
          <w:docGrid w:type="default" w:linePitch="299" w:charSpace="12288"/>
        </w:sect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rFonts w:eastAsia="Calibri"/>
          <w:b/>
          <w:bCs/>
          <w:color w:val="1D1D1D"/>
          <w:spacing w:val="-2"/>
          <w:sz w:val="28"/>
          <w:szCs w:val="28"/>
        </w:rPr>
      </w:pPr>
      <w:r>
        <w:rPr>
          <w:rFonts w:eastAsia="Calibri"/>
          <w:b/>
          <w:bCs/>
          <w:color w:val="1D1D1D"/>
          <w:spacing w:val="-2"/>
          <w:sz w:val="28"/>
          <w:szCs w:val="28"/>
        </w:rPr>
        <w:t xml:space="preserve"> </w:t>
      </w:r>
      <w:r>
        <w:rPr>
          <w:rFonts w:eastAsia="Calibri"/>
          <w:b/>
          <w:bCs/>
          <w:color w:val="1D1D1D"/>
          <w:spacing w:val="-2"/>
          <w:sz w:val="28"/>
          <w:szCs w:val="28"/>
        </w:rPr>
        <w:tab/>
        <w:tab/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rFonts w:eastAsia="Calibri"/>
          <w:b/>
          <w:bCs/>
          <w:color w:val="000000"/>
          <w:spacing w:val="-2"/>
          <w:sz w:val="28"/>
          <w:szCs w:val="28"/>
        </w:rPr>
      </w:pPr>
      <w:r>
        <w:rPr>
          <w:rFonts w:eastAsia="Calibri"/>
          <w:b/>
          <w:bCs/>
          <w:color w:val="000000"/>
          <w:spacing w:val="-2"/>
          <w:sz w:val="28"/>
          <w:szCs w:val="28"/>
        </w:rPr>
        <w:t>2.2. Требования к качеству услуг</w:t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color w:val="000000"/>
        </w:rPr>
      </w:pPr>
      <w:r>
        <w:rPr>
          <w:color w:val="000000"/>
        </w:rPr>
      </w:r>
    </w:p>
    <w:p>
      <w:pPr>
        <w:pStyle w:val="ListParagraph"/>
        <w:tabs>
          <w:tab w:val="clear" w:pos="720"/>
          <w:tab w:val="left" w:pos="588" w:leader="none"/>
        </w:tabs>
        <w:ind w:left="227" w:hanging="0"/>
        <w:rPr>
          <w:rFonts w:eastAsia="Calibri"/>
          <w:b/>
          <w:bCs/>
          <w:color w:val="000000"/>
          <w:spacing w:val="-4"/>
          <w:sz w:val="24"/>
          <w:szCs w:val="24"/>
        </w:rPr>
      </w:pPr>
      <w:r>
        <w:rPr>
          <w:rFonts w:eastAsia="Calibri"/>
          <w:b/>
          <w:bCs/>
          <w:color w:val="000000"/>
          <w:spacing w:val="-4"/>
          <w:sz w:val="24"/>
          <w:szCs w:val="24"/>
        </w:rPr>
        <w:t>Таблица 4.  Требования к качеству услуг</w:t>
      </w:r>
    </w:p>
    <w:p>
      <w:pPr>
        <w:pStyle w:val="ListParagraph"/>
        <w:tabs>
          <w:tab w:val="clear" w:pos="720"/>
          <w:tab w:val="left" w:pos="588" w:leader="none"/>
        </w:tabs>
        <w:ind w:left="227" w:hanging="0"/>
        <w:rPr>
          <w:rFonts w:eastAsia="Calibri"/>
          <w:b/>
          <w:bCs/>
          <w:color w:val="000000"/>
          <w:spacing w:val="-4"/>
          <w:sz w:val="24"/>
          <w:szCs w:val="24"/>
        </w:rPr>
      </w:pPr>
      <w:r>
        <w:rPr>
          <w:rFonts w:eastAsia="Calibri"/>
          <w:b/>
          <w:bCs/>
          <w:color w:val="000000"/>
          <w:spacing w:val="-4"/>
          <w:sz w:val="24"/>
          <w:szCs w:val="24"/>
        </w:rPr>
      </w:r>
    </w:p>
    <w:tbl>
      <w:tblPr>
        <w:tblStyle w:val="af5"/>
        <w:tblW w:w="1516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0"/>
        <w:gridCol w:w="3751"/>
        <w:gridCol w:w="10457"/>
      </w:tblGrid>
      <w:tr>
        <w:trPr>
          <w:trHeight w:val="225" w:hRule="atLeast"/>
        </w:trPr>
        <w:tc>
          <w:tcPr>
            <w:tcW w:w="9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kern w:val="0"/>
                <w:lang w:eastAsia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eastAsia="ru-RU" w:bidi="ar-SA"/>
              </w:rPr>
              <w:t>п/п</w:t>
            </w:r>
          </w:p>
        </w:tc>
        <w:tc>
          <w:tcPr>
            <w:tcW w:w="37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kern w:val="0"/>
                <w:lang w:eastAsia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 w:bidi="ar-SA"/>
              </w:rPr>
              <w:t>Наименование параметра</w:t>
            </w:r>
          </w:p>
        </w:tc>
        <w:tc>
          <w:tcPr>
            <w:tcW w:w="104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kern w:val="0"/>
                <w:lang w:eastAsia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9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kern w:val="0"/>
                <w:lang w:eastAsia="ru-RU" w:bidi="ar-SA"/>
              </w:rPr>
            </w:pPr>
            <w:r>
              <w:rPr>
                <w:b/>
                <w:kern w:val="0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37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kern w:val="0"/>
                <w:lang w:eastAsia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104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kern w:val="0"/>
                <w:lang w:eastAsia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 w:bidi="ar-SA"/>
              </w:rPr>
              <w:t>3</w:t>
            </w:r>
          </w:p>
        </w:tc>
      </w:tr>
      <w:tr>
        <w:trPr>
          <w:trHeight w:val="103" w:hRule="atLeast"/>
        </w:trPr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142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kern w:val="0"/>
                <w:lang w:eastAsia="ru-RU" w:bidi="ar-SA"/>
              </w:rPr>
            </w:pPr>
            <w:r>
              <w:rPr>
                <w:b/>
                <w:kern w:val="0"/>
                <w:sz w:val="24"/>
                <w:szCs w:val="24"/>
                <w:lang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751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>Общие требования к оказанию услуг</w:t>
            </w:r>
          </w:p>
        </w:tc>
        <w:tc>
          <w:tcPr>
            <w:tcW w:w="104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Услуги оказываются в отношении объектов Заказчика, указанных в Таблице №1 в соответствии с Таблицей №2.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>Экспертиза промышленной безопасности сосудов проводится в соответствии с Федеральными нормами и правилами в области промышленной безопасности "Правила проведения экспертизы промышленной безопасности" утвержденных Приказом Ростехнадзора от 20.10.2020 № 420. Экспертиза промышленной безопасности оборудования выполняется в следующей последовательности: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анализ технической документации на оборудование;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визуальный осмотр элементов;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инструментальное обследование (проведение неразрушающего контроля);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контроль функционирования оборудования;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диагностирование технического состояния оборудования;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испытание оборудования на прочность и герметичность;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расчет остаточного срока службы;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>анализ результатов экспертизы, выводы и рекомендации.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34" w:hanging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При оказании услуг необходимо соблюдать следующие требования: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06" w:leader="none"/>
              </w:tabs>
              <w:suppressAutoHyphens w:val="true"/>
              <w:spacing w:before="0" w:after="0"/>
              <w:ind w:left="0" w:right="122" w:hanging="0"/>
              <w:contextualSpacing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0"/>
                <w:lang w:eastAsia="ru-RU" w:bidi="ar-SA"/>
              </w:rPr>
              <w:t>1. Исполнитель</w:t>
            </w:r>
            <w:r>
              <w:rPr>
                <w:spacing w:val="27"/>
                <w:kern w:val="0"/>
                <w:sz w:val="24"/>
                <w:szCs w:val="20"/>
                <w:lang w:eastAsia="ru-RU" w:bidi="ar-SA"/>
              </w:rPr>
              <w:t xml:space="preserve"> </w:t>
            </w:r>
            <w:r>
              <w:rPr>
                <w:kern w:val="0"/>
                <w:sz w:val="24"/>
                <w:szCs w:val="20"/>
                <w:lang w:eastAsia="ru-RU" w:bidi="ar-SA"/>
              </w:rPr>
              <w:t>обеспечивает</w:t>
            </w:r>
            <w:r>
              <w:rPr>
                <w:spacing w:val="26"/>
                <w:kern w:val="0"/>
                <w:sz w:val="24"/>
                <w:szCs w:val="20"/>
                <w:lang w:eastAsia="ru-RU" w:bidi="ar-SA"/>
              </w:rPr>
              <w:t xml:space="preserve"> </w:t>
            </w:r>
            <w:r>
              <w:rPr>
                <w:kern w:val="0"/>
                <w:sz w:val="24"/>
                <w:szCs w:val="20"/>
                <w:lang w:eastAsia="ru-RU" w:bidi="ar-SA"/>
              </w:rPr>
              <w:t>соблюдение</w:t>
            </w:r>
            <w:r>
              <w:rPr>
                <w:spacing w:val="30"/>
                <w:kern w:val="0"/>
                <w:sz w:val="24"/>
                <w:szCs w:val="20"/>
                <w:lang w:eastAsia="ru-RU" w:bidi="ar-SA"/>
              </w:rPr>
              <w:t xml:space="preserve"> </w:t>
            </w:r>
            <w:r>
              <w:rPr>
                <w:kern w:val="0"/>
                <w:sz w:val="24"/>
                <w:szCs w:val="20"/>
                <w:lang w:eastAsia="ru-RU" w:bidi="ar-SA"/>
              </w:rPr>
              <w:t>техники</w:t>
            </w:r>
            <w:r>
              <w:rPr>
                <w:spacing w:val="24"/>
                <w:kern w:val="0"/>
                <w:sz w:val="24"/>
                <w:szCs w:val="20"/>
                <w:lang w:eastAsia="ru-RU" w:bidi="ar-SA"/>
              </w:rPr>
              <w:t xml:space="preserve"> </w:t>
            </w:r>
            <w:r>
              <w:rPr>
                <w:kern w:val="0"/>
                <w:sz w:val="24"/>
                <w:szCs w:val="20"/>
                <w:lang w:eastAsia="ru-RU" w:bidi="ar-SA"/>
              </w:rPr>
              <w:t>безопасности при оказании услуг, требований к</w:t>
            </w:r>
            <w:r>
              <w:rPr>
                <w:spacing w:val="-1"/>
                <w:kern w:val="0"/>
                <w:sz w:val="24"/>
                <w:szCs w:val="20"/>
                <w:lang w:eastAsia="ru-RU" w:bidi="ar-SA"/>
              </w:rPr>
              <w:t xml:space="preserve"> </w:t>
            </w:r>
            <w:r>
              <w:rPr>
                <w:kern w:val="0"/>
                <w:sz w:val="24"/>
                <w:szCs w:val="20"/>
                <w:lang w:eastAsia="ru-RU" w:bidi="ar-SA"/>
              </w:rPr>
              <w:t>квалификации</w:t>
            </w:r>
            <w:r>
              <w:rPr>
                <w:spacing w:val="28"/>
                <w:kern w:val="0"/>
                <w:sz w:val="24"/>
                <w:szCs w:val="20"/>
                <w:lang w:eastAsia="ru-RU" w:bidi="ar-SA"/>
              </w:rPr>
              <w:t xml:space="preserve"> </w:t>
            </w:r>
            <w:r>
              <w:rPr>
                <w:kern w:val="0"/>
                <w:sz w:val="24"/>
                <w:szCs w:val="20"/>
                <w:lang w:eastAsia="ru-RU" w:bidi="ar-SA"/>
              </w:rPr>
              <w:t>персонала.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522" w:leader="none"/>
                <w:tab w:val="left" w:pos="3169" w:leader="none"/>
                <w:tab w:val="left" w:pos="3807" w:leader="none"/>
                <w:tab w:val="left" w:pos="5996" w:leader="none"/>
              </w:tabs>
              <w:suppressAutoHyphens w:val="true"/>
              <w:spacing w:lineRule="exact" w:line="271" w:before="0" w:after="0"/>
              <w:ind w:left="0" w:hanging="0"/>
              <w:contextualSpacing/>
              <w:jc w:val="both"/>
              <w:rPr>
                <w:kern w:val="0"/>
                <w:lang w:eastAsia="ru-RU" w:bidi="ar-SA"/>
              </w:rPr>
            </w:pPr>
            <w:r>
              <w:rPr>
                <w:color w:val="000000"/>
                <w:spacing w:val="-2"/>
                <w:kern w:val="0"/>
                <w:sz w:val="24"/>
                <w:szCs w:val="24"/>
                <w:lang w:eastAsia="ru-RU" w:bidi="ar-SA"/>
              </w:rPr>
              <w:t>2. Допуск персонала Исполнителя для оказания услуг осуществляется в соответствии с Регламентом процесса «Допуск персонала подрядных организаций на объекты ПАО «РусГидро» (утв. Приказом ПАО «РусГидро» от 28.04.2023 №300)» осуществляется после выполнения всех необходимых организационно-технических мероприятий с обязательным оформлением необходимых распоряжений и наряд-допусков. Подготовку рабочих мест и допуск к выполнению услуг выполняет персонал Заказчика.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495" w:leader="none"/>
              </w:tabs>
              <w:suppressAutoHyphens w:val="true"/>
              <w:spacing w:lineRule="auto" w:line="235" w:before="1" w:after="0"/>
              <w:ind w:left="0" w:right="115" w:hanging="0"/>
              <w:contextualSpacing/>
              <w:jc w:val="both"/>
              <w:rPr>
                <w:sz w:val="24"/>
              </w:rPr>
            </w:pPr>
            <w:r>
              <w:rPr>
                <w:color w:val="000000"/>
                <w:spacing w:val="-2"/>
                <w:kern w:val="0"/>
                <w:sz w:val="24"/>
                <w:szCs w:val="24"/>
                <w:lang w:eastAsia="ru-RU" w:bidi="ar-SA"/>
              </w:rPr>
              <w:t>3. Согласование со службами Заказчика мест подключения временных коммуникаций (технические условия на подключения выдаются после получения от Исполнителя официального запроса с указанием потребных ресурсов в количественных и качественных показателях).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486" w:leader="none"/>
              </w:tabs>
              <w:suppressAutoHyphens w:val="true"/>
              <w:spacing w:before="0" w:after="0"/>
              <w:ind w:left="0" w:right="109" w:hanging="0"/>
              <w:contextualSpacing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0"/>
                <w:lang w:eastAsia="ru-RU" w:bidi="ar-SA"/>
              </w:rPr>
              <w:t xml:space="preserve">4. Текущий контроль оказания услуг должен включать в себя надзор за правильностью </w:t>
            </w:r>
            <w:r>
              <w:rPr>
                <w:color w:val="161616"/>
                <w:kern w:val="0"/>
                <w:sz w:val="24"/>
                <w:szCs w:val="20"/>
                <w:lang w:eastAsia="ru-RU" w:bidi="ar-SA"/>
              </w:rPr>
              <w:t xml:space="preserve">и </w:t>
            </w:r>
            <w:r>
              <w:rPr>
                <w:kern w:val="0"/>
                <w:sz w:val="24"/>
                <w:szCs w:val="20"/>
                <w:lang w:eastAsia="ru-RU" w:bidi="ar-SA"/>
              </w:rPr>
              <w:t>последовательностью выполнения отдельных технологических операций.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0"/>
                <w:lang w:eastAsia="ru-RU" w:bidi="ar-SA"/>
              </w:rPr>
              <w:t xml:space="preserve">5. Приемочный контроль. Перечень этапов </w:t>
            </w:r>
            <w:r>
              <w:rPr>
                <w:color w:val="2A2A2A"/>
                <w:kern w:val="0"/>
                <w:sz w:val="24"/>
                <w:szCs w:val="20"/>
                <w:lang w:eastAsia="ru-RU" w:bidi="ar-SA"/>
              </w:rPr>
              <w:t xml:space="preserve">и </w:t>
            </w:r>
            <w:r>
              <w:rPr>
                <w:kern w:val="0"/>
                <w:sz w:val="24"/>
                <w:szCs w:val="20"/>
                <w:lang w:eastAsia="ru-RU" w:bidi="ar-SA"/>
              </w:rPr>
              <w:t xml:space="preserve">видов оказания услуг, подлежащих приемке, должен быть согласован </w:t>
            </w:r>
            <w:r>
              <w:rPr>
                <w:color w:val="181818"/>
                <w:kern w:val="0"/>
                <w:sz w:val="24"/>
                <w:szCs w:val="20"/>
                <w:lang w:eastAsia="ru-RU" w:bidi="ar-SA"/>
              </w:rPr>
              <w:t xml:space="preserve">с </w:t>
            </w:r>
            <w:r>
              <w:rPr>
                <w:kern w:val="0"/>
                <w:sz w:val="24"/>
                <w:szCs w:val="20"/>
                <w:lang w:eastAsia="ru-RU" w:bidi="ar-SA"/>
              </w:rPr>
              <w:t>Заказчиком.</w:t>
            </w:r>
          </w:p>
        </w:tc>
      </w:tr>
      <w:tr>
        <w:trPr/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kern w:val="0"/>
                <w:sz w:val="24"/>
                <w:szCs w:val="24"/>
                <w:lang w:eastAsia="ru-RU" w:bidi="ar-SA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7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kern w:val="0"/>
                <w:lang w:eastAsia="ru-RU" w:bidi="ar-SA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>Соблюдение при оказании услуг норм и правил нормативно-технических документов</w:t>
            </w:r>
          </w:p>
        </w:tc>
        <w:tc>
          <w:tcPr>
            <w:tcW w:w="1045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132" w:hanging="0"/>
              <w:contextualSpacing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0"/>
                <w:lang w:eastAsia="ru-RU" w:bidi="ar-SA"/>
              </w:rPr>
              <w:t>Услуги оказываются в</w:t>
            </w:r>
            <w:r>
              <w:rPr>
                <w:spacing w:val="-13"/>
                <w:kern w:val="0"/>
                <w:sz w:val="24"/>
                <w:szCs w:val="20"/>
                <w:lang w:eastAsia="ru-RU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lang w:eastAsia="ru-RU" w:bidi="ar-SA"/>
              </w:rPr>
              <w:t>соответствии</w:t>
            </w:r>
            <w:r>
              <w:rPr>
                <w:spacing w:val="7"/>
                <w:kern w:val="0"/>
                <w:sz w:val="24"/>
                <w:szCs w:val="20"/>
                <w:lang w:eastAsia="ru-RU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lang w:eastAsia="ru-RU" w:bidi="ar-SA"/>
              </w:rPr>
              <w:t>с</w:t>
            </w:r>
            <w:r>
              <w:rPr>
                <w:spacing w:val="-10"/>
                <w:kern w:val="0"/>
                <w:sz w:val="24"/>
                <w:szCs w:val="20"/>
                <w:lang w:eastAsia="ru-RU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0"/>
                <w:lang w:eastAsia="ru-RU" w:bidi="ar-SA"/>
              </w:rPr>
              <w:t>НТД: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- Федеральный закон от 21.07.1997 №ФЗ-116 «О промышленной безопасности опасных производственных объектов»;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- Федеральные нормы и правила в области промышленной безопасности "Правила промышленной безопасности при использовании оборудования, работающего под избыточным давлением", утвержденные приказом Ростехнадзора от 15.12.2020 № 536;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- Федеральные нормы и правила в области промышленной безопасности "Правила проведения экспертизы промышленной безопасности" утвержденных Приказом Ростехнадзора от 20.10.2020 № 420;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- Технический регламент таможенного союза «О безопасности оборудования, работающего под давлением», утв. Решением совета евразийской экономической комиссии от 02.07.2013 №41.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-34" w:hanging="0"/>
              <w:contextualSpacing/>
              <w:jc w:val="both"/>
              <w:rPr>
                <w:kern w:val="0"/>
                <w:lang w:eastAsia="ru-RU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eastAsia="ru-RU" w:bidi="ar-SA"/>
              </w:rPr>
              <w:t>Инструкция «Оказание первой помощи при несчастных случаях на производстве электрической и тепловой энергии». Введена к применению распоряжением ПАО «РусГидро» от 11.08.2021 № 353р;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-34" w:hanging="0"/>
              <w:contextualSpacing/>
              <w:jc w:val="both"/>
              <w:rPr>
                <w:kern w:val="0"/>
                <w:lang w:eastAsia="ru-RU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eastAsia="ru-RU" w:bidi="ar-SA"/>
              </w:rPr>
              <w:t>Техническая политика ПАО «РусГидро» (действующая редакция);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eastAsia="ru-RU" w:bidi="ar-SA"/>
              </w:rPr>
              <w:t>Порядок хранения актов-допусков утв. Приказом Филиала ПАО «РусГидро» - «Бурейская ГЭС» от 25.02.2025 № БГЭС/78-119;</w:t>
            </w: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Деятельность Исполнителя должна соответствовать вышеперечисленным нормативным документам, в том числе рекомендациям по формам используемых Исполнителем документов при оказании услуг, а также иным нормам и правилам, которые предъявляются на территории РФ к организациям, оказывающим аналогичные услуги.</w:t>
            </w:r>
          </w:p>
        </w:tc>
      </w:tr>
      <w:tr>
        <w:trPr>
          <w:trHeight w:val="329" w:hRule="atLeast"/>
        </w:trPr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ind w:left="7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375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ar-SA"/>
              </w:rPr>
              <w:t>Условия оказания услуг</w:t>
            </w:r>
          </w:p>
        </w:tc>
        <w:tc>
          <w:tcPr>
            <w:tcW w:w="1045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42" w:hanging="0"/>
              <w:contextualSpacing/>
              <w:jc w:val="both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kern w:val="0"/>
                <w:sz w:val="24"/>
                <w:szCs w:val="24"/>
                <w:lang w:eastAsia="ru-RU" w:bidi="ar-SA"/>
              </w:rPr>
              <w:t>ЭПБ производится вблизи действующих электроустановок.</w:t>
            </w:r>
          </w:p>
        </w:tc>
      </w:tr>
      <w:tr>
        <w:trPr/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142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37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 xml:space="preserve">Наличие лаборатории неразрушающего </w:t>
            </w:r>
          </w:p>
        </w:tc>
        <w:tc>
          <w:tcPr>
            <w:tcW w:w="104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>Наличие лаборатории неразрушающего контроля, аттестованной в установленном порядке в соответствии с требованиями «СДАНК-01-2020. Правила аттестации и основные требования к лабораториям неразрушающего контроля» (приняты Решением Наблюдательного совета Единой системы оценки соответствия в области промышленной, экологической безопасности, безопасности в энергетике и строительстве от 29.12.2020 №99-БНС).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kern w:val="0"/>
                <w:lang w:eastAsia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Участник должен подтвердить выполнение данного требования, приложив в составе заявки копии подтверждающих документов.</w:t>
            </w:r>
          </w:p>
        </w:tc>
      </w:tr>
      <w:tr>
        <w:trPr/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142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kern w:val="0"/>
                <w:lang w:eastAsia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37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en-US" w:eastAsia="ru-RU" w:bidi="ar-SA"/>
              </w:rPr>
              <w:t>Требования к персоналу</w:t>
            </w:r>
          </w:p>
        </w:tc>
        <w:tc>
          <w:tcPr>
            <w:tcW w:w="104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70" w:leader="none"/>
                <w:tab w:val="left" w:pos="912" w:leader="none"/>
              </w:tabs>
              <w:suppressAutoHyphens w:val="true"/>
              <w:spacing w:before="0" w:after="0"/>
              <w:ind w:hanging="0"/>
              <w:contextualSpacing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kern w:val="0"/>
                <w:sz w:val="24"/>
                <w:szCs w:val="24"/>
                <w:lang w:eastAsia="ru-RU" w:bidi="ar-SA"/>
              </w:rPr>
              <w:t xml:space="preserve">Персонал Исполнителя должен соответствовать требования раздела II </w:t>
            </w:r>
            <w:r>
              <w:rPr>
                <w:spacing w:val="3"/>
                <w:kern w:val="0"/>
                <w:sz w:val="24"/>
                <w:szCs w:val="20"/>
                <w:lang w:eastAsia="ru-RU" w:bidi="ar-SA"/>
              </w:rPr>
              <w:t>Федеральных норм и правил в области промышленной безопасности "Правила проведения экспертизы промышленной безопасности", утвержденных Приказом Ростехнадзора от 20.10.2020 № 420</w:t>
            </w:r>
            <w:r>
              <w:rPr>
                <w:spacing w:val="3"/>
                <w:kern w:val="0"/>
                <w:sz w:val="24"/>
                <w:szCs w:val="24"/>
                <w:lang w:eastAsia="ru-RU" w:bidi="ar-SA"/>
              </w:rPr>
              <w:t xml:space="preserve">  и должен иметь удостоверения (сертификаты) установленной формы.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70" w:leader="none"/>
                <w:tab w:val="left" w:pos="912" w:leader="none"/>
              </w:tabs>
              <w:suppressAutoHyphens w:val="true"/>
              <w:spacing w:before="0" w:after="0"/>
              <w:ind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>Соответствие установленному требованию подтверждается путем представления Участником закупки в составе заявки сведений по форме «Справка о кадровых ресурсах», приведенной в Документации о закупке.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 xml:space="preserve">Копии документов об образовании рабочего персонала прикладываются к «Справке о кадровых ресурсах» закупочной Документации (копии дипломов о высшем/среднем профессиональном образовании, удостоверений о проверке знаний норм и Правил с группой по эл.безопасности, протоколов проверки знаний).   </w:t>
            </w:r>
          </w:p>
        </w:tc>
      </w:tr>
      <w:tr>
        <w:trPr/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hd w:fill="158466" w:val="clear"/>
              </w:rPr>
            </w:pPr>
            <w:r>
              <w:rPr>
                <w:shd w:fill="158466" w:val="clear"/>
              </w:rPr>
            </w:r>
          </w:p>
        </w:tc>
        <w:tc>
          <w:tcPr>
            <w:tcW w:w="375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Наличие Лицензии Ростехнадзора РФ на осуществление деятельности по проведению экспертизы промышленной безопасности</w:t>
            </w:r>
          </w:p>
        </w:tc>
        <w:tc>
          <w:tcPr>
            <w:tcW w:w="1045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227" w:right="170" w:hanging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Наличие Лицензии Ростехнадзора РФ на осуществление деятельности по проведению экспертизы промышленной безопасности, необходимо приложить копию документа.</w:t>
            </w:r>
          </w:p>
        </w:tc>
      </w:tr>
      <w:tr>
        <w:trPr/>
        <w:tc>
          <w:tcPr>
            <w:tcW w:w="96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1420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kern w:val="0"/>
                <w:lang w:eastAsia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 w:bidi="ar-SA"/>
              </w:rPr>
              <w:t xml:space="preserve">Требования к документации, описывающей результат оказания услуг </w:t>
            </w:r>
          </w:p>
        </w:tc>
      </w:tr>
      <w:tr>
        <w:trPr/>
        <w:tc>
          <w:tcPr>
            <w:tcW w:w="9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37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kern w:val="0"/>
                <w:lang w:eastAsia="ru-RU" w:bidi="ar-SA"/>
              </w:rPr>
            </w:pPr>
            <w:r>
              <w:rPr>
                <w:bCs/>
                <w:color w:val="000000"/>
                <w:kern w:val="0"/>
                <w:sz w:val="24"/>
                <w:szCs w:val="24"/>
                <w:lang w:eastAsia="ru-RU" w:bidi="ar-SA"/>
              </w:rPr>
              <w:t>Требования к исполнительной документации по результатам оценки соответствия</w:t>
            </w:r>
          </w:p>
        </w:tc>
        <w:tc>
          <w:tcPr>
            <w:tcW w:w="10457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  <w:shd w:fill="FFFF00" w:val="clear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 xml:space="preserve">Результатом проведения экспертизы является заключение, составленное и оформленное в соответствии с разделом </w:t>
            </w:r>
            <w:r>
              <w:rPr>
                <w:kern w:val="0"/>
                <w:sz w:val="24"/>
                <w:szCs w:val="24"/>
                <w:lang w:val="en-US" w:eastAsia="ru-RU" w:bidi="ar-SA"/>
              </w:rPr>
              <w:t>IV</w:t>
            </w: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 xml:space="preserve"> Федеральных</w:t>
            </w:r>
            <w:r>
              <w:rPr>
                <w:kern w:val="0"/>
                <w:sz w:val="24"/>
                <w:szCs w:val="24"/>
                <w:lang w:eastAsia="ru-RU" w:bidi="ar-SA"/>
              </w:rPr>
              <w:t xml:space="preserve"> норм и правил в области промышленной безопасности «Правила проведения экспертизы промышленной безопасности» (утв. приказом Ростехнадзора от 20.10.2020 N 420).</w:t>
            </w:r>
            <w:r>
              <w:rPr>
                <w:bCs/>
                <w:color w:val="000000"/>
                <w:kern w:val="0"/>
                <w:sz w:val="24"/>
                <w:szCs w:val="24"/>
                <w:lang w:eastAsia="ru-RU" w:bidi="ar-SA"/>
              </w:rPr>
              <w:t xml:space="preserve"> По окончанию предоставления услуг выдается заключение на оборудование с оценкой возможности дальнейшей эксплуатации данного оборудования, </w:t>
            </w:r>
            <w:r>
              <w:rPr>
                <w:kern w:val="0"/>
                <w:sz w:val="24"/>
                <w:szCs w:val="20"/>
                <w:lang w:eastAsia="ru-RU" w:bidi="ar-SA"/>
              </w:rPr>
              <w:t>а также внесение записей в паспорта оборудования работающих под избыточным давлением о результатах проведенной экспертизы промышленной безопасности.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ru-RU" w:bidi="ar-SA"/>
              </w:rPr>
              <w:t xml:space="preserve">Документация предоставляется Заказчику в 2-х экземплярах с подписями на бумажном носителе, в 1 экземпляре с подписями на электронном носителе в сканированном виде (файлы PDF). Вся текстовая документация, также обязательно передается Заказчику в файлах редактируемых форматов: </w:t>
            </w:r>
            <w:r>
              <w:rPr>
                <w:rFonts w:eastAsia="Calibri"/>
                <w:color w:val="000000"/>
                <w:kern w:val="0"/>
                <w:sz w:val="24"/>
                <w:szCs w:val="24"/>
                <w:lang w:eastAsia="ru-RU" w:bidi="ar-SA"/>
              </w:rPr>
              <w:t>(.</w:t>
            </w:r>
            <w:r>
              <w:rPr>
                <w:rFonts w:eastAsia="Calibri"/>
                <w:color w:val="000000"/>
                <w:kern w:val="0"/>
                <w:sz w:val="24"/>
                <w:szCs w:val="24"/>
                <w:lang w:val="en-US" w:eastAsia="ru-RU" w:bidi="ar-SA"/>
              </w:rPr>
              <w:t>AText</w:t>
            </w:r>
            <w:r>
              <w:rPr>
                <w:rFonts w:eastAsia="Calibri"/>
                <w:color w:val="000000"/>
                <w:kern w:val="0"/>
                <w:sz w:val="24"/>
                <w:szCs w:val="24"/>
                <w:lang w:eastAsia="ru-RU" w:bidi="ar-SA"/>
              </w:rPr>
              <w:t>), (.</w:t>
            </w:r>
            <w:r>
              <w:rPr>
                <w:rFonts w:eastAsia="Calibri"/>
                <w:color w:val="000000"/>
                <w:kern w:val="0"/>
                <w:sz w:val="24"/>
                <w:szCs w:val="24"/>
                <w:lang w:val="en-US" w:eastAsia="ru-RU" w:bidi="ar-SA"/>
              </w:rPr>
              <w:t>ACell</w:t>
            </w:r>
            <w:r>
              <w:rPr>
                <w:rFonts w:eastAsia="Calibri"/>
                <w:color w:val="000000"/>
                <w:kern w:val="0"/>
                <w:sz w:val="24"/>
                <w:szCs w:val="24"/>
                <w:lang w:eastAsia="ru-RU" w:bidi="ar-SA"/>
              </w:rPr>
              <w:t>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kern w:val="0"/>
                <w:lang w:eastAsia="ru-RU" w:bidi="ar-SA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>Чертежи, таблицы, и и</w:t>
            </w:r>
            <w:bookmarkStart w:id="0" w:name="_GoBack"/>
            <w:bookmarkEnd w:id="0"/>
            <w:r>
              <w:rPr>
                <w:kern w:val="0"/>
                <w:sz w:val="24"/>
                <w:szCs w:val="24"/>
                <w:lang w:eastAsia="ru-RU" w:bidi="ar-SA"/>
              </w:rPr>
              <w:t>ные документы, выполненные в специализированных продуктах, передаются в формате файлов соответствующих программ (DWG, CDW и т.п.) с обязательным приложением используемых шрифтов, форм и других файлов, необходимых для работы с передаваемой в электронном виде документацией. При этом предпочтительным форматом чертежей является формат Компас-3</w:t>
            </w:r>
            <w:r>
              <w:rPr>
                <w:kern w:val="0"/>
                <w:sz w:val="24"/>
                <w:szCs w:val="24"/>
                <w:lang w:val="en-US" w:eastAsia="ru-RU" w:bidi="ar-SA"/>
              </w:rPr>
              <w:t>D</w:t>
            </w:r>
            <w:r>
              <w:rPr>
                <w:kern w:val="0"/>
                <w:sz w:val="24"/>
                <w:szCs w:val="24"/>
                <w:lang w:eastAsia="ru-RU" w:bidi="ar-SA"/>
              </w:rPr>
              <w:t xml:space="preserve"> (*.</w:t>
            </w:r>
            <w:r>
              <w:rPr>
                <w:kern w:val="0"/>
                <w:sz w:val="24"/>
                <w:szCs w:val="24"/>
                <w:lang w:val="en-US" w:eastAsia="ru-RU" w:bidi="ar-SA"/>
              </w:rPr>
              <w:t>CDW</w:t>
            </w:r>
            <w:r>
              <w:rPr>
                <w:kern w:val="0"/>
                <w:sz w:val="24"/>
                <w:szCs w:val="24"/>
                <w:lang w:eastAsia="ru-RU" w:bidi="ar-SA"/>
              </w:rPr>
              <w:t>), предоставление в других форматах возможно только по предварительному согласованию с Заказчиком.</w:t>
            </w:r>
          </w:p>
        </w:tc>
      </w:tr>
    </w:tbl>
    <w:p>
      <w:pPr>
        <w:pStyle w:val="Normal"/>
        <w:rPr>
          <w:rFonts w:eastAsia="Calibri"/>
          <w:b/>
          <w:color w:val="000000"/>
          <w:sz w:val="24"/>
          <w:szCs w:val="24"/>
        </w:rPr>
      </w:pPr>
      <w:r>
        <w:rPr/>
      </w:r>
    </w:p>
    <w:sectPr>
      <w:headerReference w:type="default" r:id="rId3"/>
      <w:headerReference w:type="first" r:id="rId4"/>
      <w:type w:val="nextPage"/>
      <w:pgSz w:orient="landscape" w:w="16838" w:h="11906"/>
      <w:pgMar w:left="890" w:right="539" w:gutter="0" w:header="0" w:top="851" w:footer="0" w:bottom="425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8880935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4619533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620" w:hanging="721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7d65e5"/>
    <w:rPr>
      <w:color w:val="0000FF"/>
      <w:u w:val="single"/>
    </w:rPr>
  </w:style>
  <w:style w:type="character" w:styleId="Style8" w:customStyle="1">
    <w:name w:val="Абзац списка Знак"/>
    <w:link w:val="ListParagraph"/>
    <w:qFormat/>
    <w:locked/>
    <w:rsid w:val="007d65e5"/>
    <w:rPr>
      <w:rFonts w:ascii="Times New Roman" w:hAnsi="Times New Roman" w:eastAsia="Times New Roman" w:cs="Times New Roman"/>
      <w:lang w:val="ru-RU"/>
    </w:rPr>
  </w:style>
  <w:style w:type="character" w:styleId="Style9" w:customStyle="1">
    <w:name w:val="комментарий"/>
    <w:qFormat/>
    <w:rsid w:val="007d65e5"/>
    <w:rPr>
      <w:b/>
      <w:i/>
      <w:shd w:fill="FFFF99" w:val="clear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ac6b72"/>
    <w:rPr>
      <w:rFonts w:ascii="Times New Roman" w:hAnsi="Times New Roman" w:eastAsia="Times New Roman" w:cs="Times New Roman"/>
      <w:lang w:val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ac6b72"/>
    <w:rPr>
      <w:rFonts w:ascii="Times New Roman" w:hAnsi="Times New Roman" w:eastAsia="Times New Roman" w:cs="Times New Roman"/>
      <w:lang w:val="ru-RU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link w:val="Style8"/>
    <w:qFormat/>
    <w:pPr>
      <w:spacing w:before="0" w:after="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4" w:customStyle="1">
    <w:name w:val="Содержимое таблицы"/>
    <w:basedOn w:val="Normal"/>
    <w:qFormat/>
    <w:pPr>
      <w:suppressLineNumbers/>
    </w:pPr>
    <w:rPr/>
  </w:style>
  <w:style w:type="paragraph" w:styleId="Style15" w:customStyle="1">
    <w:name w:val="Заголовок таблицы"/>
    <w:basedOn w:val="Style14"/>
    <w:qFormat/>
    <w:pPr>
      <w:jc w:val="center"/>
    </w:pPr>
    <w:rPr>
      <w:b/>
      <w:bCs/>
    </w:rPr>
  </w:style>
  <w:style w:type="paragraph" w:styleId="Style16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Cs w:val="26"/>
    </w:rPr>
  </w:style>
  <w:style w:type="paragraph" w:styleId="Style17" w:customStyle="1">
    <w:name w:val="Таблица"/>
    <w:basedOn w:val="Normal"/>
    <w:qFormat/>
    <w:rsid w:val="007d65e5"/>
    <w:pPr>
      <w:keepNext w:val="true"/>
      <w:widowControl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ac6b7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ac6b72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rsid w:val="007d65e5"/>
    <w:rPr>
      <w:lang w:val="ru-RU"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BB74-A28D-45FA-8219-D94B8DD3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Application>AlterOffice/3.4.0.9$Linux_X86_64 LibreOffice_project/b8daf9e823b1a5463a2f48435ddc2e8696e7d4fc</Application>
  <AppVersion>15.0000</AppVersion>
  <Pages>8</Pages>
  <Words>1194</Words>
  <Characters>8545</Characters>
  <CharactersWithSpaces>9610</CharactersWithSpaces>
  <Paragraphs>158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2025-12-09T05:49:00Z</dcterms:created>
  <dc:creator>Комлев Николай Константинович</dc:creator>
  <dc:description/>
  <dc:language>ru-RU</dc:language>
  <cp:lastModifiedBy>kukushkinavb@corp.gidroogk.com</cp:lastModifiedBy>
  <cp:lastPrinted>2026-07-06T13:12:03Z</cp:lastPrinted>
  <dcterms:modified xsi:type="dcterms:W3CDTF">2026-07-17T09:01:01Z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