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ТЕХНИЧЕСКИЕ ТРЕБОВАНИЯ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jc w:val="center"/>
        <w:outlineLvl w:val="0"/>
        <w:rPr/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6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ОКПД2 42.99.19.142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Style w:val="Style"/>
          <w:rFonts w:ascii="Times New Roman" w:hAnsi="Times New Roman"/>
          <w:b w:val="false"/>
          <w:i w:val="false"/>
          <w:shd w:fill="FFFFFF" w:val="clear"/>
        </w:rPr>
        <w:t xml:space="preserve">Поставка </w:t>
      </w:r>
      <w:r>
        <w:rPr>
          <w:rStyle w:val="Style"/>
          <w:rFonts w:cs="Times New Roman" w:ascii="Times New Roman" w:hAnsi="Times New Roman"/>
          <w:b w:val="false"/>
          <w:i w:val="false"/>
          <w:color w:val="000000"/>
          <w:szCs w:val="24"/>
          <w:shd w:fill="FFFFFF" w:val="clear"/>
        </w:rPr>
        <w:t>предупредительного</w:t>
      </w:r>
      <w:r>
        <w:rPr>
          <w:rStyle w:val="Style"/>
          <w:rFonts w:ascii="Times New Roman" w:hAnsi="Times New Roman"/>
          <w:b w:val="false"/>
          <w:i w:val="false"/>
          <w:color w:val="000000"/>
          <w:shd w:fill="FFFFFF" w:val="clear"/>
        </w:rPr>
        <w:t xml:space="preserve"> инженерного </w:t>
      </w:r>
      <w:r>
        <w:rPr>
          <w:rStyle w:val="Style"/>
          <w:rFonts w:cs="Times New Roman" w:ascii="Times New Roman" w:hAnsi="Times New Roman"/>
          <w:b w:val="false"/>
          <w:i w:val="false"/>
          <w:color w:val="000000"/>
          <w:szCs w:val="24"/>
          <w:shd w:fill="FFFFFF" w:val="clear"/>
        </w:rPr>
        <w:t>ограждения</w:t>
      </w:r>
      <w:r>
        <w:rPr>
          <w:rStyle w:val="Style"/>
          <w:rFonts w:ascii="Times New Roman" w:hAnsi="Times New Roman"/>
          <w:b w:val="false"/>
          <w:i w:val="false"/>
          <w:color w:val="000000"/>
          <w:shd w:fill="FFFFFF" w:val="clear"/>
        </w:rPr>
        <w:t xml:space="preserve"> </w:t>
      </w:r>
      <w:r>
        <w:rPr>
          <w:rStyle w:val="Style"/>
          <w:rFonts w:ascii="Times New Roman" w:hAnsi="Times New Roman"/>
          <w:b w:val="false"/>
          <w:i w:val="false"/>
          <w:shd w:fill="FFFFFF" w:val="clear"/>
        </w:rPr>
        <w:t xml:space="preserve">ЛБЗП </w:t>
      </w:r>
      <w:r>
        <w:rPr>
          <w:rStyle w:val="Style"/>
          <w:rFonts w:ascii="Times New Roman" w:hAnsi="Times New Roman"/>
          <w:b w:val="false"/>
          <w:i w:val="false"/>
          <w:shd w:fill="FFFFFF" w:val="clear"/>
        </w:rPr>
        <w:t xml:space="preserve">для </w:t>
      </w:r>
      <w:r>
        <w:rPr>
          <w:rStyle w:val="Style"/>
          <w:rFonts w:ascii="Times New Roman" w:hAnsi="Times New Roman"/>
          <w:b w:val="false"/>
          <w:i w:val="false"/>
          <w:shd w:fill="FFFFFF" w:val="clear"/>
        </w:rPr>
        <w:t>Новосибирской ГЭС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(</w:t>
      </w:r>
      <w:r>
        <w:rPr>
          <w:rFonts w:cs="Times New Roman" w:ascii="Times New Roman" w:hAnsi="Times New Roman"/>
          <w:color w:val="000000"/>
          <w:sz w:val="26"/>
          <w:szCs w:val="26"/>
          <w:shd w:fill="FFFF00" w:val="clear"/>
        </w:rPr>
        <w:t xml:space="preserve">Лот № </w:t>
      </w:r>
      <w:r>
        <w:rPr>
          <w:rFonts w:eastAsia="Geneva" w:cs="Times New Roman" w:ascii="Times New Roman" w:hAnsi="Times New Roman"/>
          <w:color w:val="000000"/>
          <w:sz w:val="26"/>
          <w:szCs w:val="26"/>
          <w:shd w:fill="FFFFFF" w:val="clear"/>
        </w:rPr>
        <w:t>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jc w:val="center"/>
        <w:outlineLvl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sectPr>
          <w:type w:val="nextPage"/>
          <w:pgSz w:w="11906" w:h="16838"/>
          <w:pgMar w:left="1701" w:right="851" w:gutter="0" w:header="0" w:top="709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rPr>
          <w:szCs w:val="24"/>
        </w:rPr>
      </w:pPr>
      <w:r>
        <w:rPr>
          <w:b/>
          <w:bCs/>
          <w:szCs w:val="24"/>
        </w:rPr>
        <w:t>1. Общие сведения</w:t>
      </w:r>
      <w:r>
        <w:rPr>
          <w:szCs w:val="24"/>
        </w:rPr>
        <w:tab/>
        <w:t>………………………………………..............................….............</w:t>
        <w:tab/>
        <w:t>3</w:t>
      </w:r>
    </w:p>
    <w:p>
      <w:pPr>
        <w:pStyle w:val="Normal"/>
        <w:rPr/>
      </w:pPr>
      <w:r>
        <w:rPr>
          <w:szCs w:val="24"/>
        </w:rPr>
        <w:t>1.1 Наименование закупаемой продукции</w:t>
        <w:tab/>
        <w:t>…….…...………..………………………….</w:t>
        <w:tab/>
        <w:t>3</w:t>
      </w:r>
    </w:p>
    <w:p>
      <w:pPr>
        <w:pStyle w:val="Normal"/>
        <w:rPr/>
      </w:pPr>
      <w:r>
        <w:rPr>
          <w:szCs w:val="24"/>
        </w:rPr>
        <w:t>1.2. Цель использования закупаемой продукции</w:t>
        <w:tab/>
        <w:t>………………………………..…….</w:t>
        <w:tab/>
        <w:t>3</w:t>
      </w:r>
    </w:p>
    <w:p>
      <w:pPr>
        <w:pStyle w:val="Normal"/>
        <w:rPr/>
      </w:pPr>
      <w:r>
        <w:rPr>
          <w:b/>
          <w:bCs/>
          <w:szCs w:val="24"/>
        </w:rPr>
        <w:t>2. Требования к продукции</w:t>
      </w:r>
      <w:r>
        <w:rPr>
          <w:szCs w:val="24"/>
        </w:rPr>
        <w:tab/>
        <w:t>………………….…………………..………..……..</w:t>
        <w:tab/>
        <w:t>3</w:t>
      </w:r>
    </w:p>
    <w:p>
      <w:pPr>
        <w:pStyle w:val="Normal"/>
        <w:rPr/>
      </w:pPr>
      <w:r>
        <w:rPr>
          <w:szCs w:val="24"/>
        </w:rPr>
        <w:t>2.1. Требования к объемам и срокам поставки…………….…………………………....</w:t>
        <w:tab/>
        <w:t>3</w:t>
      </w:r>
    </w:p>
    <w:p>
      <w:pPr>
        <w:pStyle w:val="Normal"/>
        <w:rPr/>
      </w:pPr>
      <w:r>
        <w:rPr>
          <w:szCs w:val="24"/>
        </w:rPr>
        <w:t>2.1.1. Перечень и объем закупаемой продукции…………...………………………..….</w:t>
        <w:tab/>
        <w:t>3</w:t>
      </w:r>
    </w:p>
    <w:p>
      <w:pPr>
        <w:pStyle w:val="Normal"/>
        <w:rPr/>
      </w:pPr>
      <w:r>
        <w:rPr>
          <w:b/>
          <w:bCs/>
          <w:szCs w:val="24"/>
        </w:rPr>
        <w:t>Таблица 2.1. Перечень и объем закупаемой продукции</w:t>
      </w:r>
      <w:r>
        <w:rPr>
          <w:szCs w:val="24"/>
        </w:rPr>
        <w:t>…..……………………..….</w:t>
        <w:tab/>
        <w:t>3</w:t>
      </w:r>
    </w:p>
    <w:p>
      <w:pPr>
        <w:pStyle w:val="Normal"/>
        <w:rPr/>
      </w:pPr>
      <w:r>
        <w:rPr>
          <w:szCs w:val="24"/>
        </w:rPr>
        <w:t>2.1.2. Требования к срокам поставки продукции.…………………..………..………….</w:t>
        <w:tab/>
        <w:t>4</w:t>
      </w:r>
    </w:p>
    <w:p>
      <w:pPr>
        <w:pStyle w:val="Normal"/>
        <w:rPr/>
      </w:pPr>
      <w:r>
        <w:rPr>
          <w:b/>
          <w:bCs/>
          <w:szCs w:val="24"/>
        </w:rPr>
        <w:t>Таблица 2.2 Требования к качеству продукции</w:t>
      </w:r>
      <w:r>
        <w:rPr>
          <w:szCs w:val="24"/>
        </w:rPr>
        <w:t>………………………….……</w:t>
        <w:tab/>
        <w:t>4</w:t>
      </w:r>
    </w:p>
    <w:p>
      <w:pPr>
        <w:pStyle w:val="Normal"/>
        <w:rPr/>
      </w:pPr>
      <w:r>
        <w:rPr>
          <w:szCs w:val="24"/>
        </w:rPr>
        <w:t>2.2. Требования к качеству продукции</w:t>
        <w:tab/>
        <w:t>……...………………….………………...…</w:t>
        <w:tab/>
        <w:t>4</w:t>
      </w:r>
    </w:p>
    <w:p>
      <w:pPr>
        <w:pStyle w:val="Normal"/>
        <w:rPr/>
      </w:pPr>
      <w:r>
        <w:rPr>
          <w:b/>
          <w:bCs/>
          <w:szCs w:val="24"/>
        </w:rPr>
        <w:t>Таблица 2.3 Требования к продукции</w:t>
      </w:r>
      <w:r>
        <w:rPr>
          <w:szCs w:val="24"/>
        </w:rPr>
        <w:t>……………………...………………………....</w:t>
        <w:tab/>
        <w:t>5</w:t>
      </w:r>
    </w:p>
    <w:p>
      <w:pPr>
        <w:pStyle w:val="Normal"/>
        <w:rPr/>
      </w:pPr>
      <w:r>
        <w:rPr>
          <w:b/>
          <w:bCs/>
          <w:szCs w:val="24"/>
        </w:rPr>
        <w:t>3. Требования к документации по ценообразованию</w:t>
      </w:r>
      <w:r>
        <w:rPr>
          <w:b/>
          <w:bCs/>
        </w:rPr>
        <w:t xml:space="preserve"> </w:t>
      </w:r>
      <w:r>
        <w:rPr>
          <w:b/>
          <w:bCs/>
          <w:szCs w:val="24"/>
        </w:rPr>
        <w:t>на этапе закупки</w:t>
      </w:r>
      <w:r>
        <w:rPr>
          <w:szCs w:val="24"/>
        </w:rPr>
        <w:tab/>
        <w:t>..….....</w:t>
        <w:tab/>
        <w:t>7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  <w:r>
        <w:br w:type="page"/>
      </w:r>
    </w:p>
    <w:p>
      <w:pPr>
        <w:pStyle w:val="Heading4"/>
        <w:numPr>
          <w:ilvl w:val="0"/>
          <w:numId w:val="6"/>
        </w:numPr>
        <w:tabs>
          <w:tab w:val="clear" w:pos="709"/>
          <w:tab w:val="left" w:pos="0" w:leader="none"/>
        </w:tabs>
        <w:ind w:left="426" w:hanging="360"/>
        <w:jc w:val="center"/>
        <w:rPr>
          <w:color w:val="000000"/>
        </w:rPr>
      </w:pPr>
      <w:r>
        <w:rPr>
          <w:color w:val="000000"/>
        </w:rPr>
        <w:t>Общие сведения</w:t>
      </w:r>
    </w:p>
    <w:p>
      <w:pPr>
        <w:pStyle w:val="Normal"/>
        <w:tabs>
          <w:tab w:val="clear" w:pos="720"/>
          <w:tab w:val="left" w:pos="0" w:leader="none"/>
        </w:tabs>
        <w:ind w:left="426" w:hanging="360"/>
        <w:jc w:val="center"/>
        <w:rPr>
          <w:color w:val="000000"/>
        </w:rPr>
      </w:pPr>
      <w:r>
        <w:rPr>
          <w:color w:val="000000"/>
        </w:rPr>
      </w:r>
    </w:p>
    <w:p>
      <w:pPr>
        <w:pStyle w:val="Heading4"/>
        <w:numPr>
          <w:ilvl w:val="1"/>
          <w:numId w:val="7"/>
        </w:numPr>
        <w:ind w:left="0" w:firstLine="709"/>
        <w:rPr>
          <w:color w:val="000000"/>
        </w:rPr>
      </w:pPr>
      <w:bookmarkStart w:id="0" w:name="_Toc75446568"/>
      <w:bookmarkStart w:id="1" w:name="_Toc46743506"/>
      <w:bookmarkStart w:id="2" w:name="_Toc75446569"/>
      <w:bookmarkEnd w:id="2"/>
      <w:r>
        <w:rPr>
          <w:color w:val="000000"/>
        </w:rPr>
        <w:t>Наименование закупаемой продукции</w:t>
      </w:r>
      <w:bookmarkEnd w:id="0"/>
      <w:bookmarkEnd w:id="1"/>
    </w:p>
    <w:p>
      <w:pPr>
        <w:pStyle w:val="Heading4"/>
        <w:jc w:val="both"/>
        <w:rPr/>
      </w:pPr>
      <w:r>
        <w:rPr>
          <w:rStyle w:val="Style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6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ОКПД2 42.99.19.142</w:t>
      </w:r>
      <w:r>
        <w:rPr>
          <w:rStyle w:val="Style"/>
          <w:rFonts w:cs="Times New Roman" w:ascii="Times New Roman" w:hAnsi="Times New Roman"/>
          <w:b w:val="false"/>
          <w:bCs w:val="false"/>
          <w:i w:val="false"/>
          <w:color w:val="000000"/>
          <w:sz w:val="26"/>
          <w:szCs w:val="26"/>
          <w:shd w:fill="FFFFFF" w:val="clear"/>
          <w:lang w:val="ru-RU"/>
        </w:rPr>
        <w:t xml:space="preserve"> </w:t>
      </w:r>
      <w:r>
        <w:rPr>
          <w:rStyle w:val="Style"/>
          <w:rFonts w:ascii="Times New Roman" w:hAnsi="Times New Roman"/>
          <w:b w:val="false"/>
          <w:bCs w:val="false"/>
          <w:i w:val="false"/>
          <w:shd w:fill="FFFFFF" w:val="clear"/>
          <w:lang w:val="ru-RU"/>
        </w:rPr>
        <w:t xml:space="preserve">Поставка </w:t>
      </w:r>
      <w:r>
        <w:rPr>
          <w:rStyle w:val="Style"/>
          <w:rFonts w:cs="Times New Roman" w:ascii="Times New Roman" w:hAnsi="Times New Roman"/>
          <w:b w:val="false"/>
          <w:bCs w:val="false"/>
          <w:i w:val="false"/>
          <w:color w:val="000000"/>
          <w:szCs w:val="24"/>
          <w:shd w:fill="FFFFFF" w:val="clear"/>
          <w:lang w:val="ru-RU"/>
        </w:rPr>
        <w:t>предупредительного</w:t>
      </w:r>
      <w:r>
        <w:rPr>
          <w:rStyle w:val="Style"/>
          <w:rFonts w:ascii="Times New Roman" w:hAnsi="Times New Roman"/>
          <w:b w:val="false"/>
          <w:bCs w:val="false"/>
          <w:i w:val="false"/>
          <w:color w:val="000000"/>
          <w:shd w:fill="FFFFFF" w:val="clear"/>
          <w:lang w:val="ru-RU"/>
        </w:rPr>
        <w:t xml:space="preserve"> инженерного </w:t>
      </w:r>
      <w:r>
        <w:rPr>
          <w:rStyle w:val="Style"/>
          <w:rFonts w:cs="Times New Roman" w:ascii="Times New Roman" w:hAnsi="Times New Roman"/>
          <w:b w:val="false"/>
          <w:bCs w:val="false"/>
          <w:i w:val="false"/>
          <w:color w:val="000000"/>
          <w:szCs w:val="24"/>
          <w:shd w:fill="FFFFFF" w:val="clear"/>
          <w:lang w:val="ru-RU"/>
        </w:rPr>
        <w:t>ограждения</w:t>
      </w:r>
      <w:r>
        <w:rPr>
          <w:rStyle w:val="Style"/>
          <w:rFonts w:ascii="Times New Roman" w:hAnsi="Times New Roman"/>
          <w:b w:val="false"/>
          <w:bCs w:val="false"/>
          <w:i w:val="false"/>
          <w:color w:val="000000"/>
          <w:shd w:fill="FFFFFF" w:val="clear"/>
          <w:lang w:val="ru-RU"/>
        </w:rPr>
        <w:t xml:space="preserve"> </w:t>
      </w:r>
      <w:r>
        <w:rPr>
          <w:rStyle w:val="Style"/>
          <w:rFonts w:ascii="Times New Roman" w:hAnsi="Times New Roman"/>
          <w:b w:val="false"/>
          <w:bCs w:val="false"/>
          <w:i w:val="false"/>
          <w:shd w:fill="FFFFFF" w:val="clear"/>
          <w:lang w:val="ru-RU"/>
        </w:rPr>
        <w:t xml:space="preserve">ЛБЗП </w:t>
      </w:r>
      <w:r>
        <w:rPr>
          <w:rStyle w:val="Style"/>
          <w:rFonts w:ascii="Times New Roman" w:hAnsi="Times New Roman"/>
          <w:b w:val="false"/>
          <w:bCs w:val="false"/>
          <w:i w:val="false"/>
          <w:shd w:fill="FFFFFF" w:val="clear"/>
          <w:lang w:val="ru-RU"/>
        </w:rPr>
        <w:t xml:space="preserve">для </w:t>
      </w:r>
      <w:r>
        <w:rPr>
          <w:rStyle w:val="Style"/>
          <w:rFonts w:ascii="Times New Roman" w:hAnsi="Times New Roman"/>
          <w:b w:val="false"/>
          <w:bCs w:val="false"/>
          <w:i w:val="false"/>
          <w:shd w:fill="FFFFFF" w:val="clear"/>
          <w:lang w:val="ru-RU"/>
        </w:rPr>
        <w:t>Новосибирской ГЭС</w:t>
      </w:r>
      <w:r>
        <w:rPr>
          <w:rStyle w:val="Style"/>
          <w:b w:val="false"/>
          <w:bCs w:val="false"/>
          <w:i w:val="false"/>
          <w:shd w:fill="FFFFFF" w:val="clear"/>
          <w:lang w:val="ru-RU"/>
        </w:rPr>
        <w:t xml:space="preserve"> (далее – продукция).</w:t>
      </w:r>
    </w:p>
    <w:p>
      <w:pPr>
        <w:pStyle w:val="Normal"/>
        <w:ind w:firstLine="419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Heading4"/>
        <w:numPr>
          <w:ilvl w:val="1"/>
          <w:numId w:val="7"/>
        </w:numPr>
        <w:ind w:left="0" w:firstLine="709"/>
        <w:rPr>
          <w:color w:val="000000"/>
        </w:rPr>
      </w:pPr>
      <w:bookmarkStart w:id="3" w:name="_Toc46743507"/>
      <w:bookmarkStart w:id="4" w:name="_Toc75446569_Копия_1"/>
      <w:bookmarkEnd w:id="4"/>
      <w:r>
        <w:rPr>
          <w:color w:val="000000"/>
        </w:rPr>
        <w:t xml:space="preserve">Цель </w:t>
      </w:r>
      <w:bookmarkEnd w:id="3"/>
      <w:r>
        <w:rPr>
          <w:color w:val="000000"/>
        </w:rPr>
        <w:t xml:space="preserve">использования закупаемой продукции </w:t>
      </w:r>
    </w:p>
    <w:p>
      <w:pPr>
        <w:pStyle w:val="Heading4"/>
        <w:jc w:val="both"/>
        <w:rPr/>
      </w:pPr>
      <w:r>
        <w:rPr>
          <w:rStyle w:val="Style"/>
          <w:b w:val="false"/>
          <w:bCs w:val="false"/>
          <w:i w:val="false"/>
          <w:color w:val="000000"/>
          <w:shd w:fill="FFFFFF" w:val="clear"/>
        </w:rPr>
        <w:t xml:space="preserve">Исполнение </w:t>
      </w:r>
      <w:r>
        <w:rPr>
          <w:rStyle w:val="Style"/>
          <w:b w:val="false"/>
          <w:bCs w:val="false"/>
          <w:i w:val="false"/>
          <w:color w:val="000000"/>
          <w:shd w:fill="FFFFFF" w:val="clear"/>
          <w:lang w:val="ru-RU"/>
        </w:rPr>
        <w:t>обязательств в соответствии с письмом исх.№93-11-732 от 19.06.2026 от Филиала ПАО «РусГидро»-«Новосибирская ГЭС».</w:t>
      </w:r>
    </w:p>
    <w:p>
      <w:pPr>
        <w:pStyle w:val="Normal"/>
        <w:ind w:firstLine="454"/>
        <w:rPr>
          <w:color w:val="000000"/>
        </w:rPr>
      </w:pPr>
      <w:r>
        <w:rPr>
          <w:color w:val="000000"/>
        </w:rPr>
      </w:r>
    </w:p>
    <w:p>
      <w:pPr>
        <w:pStyle w:val="Heading1"/>
        <w:numPr>
          <w:ilvl w:val="0"/>
          <w:numId w:val="6"/>
        </w:numPr>
        <w:tabs>
          <w:tab w:val="clear" w:pos="0"/>
          <w:tab w:val="clear" w:pos="709"/>
        </w:tabs>
        <w:ind w:left="426" w:hanging="360"/>
        <w:jc w:val="center"/>
        <w:rPr>
          <w:caps/>
          <w:color w:val="000000"/>
          <w:sz w:val="24"/>
          <w:lang w:val="ru-RU"/>
        </w:rPr>
      </w:pPr>
      <w:bookmarkStart w:id="5" w:name="_Toc75446573"/>
      <w:bookmarkStart w:id="6" w:name="_Toc51339693"/>
      <w:r>
        <w:rPr>
          <w:color w:val="000000"/>
          <w:sz w:val="24"/>
        </w:rPr>
        <w:t>Требования к продукции</w:t>
      </w:r>
      <w:bookmarkEnd w:id="5"/>
      <w:bookmarkEnd w:id="6"/>
    </w:p>
    <w:p>
      <w:pPr>
        <w:pStyle w:val="Normal"/>
        <w:rPr>
          <w:rFonts w:cs="Times New Roman"/>
          <w:color w:val="000000"/>
          <w:lang w:eastAsia="x-none"/>
        </w:rPr>
      </w:pPr>
      <w:r>
        <w:rPr>
          <w:rFonts w:cs="Times New Roman"/>
          <w:color w:val="000000"/>
          <w:lang w:eastAsia="x-none"/>
        </w:rPr>
      </w:r>
    </w:p>
    <w:p>
      <w:pPr>
        <w:pStyle w:val="Heading4"/>
        <w:numPr>
          <w:ilvl w:val="1"/>
          <w:numId w:val="6"/>
        </w:numPr>
        <w:tabs>
          <w:tab w:val="clear" w:pos="0"/>
          <w:tab w:val="left" w:pos="709" w:leader="none"/>
        </w:tabs>
        <w:ind w:left="1134" w:hanging="360"/>
        <w:rPr>
          <w:color w:val="000000"/>
        </w:rPr>
      </w:pPr>
      <w:bookmarkStart w:id="7" w:name="_Toc75446574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>
          <w:color w:val="000000"/>
        </w:rPr>
      </w:pPr>
      <w:bookmarkStart w:id="8" w:name="_Toc75446575"/>
      <w:r>
        <w:rPr>
          <w:color w:val="000000"/>
        </w:rPr>
        <w:t>Перечень и объем закупаемой продукции</w:t>
      </w:r>
      <w:bookmarkEnd w:id="8"/>
    </w:p>
    <w:p>
      <w:pPr>
        <w:pStyle w:val="Normal"/>
        <w:rPr>
          <w:rFonts w:cs="Times New Roman"/>
          <w:color w:val="000000"/>
          <w:lang w:val="x-none" w:eastAsia="x-none"/>
        </w:rPr>
      </w:pPr>
      <w:r>
        <w:rPr>
          <w:rFonts w:cs="Times New Roman"/>
          <w:color w:val="000000"/>
          <w:lang w:val="x-none" w:eastAsia="x-none"/>
        </w:rPr>
      </w:r>
    </w:p>
    <w:p>
      <w:pPr>
        <w:pStyle w:val="Normal"/>
        <w:jc w:val="both"/>
        <w:rPr>
          <w:rFonts w:cs="Times New Roman"/>
          <w:color w:val="000000"/>
          <w:szCs w:val="24"/>
        </w:rPr>
      </w:pPr>
      <w:bookmarkStart w:id="9" w:name="_Toc75446576"/>
      <w:bookmarkStart w:id="10" w:name="_Toc51339695"/>
      <w:r>
        <w:rPr>
          <w:rFonts w:cs="Times New Roman"/>
          <w:color w:val="000000"/>
          <w:szCs w:val="24"/>
        </w:rPr>
        <w:t xml:space="preserve">Таблица </w:t>
      </w:r>
      <w:r>
        <w:rPr>
          <w:rFonts w:cs="Times New Roman"/>
          <w:color w:val="000000"/>
          <w:szCs w:val="24"/>
        </w:rPr>
        <w:t>1</w:t>
      </w:r>
      <w:r>
        <w:rPr>
          <w:rFonts w:cs="Times New Roman"/>
          <w:color w:val="000000"/>
          <w:szCs w:val="24"/>
        </w:rPr>
        <w:t xml:space="preserve">.1 Перечень </w:t>
      </w:r>
      <w:bookmarkEnd w:id="10"/>
      <w:r>
        <w:rPr>
          <w:rFonts w:cs="Times New Roman"/>
          <w:color w:val="000000"/>
          <w:szCs w:val="24"/>
        </w:rPr>
        <w:t>и объем закупаемой продукци</w:t>
      </w:r>
      <w:bookmarkEnd w:id="9"/>
      <w:r>
        <w:rPr>
          <w:rFonts w:cs="Times New Roman"/>
          <w:color w:val="000000"/>
          <w:szCs w:val="24"/>
        </w:rPr>
        <w:t>и</w:t>
      </w:r>
    </w:p>
    <w:tbl>
      <w:tblPr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73"/>
        <w:gridCol w:w="6069"/>
        <w:gridCol w:w="1477"/>
        <w:gridCol w:w="1131"/>
      </w:tblGrid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Панель ограждения П-P3D.3000.2230.150.50.5.5.RAL, RAL-7040 (Темно Серый), Панель ограждения изготовлена из стального горячеоцинкованного прутка диаметром 5мм, с полимерным покрытием 5,2мм Размер панели 3000х2230мм, размер ячейки 50х150мм, 4 ребра жесткости длиной 100мм и высотой 43мм. Высота ограждения 2.3 м. 4-х слойное нанокерамическое полимерное покрытие. 10-ти стадийное окрашивание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>
        <w:trPr>
          <w:trHeight w:val="20" w:hRule="atLeast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Панель ограждения П-P3D.2500.2230.150.50.5.5.RAL, RAL-7040 (Темно Серый), Панель ограждения изготовлена из стального горячеоцинкованного прутка диаметром 5мм, с полимерным покрытием 5,2мм Размер панели 2500х2230мм, размер ячейки 50х150мм, 4 ребра жесткости длиной 100мм и высотой 43мм. Высота ограждения 2.3 м. 4-х слойное нанокерамическое полимерное покрытие. 10-ти стадийное окрашивание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>
        <w:trPr>
          <w:trHeight w:val="20" w:hRule="atLeast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Столб ограждения Gardis СОПФ.2300.80.80.20.RAL Комплект, RAL-7040 (Темно Серый), Столб профилированный без применения сварки, оцинкованный, с замковым соединением seam-lock и шовным clinch-соединением глубиной 1,1 мм и шагом 12 мм, с приваренным фланцем. Сечение 80х80, толщина стенки 2 мм, длина 2300 мм, в комплекте заглушка пластиковая. Фланец 160*160*6 мм. На высоту ограждения 2,3 м. 2-х слойное дополнительное защитное покрытие (конверсионное нанокерамическое покрытие на основе циркония и полиэфирное полимерное покрытие порошковой краской). 10-ти стадийная технология покрытия с применением технологии подготовки поверхности от Henkel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>
        <w:trPr>
          <w:trHeight w:val="20" w:hRule="atLeast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Набор комплектов планки прижимной ПП.40.30.RAL(М6) (на столб 80) (24 шт.), RAL-7040 (Темно Серый), в набор входит 24 шт. комплектов планки прижимной с логотипом GARDIS размером 47*38 мм, из оцинкованной стали толщиной 3 мм для столбов сечением 80х80 мм., с комплектами метизов М6. 2-х слойное дополнительное защитное покрытие (конверсионное нанокерамическое покрытие на основе циркония и полиэфирное полимерное покрытие порошковой краской). 10-ти стадийная технология покрытия с применением технологии подготовки поверхности от Henkel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>
        <w:trPr>
          <w:trHeight w:val="20" w:hRule="atLeast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Ворота распашные ВР.210.500.150.55.P3D.Н, RAL-7040 (Темно Серый), в состав ворот входят: столбы из профильной электросварной трубы с цинковым покрытием, сечением 80*80*3 мм, длиной 2100 мм с фланцем 160*160*6 мм – 2 шт, створки из профилированной оцинкованной трубы без применения сварки 60х40х1,4 мм с заполнением из сетчатой панели P3D - 2шт, регулируемые петли - 4 шт., проушины для навесного замка, упоры в землю, открывание наружу. Ширина проема 5020 мм. Высота ворот 2,1 м. 2-х слойное дополнительное защитное покрытие (конверсионное нанокерамическое покрытие на основе циркония и полиэфирное полимерное покрытие порошковой краской). 10-ти стадийная технология покрытия с применением технологии подготовки поверхности от Henkel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Калитка распашная КР.210.100.150.55.P3D.Пр. (столб 80х80 с фл.), RAL-7040 (Темно Серый), в состав калитки входят: столбы из профилированной оцинкованной трубы без применения сварки сечением 80*80*2 мм, длиной 2100 мм, с фланцем 160*160*6 мм – 2 шт., створка из профилированной оцинкованной трубы без применения сварки 60х40х1,4 мм с заполнением из сетчатой панели P3D - 1 шт., регулируемые петли с открыванием на 180° - 2 шт., врезной замок с комплектом ключей - 1 шт., ручка на планке - 1 комплект. Открывание правое (вид снаружи). Ширина проема 1030 мм. Высота калитки 2,1 м. 2-х слойное дополнительное защитное покрытие (конверсионное нанокерамическое покрытие на основе циркония и полиэфирное полимерное покрытие порошковой краской). 10-ти стадийная технология покрытия с применением технологии подготовки поверхности от Henkel</w:t>
            </w:r>
          </w:p>
        </w:tc>
        <w:tc>
          <w:tcPr>
            <w:tcW w:w="147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13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Свая многовитковая ТК 76(3,5)/1500 с фланцем 210(6) (Грунт)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</w:tbl>
    <w:p>
      <w:pPr>
        <w:pStyle w:val="Normal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>
          <w:color w:val="000000"/>
        </w:rPr>
      </w:pPr>
      <w:bookmarkStart w:id="11" w:name="_Toc75446578"/>
      <w:bookmarkStart w:id="12" w:name="_Toc51339696"/>
      <w:r>
        <w:rPr>
          <w:color w:val="000000"/>
        </w:rPr>
        <w:t xml:space="preserve">Требования </w:t>
      </w:r>
      <w:bookmarkEnd w:id="12"/>
      <w:r>
        <w:rPr>
          <w:color w:val="000000"/>
        </w:rPr>
        <w:t xml:space="preserve">к срокам поставки продукции </w:t>
      </w:r>
      <w:bookmarkEnd w:id="11"/>
    </w:p>
    <w:p>
      <w:pPr>
        <w:pStyle w:val="Normal"/>
        <w:rPr>
          <w:rFonts w:cs="Times New Roman"/>
          <w:color w:val="000000"/>
          <w:lang w:val="x-none" w:eastAsia="x-none"/>
        </w:rPr>
      </w:pPr>
      <w:r>
        <w:rPr>
          <w:rFonts w:cs="Times New Roman"/>
          <w:color w:val="000000"/>
          <w:lang w:val="x-none" w:eastAsia="x-none"/>
        </w:rPr>
      </w:r>
    </w:p>
    <w:p>
      <w:pPr>
        <w:pStyle w:val="Normal"/>
        <w:rPr>
          <w:rFonts w:cs="Times New Roman"/>
          <w:color w:val="000000"/>
          <w:szCs w:val="24"/>
          <w:lang w:eastAsia="x-none"/>
        </w:rPr>
      </w:pPr>
      <w:bookmarkStart w:id="13" w:name="_Toc75446579"/>
      <w:bookmarkStart w:id="14" w:name="_Toc50125127"/>
      <w:bookmarkStart w:id="15" w:name="_Toc51339697"/>
      <w:r>
        <w:rPr>
          <w:rFonts w:cs="Times New Roman"/>
          <w:color w:val="000000"/>
          <w:szCs w:val="24"/>
          <w:lang w:eastAsia="x-none"/>
        </w:rPr>
        <w:t>Таблица 2.</w:t>
      </w:r>
      <w:r>
        <w:rPr>
          <w:rFonts w:cs="Times New Roman"/>
          <w:color w:val="000000"/>
          <w:szCs w:val="24"/>
          <w:lang w:eastAsia="x-none"/>
        </w:rPr>
        <w:t>1</w:t>
      </w:r>
      <w:r>
        <w:rPr>
          <w:rFonts w:cs="Times New Roman"/>
          <w:color w:val="000000"/>
          <w:szCs w:val="24"/>
          <w:lang w:eastAsia="x-none"/>
        </w:rPr>
        <w:t xml:space="preserve"> </w:t>
      </w:r>
      <w:bookmarkStart w:id="16" w:name="_Hlk50465284"/>
      <w:r>
        <w:rPr>
          <w:rFonts w:cs="Times New Roman"/>
          <w:color w:val="000000"/>
          <w:szCs w:val="24"/>
          <w:lang w:eastAsia="x-none"/>
        </w:rPr>
        <w:t xml:space="preserve">Требования по срокам </w:t>
      </w:r>
      <w:bookmarkEnd w:id="14"/>
      <w:bookmarkEnd w:id="15"/>
      <w:bookmarkEnd w:id="16"/>
      <w:r>
        <w:rPr>
          <w:rFonts w:cs="Times New Roman"/>
          <w:color w:val="000000"/>
          <w:szCs w:val="24"/>
          <w:lang w:eastAsia="x-none"/>
        </w:rPr>
        <w:t>поставки продукции</w:t>
      </w:r>
      <w:bookmarkEnd w:id="13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9738" w:type="dxa"/>
        <w:jc w:val="left"/>
        <w:tblInd w:w="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85"/>
        <w:gridCol w:w="3623"/>
        <w:gridCol w:w="2665"/>
        <w:gridCol w:w="2665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№ </w:t>
            </w:r>
            <w:r>
              <w:rPr>
                <w:rFonts w:cs="Times New Roman"/>
                <w:color w:val="000000"/>
                <w:szCs w:val="24"/>
              </w:rPr>
              <w:t>п/п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 продукции / партии продукции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</w:tr>
      <w:tr>
        <w:trPr>
          <w:trHeight w:val="1124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70" w:hanging="0"/>
              <w:jc w:val="center"/>
              <w:rPr/>
            </w:pPr>
            <w:r>
              <w:rPr>
                <w:color w:val="000000"/>
              </w:rPr>
              <w:t>1.</w:t>
            </w: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900" w:leader="none"/>
              </w:tabs>
              <w:spacing w:lineRule="auto" w:line="276"/>
              <w:jc w:val="center"/>
              <w:outlineLvl w:val="0"/>
              <w:rPr/>
            </w:pPr>
            <w:r>
              <w:rPr>
                <w:rStyle w:val="Style"/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ОКПД2 42.99.19.142</w:t>
            </w:r>
            <w:r>
              <w:rPr>
                <w:rStyle w:val="Style"/>
                <w:rFonts w:cs="Times New Roman" w:ascii="Times New Roman" w:hAnsi="Times New Roman"/>
                <w:b w:val="false"/>
                <w:i w:val="false"/>
                <w:color w:val="000000"/>
                <w:sz w:val="26"/>
                <w:szCs w:val="26"/>
                <w:shd w:fill="FFFFFF" w:val="clear"/>
              </w:rPr>
              <w:t xml:space="preserve"> </w:t>
            </w:r>
            <w:r>
              <w:rPr>
                <w:rStyle w:val="Style"/>
                <w:rFonts w:ascii="Times New Roman" w:hAnsi="Times New Roman"/>
                <w:b w:val="false"/>
                <w:i w:val="false"/>
                <w:shd w:fill="FFFFFF" w:val="clear"/>
              </w:rPr>
              <w:t xml:space="preserve">Поставка </w:t>
            </w:r>
            <w:r>
              <w:rPr>
                <w:rStyle w:val="Style"/>
                <w:rFonts w:cs="Times New Roman" w:ascii="Times New Roman" w:hAnsi="Times New Roman"/>
                <w:b w:val="false"/>
                <w:i w:val="false"/>
                <w:color w:val="000000"/>
                <w:szCs w:val="24"/>
                <w:shd w:fill="FFFFFF" w:val="clear"/>
              </w:rPr>
              <w:t>предупредительного</w:t>
            </w:r>
            <w:r>
              <w:rPr>
                <w:rStyle w:val="Style"/>
                <w:rFonts w:ascii="Times New Roman" w:hAnsi="Times New Roman"/>
                <w:b w:val="false"/>
                <w:i w:val="false"/>
                <w:color w:val="000000"/>
                <w:shd w:fill="FFFFFF" w:val="clear"/>
              </w:rPr>
              <w:t xml:space="preserve"> инженерного </w:t>
            </w:r>
            <w:r>
              <w:rPr>
                <w:rStyle w:val="Style"/>
                <w:rFonts w:cs="Times New Roman" w:ascii="Times New Roman" w:hAnsi="Times New Roman"/>
                <w:b w:val="false"/>
                <w:i w:val="false"/>
                <w:color w:val="000000"/>
                <w:szCs w:val="24"/>
                <w:shd w:fill="FFFFFF" w:val="clear"/>
              </w:rPr>
              <w:t>ограждения</w:t>
            </w:r>
            <w:r>
              <w:rPr>
                <w:rStyle w:val="Style"/>
                <w:rFonts w:ascii="Times New Roman" w:hAnsi="Times New Roman"/>
                <w:b w:val="false"/>
                <w:i w:val="false"/>
                <w:color w:val="000000"/>
                <w:shd w:fill="FFFFFF" w:val="clear"/>
              </w:rPr>
              <w:t xml:space="preserve"> </w:t>
            </w:r>
            <w:r>
              <w:rPr>
                <w:rStyle w:val="Style"/>
                <w:rFonts w:ascii="Times New Roman" w:hAnsi="Times New Roman"/>
                <w:b w:val="false"/>
                <w:i w:val="false"/>
                <w:shd w:fill="FFFFFF" w:val="clear"/>
              </w:rPr>
              <w:t xml:space="preserve">ЛБЗП </w:t>
            </w:r>
            <w:r>
              <w:rPr>
                <w:rStyle w:val="Style"/>
                <w:rFonts w:ascii="Times New Roman" w:hAnsi="Times New Roman"/>
                <w:b w:val="false"/>
                <w:i w:val="false"/>
                <w:shd w:fill="FFFFFF" w:val="clear"/>
              </w:rPr>
              <w:t xml:space="preserve">для </w:t>
            </w:r>
            <w:r>
              <w:rPr>
                <w:rStyle w:val="Style"/>
                <w:rFonts w:ascii="Times New Roman" w:hAnsi="Times New Roman"/>
                <w:b w:val="false"/>
                <w:i w:val="false"/>
                <w:shd w:fill="FFFFFF" w:val="clear"/>
              </w:rPr>
              <w:t>Новосибирской ГЭС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подписания договора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 xml:space="preserve">В течение </w:t>
            </w:r>
            <w:r>
              <w:rPr>
                <w:rFonts w:cs="Times New Roman"/>
                <w:color w:val="000000"/>
                <w:szCs w:val="24"/>
                <w:shd w:fill="auto" w:val="clear"/>
              </w:rPr>
              <w:t>40</w:t>
            </w:r>
            <w:r>
              <w:rPr>
                <w:rFonts w:cs="Times New Roman"/>
                <w:color w:val="000000"/>
                <w:szCs w:val="24"/>
                <w:shd w:fill="FFFF00" w:val="clear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35" w:right="851" w:gutter="0" w:header="0" w:top="709" w:footer="304" w:bottom="511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432"/>
        <w:jc w:val="both"/>
        <w:rPr>
          <w:bCs/>
          <w:i/>
          <w:i/>
          <w:szCs w:val="24"/>
          <w:lang w:eastAsia="x-none"/>
        </w:rPr>
      </w:pPr>
      <w:r>
        <w:rPr/>
      </w:r>
    </w:p>
    <w:p>
      <w:pPr>
        <w:pStyle w:val="Normal"/>
        <w:rPr>
          <w:rFonts w:cs="Times New Roman"/>
          <w:color w:val="000000"/>
          <w:szCs w:val="24"/>
          <w:lang w:eastAsia="x-none"/>
        </w:rPr>
      </w:pPr>
      <w:bookmarkStart w:id="17" w:name="_Toc75446582"/>
      <w:r>
        <w:rPr>
          <w:rFonts w:cs="Times New Roman"/>
          <w:color w:val="000000"/>
          <w:szCs w:val="24"/>
          <w:lang w:eastAsia="x-none"/>
        </w:rPr>
        <w:t>Таблица 3. Требования к продукции</w:t>
      </w:r>
      <w:bookmarkEnd w:id="17"/>
    </w:p>
    <w:tbl>
      <w:tblPr>
        <w:tblW w:w="14619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96"/>
        <w:gridCol w:w="2319"/>
        <w:gridCol w:w="2204"/>
        <w:gridCol w:w="3566"/>
        <w:gridCol w:w="5734"/>
      </w:tblGrid>
      <w:tr>
        <w:trPr>
          <w:trHeight w:val="424" w:hRule="atLeast"/>
        </w:trPr>
        <w:tc>
          <w:tcPr>
            <w:tcW w:w="14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Наименование продукции (позиции № 1.1-1.7 (Таблицы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): </w:t>
            </w:r>
            <w:r>
              <w:rPr>
                <w:rStyle w:val="Style"/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kern w:val="0"/>
                <w:sz w:val="22"/>
                <w:szCs w:val="22"/>
                <w:u w:val="none"/>
                <w:shd w:fill="auto" w:val="clear"/>
                <w:em w:val="none"/>
                <w:lang w:val="ru-RU" w:eastAsia="en-US" w:bidi="ar-SA"/>
              </w:rPr>
              <w:t>ОКПД2 42.99.19.142</w:t>
            </w:r>
            <w:r>
              <w:rPr>
                <w:rStyle w:val="Style"/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Style w:val="Style"/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  <w:shd w:fill="FFFFFF" w:val="clear"/>
              </w:rPr>
              <w:t xml:space="preserve">Поставка </w:t>
            </w:r>
            <w:r>
              <w:rPr>
                <w:rStyle w:val="Style"/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  <w:shd w:fill="FFFFFF" w:val="clear"/>
              </w:rPr>
              <w:t xml:space="preserve">предупредительного инженерного ограждения </w:t>
            </w:r>
            <w:r>
              <w:rPr>
                <w:rStyle w:val="Style"/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  <w:shd w:fill="FFFFFF" w:val="clear"/>
              </w:rPr>
              <w:t xml:space="preserve">ЛБЗП </w:t>
            </w:r>
            <w:r>
              <w:rPr>
                <w:rStyle w:val="Style"/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  <w:shd w:fill="FFFFFF" w:val="clear"/>
              </w:rPr>
              <w:t xml:space="preserve">для </w:t>
            </w:r>
            <w:r>
              <w:rPr>
                <w:rStyle w:val="Style"/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  <w:shd w:fill="FFFFFF" w:val="clear"/>
              </w:rPr>
              <w:t>Новосибирской ГЭС</w:t>
            </w:r>
          </w:p>
        </w:tc>
      </w:tr>
      <w:tr>
        <w:trPr>
          <w:trHeight w:val="544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Требование заказчика</w:t>
            </w:r>
          </w:p>
        </w:tc>
      </w:tr>
      <w:tr>
        <w:trPr>
          <w:trHeight w:val="273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126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Панель ограждения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Производитель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Gardis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Тип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П-P3D.3000.2230.150.50.5.5.RAL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Цвет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RAL-7040 (Темно Серый)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Материал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С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тальной горячеоцинкованный пруток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Диаметр прутка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5 мм. (с полимерным покрытием 5,2 мм.)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Размер панели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3000х2230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мм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Р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азмер ячейки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50х150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мм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Кол-во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реб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е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р жесткости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137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Размеры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реб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е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 жесткости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Длина 100 мм. </w:t>
            </w:r>
          </w:p>
        </w:tc>
      </w:tr>
      <w:tr>
        <w:trPr>
          <w:trHeight w:val="137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В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ысот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а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 43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мм.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Высота ограждения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2,3 м.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окрытие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Четыре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х слойное нанокерамическое полимерное </w:t>
            </w:r>
          </w:p>
        </w:tc>
      </w:tr>
      <w:tr>
        <w:trPr>
          <w:trHeight w:val="125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О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крашивание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Д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есятистадийное </w:t>
            </w:r>
          </w:p>
        </w:tc>
      </w:tr>
      <w:tr>
        <w:trPr>
          <w:trHeight w:val="101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Панель ограждения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Производитель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Gardis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Тип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П-P3D.2500.2230.150.50.5.5.RAL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Цвет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RAL-7040 (Темно Серый)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Материал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С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тальной горячеоцинкованный пруток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Диаметр прутка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5 мм. (с полимерным покрытием 5,2 мм.)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Размер панели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3000х2230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мм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Р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азмер ячейки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50х150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мм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Кол-во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реб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е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р жесткости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Размеры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реб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е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 жесткости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Длина 100 мм.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В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ысот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а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 43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мм.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Высота ограждения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2,3 м.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окрытие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Четыре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х слойное нанокерамическое полимерное </w:t>
            </w:r>
          </w:p>
        </w:tc>
      </w:tr>
      <w:tr>
        <w:trPr>
          <w:trHeight w:val="10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О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крашивание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Десятистадийное 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Столб ограждения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Производитель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Gardis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Тип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СОПФ.2300.80.80.20.RAL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Цвет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RAL-7040 (Темно Серый)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Описание столба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Профилированный без применения сварки, оцинкованный, с замковым соединением seam-lock и шовным clinch-соединением глубиной 1,1 мм. и шагом 12 мм., с приваренным фланцем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Сечение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80х80 мм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олщина стенки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мм.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Д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лина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2300 мм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В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 комплекте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заглушка пластиковая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Габариты ф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ланц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160*160*6 мм.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Покрытие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Двухслойное дополнительное защитное покрытие (конверсионное нанокерамическое покрытие на основе циркония и полиэфирное полимерное покрытие порошковой краской)</w:t>
            </w:r>
          </w:p>
        </w:tc>
      </w:tr>
      <w:tr>
        <w:trPr>
          <w:trHeight w:val="90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ехнология покрытия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Десяти стадийная с применением технологии подготовки поверхности от Henkel</w:t>
            </w:r>
          </w:p>
        </w:tc>
      </w:tr>
      <w:tr>
        <w:trPr>
          <w:trHeight w:val="72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Набор комплектов планки прижимной (на столб 80)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Производитель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Gardis</w:t>
            </w:r>
          </w:p>
        </w:tc>
      </w:tr>
      <w:tr>
        <w:trPr>
          <w:trHeight w:val="168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Тип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ПП.40.30.RAL(М6)</w:t>
            </w:r>
          </w:p>
        </w:tc>
      </w:tr>
      <w:tr>
        <w:trPr>
          <w:trHeight w:val="161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Цвет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RAL-7040 (Темно Серый)</w:t>
            </w:r>
          </w:p>
        </w:tc>
      </w:tr>
      <w:tr>
        <w:trPr>
          <w:trHeight w:val="161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Количество комплектов планки прижимной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По 24 шт. (с логотипом GARDIS)</w:t>
            </w:r>
          </w:p>
        </w:tc>
      </w:tr>
      <w:tr>
        <w:trPr>
          <w:trHeight w:val="161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Ра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змер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планки прижимной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47*38 мм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>
        <w:trPr>
          <w:trHeight w:val="161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Материал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Из оцинк.</w:t>
            </w:r>
            <w:bookmarkStart w:id="18" w:name="_GoBack"/>
            <w:bookmarkEnd w:id="18"/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 стали толщиной 3 мм. для столбов сечением 80х80 мм.</w:t>
            </w:r>
          </w:p>
        </w:tc>
      </w:tr>
      <w:tr>
        <w:trPr>
          <w:trHeight w:val="161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В комплекте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 оцинкованными метизами М6</w:t>
            </w:r>
          </w:p>
        </w:tc>
      </w:tr>
      <w:tr>
        <w:trPr>
          <w:trHeight w:val="161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Двух слойное дополнительное защитное покрытие (конверсионное нанокерамическое покрытие на основе циркония и полиэфирное полимерное покрытие порошковой краской)</w:t>
            </w:r>
          </w:p>
        </w:tc>
      </w:tr>
      <w:tr>
        <w:trPr>
          <w:trHeight w:val="161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ехнология покрытия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Десяти стадийная технология покрытия с применением технологии подготовки поверхности от Henkel</w:t>
            </w:r>
          </w:p>
        </w:tc>
      </w:tr>
      <w:tr>
        <w:trPr>
          <w:trHeight w:val="122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Ворота распашные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Производитель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Gardis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Тип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ВР.210.500.150.55.P3D.Н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Цвет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RAL-7040 (Темно Серый)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В составе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Столбы из профильной электросварной трубы с цинковым покрытием, сечением 80*80*3 мм., длиной 2100 мм. с фланцем 160*160*6 мм. – 2 шт.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Створки из профилированной оцинкованной трубы без применения сварки 60х40х1,4 мм. с заполнением из сетчатой панели P3D – 2 шт.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Р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егулируемые петли - 4 шт.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роушины для навесного замка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У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поры в землю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О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ткрывание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Н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аружу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Ширина проема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5020 мм.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Высота ворот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2,1 м.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Покрытие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Двух слойное дополнительное защитное покрытие (конверсионное нанокерамическое покрытие на основе циркония и полиэфирное полимерное покрытие порошковой краской)</w:t>
            </w:r>
          </w:p>
        </w:tc>
      </w:tr>
      <w:tr>
        <w:trPr>
          <w:trHeight w:val="119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ехнология покрытия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Десяти стадийная технология покрытия с применением технологии подготовки поверхности от Henkel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Калитка распашная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Производитель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Gardis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Тип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КР.210.100.150.55.P3D.Пр.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Цвет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RAL-7040 (Темно Серый)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Размеры столба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80х80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мм.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 с фл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анцем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В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 состав калитки входят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Столбы из профилированной оцинкованной трубы без применения сварки сечением 80*80*2 мм, длиной 2100 мм, с фланцем 160*160*6 мм – 2 шт.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Створка из профилированной оцинкованной трубы без применения сварки 60х40х1,4 мм с заполнением из сетчатой панели P3D - 1 шт.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Регулируемые петли с открыванием на 180° - 2 шт.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Врезной замок с комплектом ключей - 1 шт.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Р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учка на планке - 1 комплект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Открывание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Правое (вид снаружи)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Ширина проема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1030 мм.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 xml:space="preserve">Высота калитки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2,1 м.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Покрытие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Двух слойное дополнительное защитное покрытие (конверсионное нанокерамическое покрытие на основе циркония и полиэфирное полимерное покрытие порошковой краской)</w:t>
            </w:r>
          </w:p>
        </w:tc>
      </w:tr>
      <w:tr>
        <w:trPr>
          <w:trHeight w:val="22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Т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ехнология покрытия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Десяти стадийная технология покрытия с применением технологии подготовки поверхности от Henkel</w:t>
            </w:r>
          </w:p>
        </w:tc>
      </w:tr>
      <w:tr>
        <w:trPr>
          <w:trHeight w:val="98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Свая многовитковая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ТК</w:t>
            </w:r>
          </w:p>
        </w:tc>
      </w:tr>
      <w:tr>
        <w:trPr>
          <w:trHeight w:val="9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76(3,5)/1500 мм.</w:t>
            </w:r>
          </w:p>
        </w:tc>
      </w:tr>
      <w:tr>
        <w:trPr>
          <w:trHeight w:val="9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Фланец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210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(6)</w:t>
            </w:r>
          </w:p>
        </w:tc>
      </w:tr>
      <w:tr>
        <w:trPr>
          <w:trHeight w:val="96" w:hRule="atLeast"/>
        </w:trPr>
        <w:tc>
          <w:tcPr>
            <w:tcW w:w="7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US"/>
              </w:rPr>
              <w:t>Покрытие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Грунт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1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 поставки</w:t>
            </w:r>
          </w:p>
        </w:tc>
        <w:tc>
          <w:tcPr>
            <w:tcW w:w="1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Производственный участок АО «Гидроремонт-ВКК» в г. Новосибирск, 630056, Новосибирская обл., г. Новосибирск, ул. Новоморская, д. 4 (территория Новосибирской ГЭС).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Приемка продукции</w:t>
            </w:r>
          </w:p>
        </w:tc>
        <w:tc>
          <w:tcPr>
            <w:tcW w:w="1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Приемка продукции осуществляется только в рабочие дни с 09:00 до 11:00 и с 13:00 до 16:00.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1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1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Сроки гарантии</w:t>
            </w:r>
          </w:p>
        </w:tc>
        <w:tc>
          <w:tcPr>
            <w:tcW w:w="1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x-none"/>
              </w:rPr>
              <w:t>На Продукцию устанавливается гарантийный срок, равный 36 (Тридцать шесть) месяцев, исчисляемый с даты ввода Продукции в эксплуатацию, но не более 42 (Сорок два) месяцев с даты подписания Сторонами товарной накладной по форме ТОРГ-12 или Универсального передаточного документа (УПД) и не менее гарантийного срока изготовителя (производителя) продукции. Установленный в отношении Продукции Гарантийный срок распространяется на все составные части и комплектующие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x-none"/>
              </w:rPr>
              <w:t xml:space="preserve"> Продукции.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1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Документы, передаваемые вместе с продукцией</w:t>
            </w:r>
          </w:p>
        </w:tc>
        <w:tc>
          <w:tcPr>
            <w:tcW w:w="1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ТОРГ-12(УПД) в 2 экз.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ab/>
              <w:t>Сертификат качества в 1 экз.;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ab/>
              <w:t>Технический паспорт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ab/>
              <w:t>Инструкция по эксплуатации (монтажу и т.п.)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ab/>
              <w:t>Упаковочный лист на Продукцию (каждую партию отгруженной Продукции) 1 экз.;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ab/>
              <w:t>Сертификат о происхождении Продукции в 1 экз.;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ab/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ab/>
              <w:t>Обязательные первичные документы: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- 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 или Транспортную накладную ((для учета товарно-материальных ценностей и расчетов за их перевозки) по форме согласно Приложению 4 к Правилам перевозки грузов автомобильным транспортом (в ред. Постановления Правительства РФ от 21.12.2020 № 2200);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- Товарную накладную по форме ТОРГ-12 или Универсальный передаточный документ (УПД) с обязательным указанием номера и даты Заявки-Спецификации.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1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1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Продукция должна соответствовать требованиям указанных стандартов, технических условий, чертежей. Продукция должна соответствовать обязательным требованиям, установленным нормативными документами, действующими в РФ. Продукция обязательно должна быть укомплектована документами, удостоверяющими качество продукции (паспортами, копиями сертификатов/деклараций соответствия)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568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sz w:val="20"/>
        <w:b/>
        <w:szCs w:val="20"/>
        <w:bCs/>
      </w:rPr>
      <w:instrText xml:space="preserve"> PAGE </w:instrText>
    </w:r>
    <w:r>
      <w:rPr>
        <w:sz w:val="20"/>
        <w:b/>
        <w:szCs w:val="20"/>
        <w:bCs/>
      </w:rPr>
      <w:fldChar w:fldCharType="separate"/>
    </w:r>
    <w:r>
      <w:rPr>
        <w:sz w:val="20"/>
        <w:b/>
        <w:szCs w:val="20"/>
        <w:bCs/>
      </w:rPr>
      <w:t>4</w:t>
    </w:r>
    <w:r>
      <w:rPr>
        <w:sz w:val="20"/>
        <w:b/>
        <w:szCs w:val="20"/>
        <w:bCs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sz w:val="20"/>
        <w:b/>
        <w:szCs w:val="20"/>
        <w:bCs/>
      </w:rPr>
      <w:instrText xml:space="preserve"> NUMPAGES </w:instrText>
    </w:r>
    <w:r>
      <w:rPr>
        <w:sz w:val="20"/>
        <w:b/>
        <w:szCs w:val="20"/>
        <w:bCs/>
      </w:rPr>
      <w:fldChar w:fldCharType="separate"/>
    </w:r>
    <w:r>
      <w:rPr>
        <w:sz w:val="20"/>
        <w:b/>
        <w:szCs w:val="20"/>
        <w:bCs/>
      </w:rPr>
      <w:t>8</w:t>
    </w:r>
    <w:r>
      <w:rPr>
        <w:sz w:val="20"/>
        <w:b/>
        <w:szCs w:val="20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6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8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"/>
      <w:lvlJc w:val="left"/>
      <w:pPr>
        <w:tabs>
          <w:tab w:val="num" w:pos="568"/>
        </w:tabs>
        <w:ind w:left="928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20"/>
        <w:tab w:val="left" w:pos="0" w:leader="none"/>
        <w:tab w:val="left" w:pos="709" w:leader="none"/>
      </w:tabs>
      <w:ind w:firstLine="709"/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C-gruppedpropsprop-value" w:customStyle="1">
    <w:name w:val="c-gruppedprops__prop-value"/>
    <w:basedOn w:val="DefaultParagraphFont"/>
    <w:qFormat/>
    <w:rPr/>
  </w:style>
  <w:style w:type="character" w:styleId="Label" w:customStyle="1">
    <w:name w:val="label"/>
    <w:basedOn w:val="DefaultParagraphFont"/>
    <w:qFormat/>
    <w:rPr/>
  </w:style>
  <w:style w:type="character" w:styleId="Uk-leader-fill" w:customStyle="1">
    <w:name w:val="uk-leader-fill"/>
    <w:basedOn w:val="DefaultParagraphFont"/>
    <w:qFormat/>
    <w:rsid w:val="00b56115"/>
    <w:rPr/>
  </w:style>
  <w:style w:type="character" w:styleId="Character-title" w:customStyle="1">
    <w:name w:val="character-title"/>
    <w:basedOn w:val="DefaultParagraphFont"/>
    <w:qFormat/>
    <w:rsid w:val="00ce3fd4"/>
    <w:rPr/>
  </w:style>
  <w:style w:type="character" w:styleId="Character-value" w:customStyle="1">
    <w:name w:val="character-value"/>
    <w:basedOn w:val="DefaultParagraphFont"/>
    <w:qFormat/>
    <w:rsid w:val="00ce3fd4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1"/>
    <w:qFormat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ind w:left="708" w:hanging="0"/>
    </w:pPr>
    <w:rPr/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cs="Times New Roman" w:eastAsia="Calibri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jc w:val="both"/>
      <w:outlineLvl w:val="4"/>
    </w:pPr>
    <w:rPr>
      <w:sz w:val="26"/>
      <w:szCs w:val="28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jc w:val="both"/>
    </w:pPr>
    <w:rPr>
      <w:sz w:val="26"/>
      <w:szCs w:val="28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</w:rPr>
  </w:style>
  <w:style w:type="paragraph" w:styleId="Style34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jc w:val="right"/>
      <w:outlineLvl w:val="3"/>
    </w:pPr>
    <w:rPr>
      <w:sz w:val="26"/>
      <w:szCs w:val="28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20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20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Style37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1" w:customStyle="1">
    <w:name w:val="Знак Знак Знак Знак1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Jss308" w:customStyle="1">
    <w:name w:val="jss308"/>
    <w:basedOn w:val="Normal"/>
    <w:qFormat/>
    <w:pPr>
      <w:suppressAutoHyphens w:val="false"/>
      <w:spacing w:before="280" w:after="280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paragraph" w:styleId="Style42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andard" w:customStyle="1">
    <w:name w:val="Standard"/>
    <w:qFormat/>
    <w:rsid w:val="00ec334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qFormat/>
  </w:style>
  <w:style w:type="numbering" w:styleId="212" w:customStyle="1">
    <w:name w:val="Стиль2"/>
    <w:qFormat/>
  </w:style>
  <w:style w:type="numbering" w:styleId="113" w:customStyle="1">
    <w:name w:val="Нет списка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AlterOffice/3.4.0.9$Linux_X86_64 LibreOffice_project/b8daf9e823b1a5463a2f48435ddc2e8696e7d4fc</Application>
  <AppVersion>15.0000</AppVersion>
  <Pages>8</Pages>
  <Words>1719</Words>
  <Characters>11753</Characters>
  <CharactersWithSpaces>13207</CharactersWithSpaces>
  <Paragraphs>283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2026-07-07T08:50:00Z</dcterms:created>
  <dc:creator>Вашкевич Ольга Владимировна</dc:creator>
  <dc:description/>
  <dc:language>ru-RU</dc:language>
  <cp:lastModifiedBy>kochetovsv@corp.gidroogk.com</cp:lastModifiedBy>
  <cp:lastPrinted>2025-01-16T07:07:00Z</cp:lastPrinted>
  <dcterms:modified xsi:type="dcterms:W3CDTF">2026-07-17T11:58:52Z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