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61F024FC" w14:textId="705791B7" w:rsidR="00754FEC" w:rsidRDefault="00160185" w:rsidP="00F47F8F">
      <w:pPr>
        <w:widowControl w:val="0"/>
        <w:suppressLineNumbers/>
        <w:suppressAutoHyphens/>
        <w:jc w:val="center"/>
        <w:rPr>
          <w:rFonts w:ascii="Times New Roman" w:eastAsia="Times New Roman" w:hAnsi="Times New Roman" w:cs="Times New Roman"/>
          <w:b/>
        </w:rPr>
      </w:pPr>
      <w:r w:rsidRPr="00160185">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Тюменской области АО "Почта России" (626061)</w:t>
      </w:r>
    </w:p>
    <w:p w14:paraId="708B4E9F" w14:textId="77777777" w:rsidR="000166D8" w:rsidRPr="00F47F8F" w:rsidRDefault="000166D8"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7A6A8140" w14:textId="77777777" w:rsidR="00160185" w:rsidRPr="00160185" w:rsidRDefault="00160185" w:rsidP="00160185">
            <w:pPr>
              <w:widowControl w:val="0"/>
              <w:jc w:val="both"/>
              <w:rPr>
                <w:rFonts w:ascii="Times New Roman" w:eastAsia="Times New Roman" w:hAnsi="Times New Roman" w:cs="Times New Roman"/>
                <w:color w:val="auto"/>
                <w:lang w:val="ru-RU"/>
              </w:rPr>
            </w:pPr>
            <w:r w:rsidRPr="00160185">
              <w:rPr>
                <w:rFonts w:ascii="Times New Roman" w:eastAsia="Times New Roman" w:hAnsi="Times New Roman" w:cs="Times New Roman"/>
                <w:color w:val="auto"/>
                <w:lang w:val="ru-RU"/>
              </w:rPr>
              <w:lastRenderedPageBreak/>
              <w:t>ЭТП РАД</w:t>
            </w:r>
          </w:p>
          <w:p w14:paraId="4770AFC9" w14:textId="62ED659D" w:rsidR="00F509E6" w:rsidRPr="00F47F8F" w:rsidRDefault="00160185" w:rsidP="00160185">
            <w:pPr>
              <w:widowControl w:val="0"/>
              <w:jc w:val="both"/>
              <w:rPr>
                <w:rFonts w:ascii="Times New Roman" w:eastAsia="Times New Roman" w:hAnsi="Times New Roman" w:cs="Times New Roman"/>
                <w:color w:val="auto"/>
                <w:lang w:val="ru-RU"/>
              </w:rPr>
            </w:pPr>
            <w:r w:rsidRPr="00160185">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3805EB96" w:rsidR="00524154" w:rsidRPr="00BB1564" w:rsidRDefault="00BB1564" w:rsidP="00821BB0">
            <w:pPr>
              <w:widowControl w:val="0"/>
              <w:tabs>
                <w:tab w:val="left" w:pos="467"/>
              </w:tabs>
              <w:ind w:firstLine="184"/>
              <w:jc w:val="both"/>
              <w:rPr>
                <w:rFonts w:ascii="Times New Roman" w:eastAsia="Times New Roman" w:hAnsi="Times New Roman" w:cs="Times New Roman"/>
                <w:b/>
                <w:color w:val="auto"/>
                <w:lang w:val="ru-RU"/>
              </w:rPr>
            </w:pPr>
            <w:r w:rsidRPr="00BB1564">
              <w:rPr>
                <w:rFonts w:ascii="Times New Roman" w:eastAsia="Times New Roman" w:hAnsi="Times New Roman" w:cs="Times New Roman"/>
                <w:b/>
                <w:color w:val="auto"/>
                <w:lang w:val="ru-RU"/>
              </w:rPr>
              <w:t>04.08.2026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4284473F" w:rsidR="00BA7374" w:rsidRPr="00754FEC" w:rsidRDefault="00160185" w:rsidP="00821BB0">
            <w:pPr>
              <w:widowControl w:val="0"/>
              <w:rPr>
                <w:rFonts w:ascii="Times New Roman" w:eastAsia="Times New Roman" w:hAnsi="Times New Roman" w:cs="Times New Roman"/>
                <w:b/>
                <w:color w:val="auto"/>
                <w:lang w:val="ru-RU"/>
              </w:rPr>
            </w:pPr>
            <w:r w:rsidRPr="00160185">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Тюменской области АО "Почта России" (626061)</w:t>
            </w:r>
          </w:p>
        </w:tc>
      </w:tr>
      <w:tr w:rsidR="001B4BC6" w:rsidRPr="00F47F8F" w14:paraId="6C658163" w14:textId="77777777" w:rsidTr="00160185">
        <w:trPr>
          <w:trHeight w:val="2384"/>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64090B4D" w:rsidR="00E523E8" w:rsidRPr="00F47F8F" w:rsidRDefault="00160185" w:rsidP="00821BB0">
            <w:pPr>
              <w:widowControl w:val="0"/>
              <w:jc w:val="both"/>
              <w:rPr>
                <w:rFonts w:ascii="Times New Roman" w:eastAsia="Times New Roman" w:hAnsi="Times New Roman" w:cs="Times New Roman"/>
                <w:color w:val="auto"/>
              </w:rPr>
            </w:pPr>
            <w:r w:rsidRPr="00160185">
              <w:rPr>
                <w:rFonts w:ascii="Times New Roman" w:eastAsia="Times New Roman" w:hAnsi="Times New Roman" w:cs="Times New Roman"/>
                <w:b/>
                <w:color w:val="auto"/>
                <w:lang w:val="ru-RU"/>
              </w:rPr>
              <w:t>6 095 250 (Шесть миллионов девяносто пять тысяч двести пятьдесят) рублей 00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значение цены </w:t>
            </w:r>
            <w:r w:rsidR="00F17A58" w:rsidRPr="00F47F8F">
              <w:rPr>
                <w:rFonts w:ascii="Times New Roman" w:eastAsia="Times New Roman" w:hAnsi="Times New Roman" w:cs="Times New Roman"/>
                <w:color w:val="auto"/>
              </w:rPr>
              <w:lastRenderedPageBreak/>
              <w:t>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w:t>
            </w:r>
            <w:r w:rsidRPr="00F47F8F">
              <w:rPr>
                <w:rFonts w:ascii="Times New Roman" w:eastAsia="Times New Roman" w:hAnsi="Times New Roman" w:cs="Times New Roman"/>
                <w:color w:val="auto"/>
              </w:rPr>
              <w:lastRenderedPageBreak/>
              <w:t xml:space="preserve">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w:t>
            </w:r>
            <w:r w:rsidRPr="00F47F8F">
              <w:rPr>
                <w:rFonts w:ascii="Times New Roman" w:hAnsi="Times New Roman"/>
                <w:sz w:val="24"/>
                <w:szCs w:val="24"/>
              </w:rPr>
              <w:lastRenderedPageBreak/>
              <w:t>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47F8F">
              <w:rPr>
                <w:rFonts w:ascii="Times New Roman" w:hAnsi="Times New Roman"/>
                <w:sz w:val="24"/>
                <w:szCs w:val="24"/>
              </w:rP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w:t>
            </w:r>
            <w:r w:rsidRPr="00F47F8F">
              <w:rPr>
                <w:rFonts w:ascii="Times New Roman" w:eastAsia="Times New Roman" w:hAnsi="Times New Roman" w:cs="Times New Roman"/>
                <w:iCs/>
                <w:color w:val="auto"/>
                <w:lang w:val="ru-RU"/>
              </w:rPr>
              <w:lastRenderedPageBreak/>
              <w:t>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w:t>
            </w:r>
            <w:r w:rsidR="00F564BA" w:rsidRPr="00F47F8F">
              <w:rPr>
                <w:rFonts w:ascii="Times New Roman" w:eastAsia="Times New Roman" w:hAnsi="Times New Roman" w:cs="Times New Roman"/>
                <w:iCs/>
                <w:color w:val="auto"/>
                <w:lang w:val="ru-RU"/>
              </w:rPr>
              <w:lastRenderedPageBreak/>
              <w:t>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вступивших в законную силу </w:t>
            </w:r>
            <w:r w:rsidRPr="00F47F8F">
              <w:rPr>
                <w:rFonts w:ascii="Times New Roman" w:eastAsia="Times New Roman" w:hAnsi="Times New Roman" w:cs="Times New Roman"/>
                <w:iCs/>
                <w:color w:val="auto"/>
                <w:lang w:val="ru-RU"/>
              </w:rPr>
              <w:lastRenderedPageBreak/>
              <w:t>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w:t>
            </w:r>
            <w:r w:rsidRPr="00F47F8F">
              <w:rPr>
                <w:rFonts w:ascii="Times New Roman" w:hAnsi="Times New Roman" w:cs="Times New Roman"/>
                <w:color w:val="auto"/>
                <w:lang w:eastAsia="x-none"/>
              </w:rPr>
              <w:lastRenderedPageBreak/>
              <w:t xml:space="preserve">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1B4BC6" w:rsidRPr="00F47F8F" w14:paraId="0D4173E4" w14:textId="77777777" w:rsidTr="001B4BC6">
        <w:trPr>
          <w:jc w:val="center"/>
        </w:trPr>
        <w:tc>
          <w:tcPr>
            <w:tcW w:w="1213" w:type="dxa"/>
            <w:shd w:val="clear" w:color="auto" w:fill="auto"/>
            <w:vAlign w:val="center"/>
          </w:tcPr>
          <w:p w14:paraId="203AD67B"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C42FD89"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окончания срока </w:t>
            </w:r>
            <w:r w:rsidRPr="00F47F8F">
              <w:rPr>
                <w:rFonts w:ascii="Times New Roman" w:eastAsia="Times New Roman" w:hAnsi="Times New Roman" w:cs="Times New Roman"/>
                <w:color w:val="auto"/>
              </w:rPr>
              <w:lastRenderedPageBreak/>
              <w:t>подачи заявок на участие в ценовом отборе</w:t>
            </w:r>
          </w:p>
        </w:tc>
        <w:tc>
          <w:tcPr>
            <w:tcW w:w="5657" w:type="dxa"/>
            <w:gridSpan w:val="2"/>
            <w:shd w:val="clear" w:color="auto" w:fill="auto"/>
            <w:vAlign w:val="center"/>
          </w:tcPr>
          <w:p w14:paraId="010523E0" w14:textId="065A0D24" w:rsidR="00D540BE" w:rsidRPr="00BB1564" w:rsidRDefault="00D540BE" w:rsidP="00821BB0">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Дата начала подачи заявок на участие в ценовом отборе</w:t>
            </w:r>
            <w:r w:rsidRPr="00BB1564">
              <w:rPr>
                <w:rFonts w:ascii="Times New Roman" w:eastAsia="Times New Roman" w:hAnsi="Times New Roman" w:cs="Times New Roman"/>
                <w:b/>
                <w:color w:val="auto"/>
              </w:rPr>
              <w:t xml:space="preserve">: </w:t>
            </w:r>
            <w:r w:rsidR="00BB1564" w:rsidRPr="00BB1564">
              <w:rPr>
                <w:rFonts w:ascii="Times New Roman" w:eastAsia="Times New Roman" w:hAnsi="Times New Roman" w:cs="Times New Roman"/>
                <w:b/>
                <w:color w:val="auto"/>
                <w:lang w:val="ru-RU"/>
              </w:rPr>
              <w:t>20.07.2026</w:t>
            </w:r>
          </w:p>
          <w:p w14:paraId="3D3DF735" w14:textId="244B92FE" w:rsidR="00D540BE" w:rsidRPr="00BB1564"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br/>
              <w:t xml:space="preserve">Дата и время окончания подачи заявок на участие в ценовом отборе: </w:t>
            </w:r>
            <w:r w:rsidR="00BB1564" w:rsidRPr="00BB1564">
              <w:rPr>
                <w:rFonts w:ascii="Times New Roman" w:eastAsia="Times New Roman" w:hAnsi="Times New Roman" w:cs="Times New Roman"/>
                <w:b/>
                <w:color w:val="auto"/>
                <w:lang w:val="ru-RU"/>
              </w:rPr>
              <w:t>04.08.2026 (09:00 местное время)</w:t>
            </w:r>
          </w:p>
        </w:tc>
      </w:tr>
      <w:tr w:rsidR="001B4BC6" w:rsidRPr="00F47F8F" w14:paraId="62CFE919" w14:textId="77777777" w:rsidTr="001B4BC6">
        <w:trPr>
          <w:jc w:val="center"/>
        </w:trPr>
        <w:tc>
          <w:tcPr>
            <w:tcW w:w="1213" w:type="dxa"/>
            <w:shd w:val="clear" w:color="auto" w:fill="auto"/>
            <w:vAlign w:val="center"/>
          </w:tcPr>
          <w:p w14:paraId="2307A34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35A4C212" w14:textId="01E3D16E" w:rsidR="00D540BE" w:rsidRPr="00BB1564" w:rsidRDefault="00D540BE"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00BB1564" w:rsidRPr="00BB1564">
              <w:rPr>
                <w:rFonts w:ascii="Times New Roman" w:eastAsia="Times New Roman" w:hAnsi="Times New Roman" w:cs="Times New Roman"/>
                <w:b/>
                <w:color w:val="auto"/>
                <w:lang w:val="ru-RU"/>
              </w:rPr>
              <w:t>20.07.2026</w:t>
            </w:r>
          </w:p>
          <w:p w14:paraId="0CB5F0CD" w14:textId="1C0102E0" w:rsidR="00D540BE" w:rsidRPr="00BB1564" w:rsidRDefault="00D540BE" w:rsidP="00821BB0">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00BB1564" w:rsidRPr="00BB1564">
              <w:rPr>
                <w:rFonts w:ascii="Times New Roman" w:eastAsia="Times New Roman" w:hAnsi="Times New Roman" w:cs="Times New Roman"/>
                <w:b/>
                <w:color w:val="auto"/>
                <w:lang w:val="ru-RU"/>
              </w:rPr>
              <w:t>03.08.2026</w:t>
            </w:r>
          </w:p>
          <w:p w14:paraId="3AE3AE28" w14:textId="77777777" w:rsidR="00D540BE" w:rsidRPr="00F47F8F" w:rsidRDefault="00D540BE" w:rsidP="00821BB0">
            <w:pPr>
              <w:widowControl w:val="0"/>
              <w:rPr>
                <w:rFonts w:ascii="Times New Roman" w:eastAsia="Times New Roman" w:hAnsi="Times New Roman" w:cs="Times New Roman"/>
                <w:color w:val="auto"/>
              </w:rPr>
            </w:pPr>
          </w:p>
          <w:p w14:paraId="4B9D0B86" w14:textId="1FC983FB" w:rsidR="00D540BE" w:rsidRPr="00BB1564"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sidR="00BB1564">
              <w:rPr>
                <w:rFonts w:ascii="Times New Roman" w:eastAsia="Times New Roman" w:hAnsi="Times New Roman" w:cs="Times New Roman"/>
                <w:color w:val="auto"/>
                <w:lang w:val="ru-RU"/>
              </w:rPr>
              <w:t xml:space="preserve"> </w:t>
            </w:r>
            <w:r w:rsidR="00BB1564" w:rsidRPr="00BB1564">
              <w:rPr>
                <w:rFonts w:ascii="Times New Roman" w:eastAsia="Times New Roman" w:hAnsi="Times New Roman" w:cs="Times New Roman"/>
                <w:b/>
                <w:color w:val="auto"/>
                <w:lang w:val="ru-RU"/>
              </w:rPr>
              <w:t>29.07.2026</w:t>
            </w:r>
          </w:p>
        </w:tc>
      </w:tr>
      <w:tr w:rsidR="001B4BC6" w:rsidRPr="00F47F8F" w14:paraId="58B41882" w14:textId="77777777" w:rsidTr="001B4BC6">
        <w:trPr>
          <w:jc w:val="center"/>
        </w:trPr>
        <w:tc>
          <w:tcPr>
            <w:tcW w:w="1213" w:type="dxa"/>
            <w:shd w:val="clear" w:color="auto" w:fill="auto"/>
            <w:vAlign w:val="center"/>
          </w:tcPr>
          <w:p w14:paraId="5D2E409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7357E1BA" w:rsidR="00D540BE" w:rsidRPr="00BB1564" w:rsidRDefault="00BB1564" w:rsidP="00821BB0">
            <w:pPr>
              <w:widowContro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06.08.2026</w:t>
            </w:r>
          </w:p>
        </w:tc>
      </w:tr>
      <w:tr w:rsidR="001B4BC6" w:rsidRPr="00F47F8F" w14:paraId="74BA38DA" w14:textId="77777777" w:rsidTr="001B4BC6">
        <w:trPr>
          <w:jc w:val="center"/>
        </w:trPr>
        <w:tc>
          <w:tcPr>
            <w:tcW w:w="1213" w:type="dxa"/>
            <w:shd w:val="clear" w:color="auto" w:fill="auto"/>
            <w:vAlign w:val="center"/>
          </w:tcPr>
          <w:p w14:paraId="101D19A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50B88A21" w:rsidR="00D540BE" w:rsidRPr="00BB1564" w:rsidRDefault="00BB1564" w:rsidP="00821BB0">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07.08.2026 (09:00 местное время)</w:t>
            </w:r>
          </w:p>
        </w:tc>
      </w:tr>
      <w:tr w:rsidR="001B4BC6" w:rsidRPr="00F47F8F" w14:paraId="2C13537C" w14:textId="77777777" w:rsidTr="001B4BC6">
        <w:trPr>
          <w:jc w:val="center"/>
        </w:trPr>
        <w:tc>
          <w:tcPr>
            <w:tcW w:w="1213" w:type="dxa"/>
            <w:shd w:val="clear" w:color="auto" w:fill="auto"/>
            <w:vAlign w:val="center"/>
          </w:tcPr>
          <w:p w14:paraId="2723F9E2"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79C8FDD8" w14:textId="351BA1DD" w:rsidR="00D540BE" w:rsidRPr="00BB1564" w:rsidRDefault="00BB1564" w:rsidP="00821BB0">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14.08.2026</w:t>
            </w:r>
            <w:bookmarkStart w:id="20" w:name="_GoBack"/>
            <w:bookmarkEnd w:id="20"/>
          </w:p>
          <w:p w14:paraId="780E472E" w14:textId="77777777" w:rsidR="00D540BE" w:rsidRPr="00BB1564" w:rsidRDefault="00D540BE" w:rsidP="00821BB0">
            <w:pPr>
              <w:widowControl w:val="0"/>
              <w:jc w:val="both"/>
              <w:rPr>
                <w:rFonts w:ascii="Times New Roman" w:eastAsia="Times New Roman" w:hAnsi="Times New Roman" w:cs="Times New Roman"/>
                <w:b/>
                <w:color w:val="auto"/>
                <w:lang w:val="ru-RU"/>
              </w:rPr>
            </w:pPr>
          </w:p>
          <w:p w14:paraId="56CDB130" w14:textId="77777777" w:rsidR="00D540BE" w:rsidRPr="00BB1564" w:rsidRDefault="00D540BE" w:rsidP="00821BB0">
            <w:pPr>
              <w:widowControl w:val="0"/>
              <w:jc w:val="both"/>
              <w:rPr>
                <w:rFonts w:ascii="Times New Roman" w:eastAsia="Times New Roman" w:hAnsi="Times New Roman" w:cs="Times New Roman"/>
                <w:b/>
                <w:color w:val="auto"/>
              </w:rPr>
            </w:pPr>
          </w:p>
        </w:tc>
      </w:tr>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Обеспечение </w:t>
            </w:r>
            <w:r w:rsidRPr="00F47F8F">
              <w:rPr>
                <w:rFonts w:ascii="Times New Roman" w:eastAsia="Times New Roman" w:hAnsi="Times New Roman" w:cs="Times New Roman"/>
                <w:color w:val="auto"/>
              </w:rPr>
              <w:lastRenderedPageBreak/>
              <w:t>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6D773426"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lastRenderedPageBreak/>
              <w:t xml:space="preserve">Размер обеспечения исполнения договора </w:t>
            </w:r>
            <w:r w:rsidRPr="00F47F8F">
              <w:rPr>
                <w:rFonts w:ascii="Times New Roman" w:eastAsia="Times New Roman" w:hAnsi="Times New Roman" w:cs="Times New Roman"/>
              </w:rPr>
              <w:lastRenderedPageBreak/>
              <w:t xml:space="preserve">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EB0238" w:rsidRPr="00EB0238">
              <w:rPr>
                <w:rFonts w:ascii="Times New Roman" w:hAnsi="Times New Roman" w:cs="Times New Roman"/>
                <w:b/>
                <w:color w:val="auto"/>
                <w:lang w:val="ru-RU"/>
              </w:rPr>
              <w:t>304 762 (Триста четыре тысячи семьсот шестьдесят два) рубля 50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lastRenderedPageBreak/>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817142"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1675094C"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Исполнитель со стороны Заказчика (Филиал): УФПС СВЕРДЛОВСКОЙ ОБЛАСТИ</w:t>
            </w:r>
          </w:p>
          <w:p w14:paraId="200BEA3A" w14:textId="77777777" w:rsid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Адрес: 620700, РОССИЯ, СВЕРДЛОВСКАЯ ОБЛ, ЕКАТЕРИНБУ</w:t>
            </w:r>
            <w:r>
              <w:rPr>
                <w:rFonts w:ascii="Times New Roman" w:eastAsia="Times New Roman" w:hAnsi="Times New Roman" w:cs="Times New Roman"/>
                <w:bCs/>
                <w:lang w:val="ru-RU"/>
              </w:rPr>
              <w:t>РГ Г, ЛЕНИНА ПР-КТ, СТРОЕНИЕ 39</w:t>
            </w:r>
          </w:p>
          <w:p w14:paraId="22F25651" w14:textId="1CCA82E2"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ОГРН 1197746000000</w:t>
            </w:r>
          </w:p>
          <w:p w14:paraId="45E6339F"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ИНН 7724490000</w:t>
            </w:r>
          </w:p>
          <w:p w14:paraId="2B573E91"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КПП филиала: 667043001</w:t>
            </w:r>
          </w:p>
          <w:p w14:paraId="4D08186B"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Р/с филиала: 40502810500280008610 в ФИЛИАЛ БАНКА ВТБ (ПАО) В Г. ЕКАТЕРИНБУРГЕ</w:t>
            </w:r>
          </w:p>
          <w:p w14:paraId="4A9D8F3F"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к/с 30101810400000000952</w:t>
            </w:r>
          </w:p>
          <w:p w14:paraId="198D3D94"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БИК 046577952</w:t>
            </w:r>
          </w:p>
          <w:p w14:paraId="5A801A80" w14:textId="77777777" w:rsidR="00817142" w:rsidRPr="00817142" w:rsidRDefault="00817142" w:rsidP="00817142">
            <w:pPr>
              <w:widowControl w:val="0"/>
              <w:jc w:val="both"/>
              <w:rPr>
                <w:rFonts w:ascii="Times New Roman" w:eastAsia="Times New Roman" w:hAnsi="Times New Roman" w:cs="Times New Roman"/>
                <w:bCs/>
                <w:lang w:val="ru-RU"/>
              </w:rPr>
            </w:pPr>
            <w:r w:rsidRPr="00817142">
              <w:rPr>
                <w:rFonts w:ascii="Times New Roman" w:eastAsia="Times New Roman" w:hAnsi="Times New Roman" w:cs="Times New Roman"/>
                <w:bCs/>
                <w:lang w:val="ru-RU"/>
              </w:rPr>
              <w:t>Тел.: +7(343)3501633; +7(343)2270459</w:t>
            </w:r>
          </w:p>
          <w:p w14:paraId="295A352C" w14:textId="7F858221" w:rsidR="009C16BF" w:rsidRPr="00160185" w:rsidRDefault="00817142" w:rsidP="00817142">
            <w:pPr>
              <w:widowControl w:val="0"/>
              <w:jc w:val="both"/>
              <w:rPr>
                <w:rFonts w:ascii="Times New Roman" w:eastAsia="Times New Roman" w:hAnsi="Times New Roman" w:cs="Times New Roman"/>
                <w:lang w:val="ru-RU"/>
              </w:rPr>
            </w:pPr>
            <w:r w:rsidRPr="00817142">
              <w:rPr>
                <w:rFonts w:ascii="Times New Roman" w:eastAsia="Times New Roman" w:hAnsi="Times New Roman" w:cs="Times New Roman"/>
                <w:bCs/>
                <w:lang w:val="en-US"/>
              </w:rPr>
              <w:t>E</w:t>
            </w:r>
            <w:r w:rsidRPr="00160185">
              <w:rPr>
                <w:rFonts w:ascii="Times New Roman" w:eastAsia="Times New Roman" w:hAnsi="Times New Roman" w:cs="Times New Roman"/>
                <w:bCs/>
                <w:lang w:val="ru-RU"/>
              </w:rPr>
              <w:t>-</w:t>
            </w:r>
            <w:r w:rsidRPr="00817142">
              <w:rPr>
                <w:rFonts w:ascii="Times New Roman" w:eastAsia="Times New Roman" w:hAnsi="Times New Roman" w:cs="Times New Roman"/>
                <w:bCs/>
                <w:lang w:val="en-US"/>
              </w:rPr>
              <w:t>mail</w:t>
            </w:r>
            <w:r w:rsidRPr="00160185">
              <w:rPr>
                <w:rFonts w:ascii="Times New Roman" w:eastAsia="Times New Roman" w:hAnsi="Times New Roman" w:cs="Times New Roman"/>
                <w:bCs/>
                <w:lang w:val="ru-RU"/>
              </w:rPr>
              <w:t xml:space="preserve">: </w:t>
            </w:r>
            <w:r w:rsidRPr="00817142">
              <w:rPr>
                <w:rFonts w:ascii="Times New Roman" w:eastAsia="Times New Roman" w:hAnsi="Times New Roman" w:cs="Times New Roman"/>
                <w:bCs/>
                <w:lang w:val="en-US"/>
              </w:rPr>
              <w:t>office</w:t>
            </w:r>
            <w:r w:rsidRPr="00160185">
              <w:rPr>
                <w:rFonts w:ascii="Times New Roman" w:eastAsia="Times New Roman" w:hAnsi="Times New Roman" w:cs="Times New Roman"/>
                <w:bCs/>
                <w:lang w:val="ru-RU"/>
              </w:rPr>
              <w:t>-</w:t>
            </w:r>
            <w:r w:rsidRPr="00817142">
              <w:rPr>
                <w:rFonts w:ascii="Times New Roman" w:eastAsia="Times New Roman" w:hAnsi="Times New Roman" w:cs="Times New Roman"/>
                <w:bCs/>
                <w:lang w:val="en-US"/>
              </w:rPr>
              <w:t>R</w:t>
            </w:r>
            <w:r w:rsidRPr="00160185">
              <w:rPr>
                <w:rFonts w:ascii="Times New Roman" w:eastAsia="Times New Roman" w:hAnsi="Times New Roman" w:cs="Times New Roman"/>
                <w:bCs/>
                <w:lang w:val="ru-RU"/>
              </w:rPr>
              <w:t>96@</w:t>
            </w:r>
            <w:r w:rsidRPr="00817142">
              <w:rPr>
                <w:rFonts w:ascii="Times New Roman" w:eastAsia="Times New Roman" w:hAnsi="Times New Roman" w:cs="Times New Roman"/>
                <w:bCs/>
                <w:lang w:val="en-US"/>
              </w:rPr>
              <w:t>russianpost</w:t>
            </w:r>
            <w:r w:rsidRPr="00160185">
              <w:rPr>
                <w:rFonts w:ascii="Times New Roman" w:eastAsia="Times New Roman" w:hAnsi="Times New Roman" w:cs="Times New Roman"/>
                <w:bCs/>
                <w:lang w:val="ru-RU"/>
              </w:rPr>
              <w:t>.</w:t>
            </w:r>
            <w:r w:rsidRPr="00817142">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160185"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w:t>
            </w:r>
            <w:r w:rsidRPr="00F47F8F">
              <w:rPr>
                <w:rFonts w:ascii="Times New Roman" w:eastAsia="Times New Roman" w:hAnsi="Times New Roman" w:cs="Times New Roman"/>
                <w:color w:val="auto"/>
              </w:rPr>
              <w:lastRenderedPageBreak/>
              <w:t xml:space="preserve">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lastRenderedPageBreak/>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1285DB66"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метод сопоставимых рыночных цен (анализ</w:t>
      </w:r>
      <w:r w:rsidR="00F47F8F">
        <w:rPr>
          <w:rFonts w:ascii="Times New Roman" w:hAnsi="Times New Roman" w:cs="Times New Roman"/>
          <w:color w:val="auto"/>
          <w:lang w:val="ru-RU"/>
        </w:rPr>
        <w:t>а</w:t>
      </w:r>
      <w:r w:rsidR="00351F3D" w:rsidRPr="00F47F8F">
        <w:rPr>
          <w:rFonts w:ascii="Times New Roman" w:hAnsi="Times New Roman" w:cs="Times New Roman"/>
          <w:color w:val="auto"/>
        </w:rPr>
        <w:t xml:space="preserve"> рынка)</w:t>
      </w:r>
      <w:r w:rsidR="00351F3D" w:rsidRPr="00F47F8F">
        <w:rPr>
          <w:rFonts w:ascii="Times New Roman" w:hAnsi="Times New Roman" w:cs="Times New Roman"/>
          <w:color w:val="auto"/>
          <w:lang w:val="ru-RU"/>
        </w:rPr>
        <w:t>.</w:t>
      </w:r>
      <w:r w:rsidRPr="00F47F8F">
        <w:rPr>
          <w:rFonts w:ascii="Times New Roman" w:hAnsi="Times New Roman" w:cs="Times New Roman"/>
          <w:color w:val="auto"/>
        </w:rPr>
        <w:tab/>
      </w:r>
      <w:r w:rsidRPr="00F47F8F">
        <w:rPr>
          <w:rFonts w:ascii="Times New Roman" w:hAnsi="Times New Roman" w:cs="Times New Roman"/>
          <w:color w:val="auto"/>
        </w:rPr>
        <w:tab/>
      </w:r>
    </w:p>
    <w:p w14:paraId="2A4827B1" w14:textId="2BB6B0B9" w:rsidR="00D9258C" w:rsidRPr="00537449"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00147ED3" w:rsidRPr="00F47F8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F47F8F">
        <w:rPr>
          <w:rFonts w:ascii="Times New Roman" w:hAnsi="Times New Roman" w:cs="Times New Roman"/>
          <w:color w:val="auto"/>
        </w:rPr>
        <w:t>использована ценовая</w:t>
      </w:r>
      <w:r w:rsidR="00D9258C">
        <w:rPr>
          <w:rFonts w:ascii="Times New Roman" w:hAnsi="Times New Roman" w:cs="Times New Roman"/>
          <w:color w:val="auto"/>
        </w:rPr>
        <w:t xml:space="preserve"> информация</w:t>
      </w:r>
      <w:r w:rsidR="00D9258C" w:rsidRPr="00D9258C">
        <w:rPr>
          <w:rFonts w:ascii="Times New Roman" w:hAnsi="Times New Roman" w:cs="Times New Roman"/>
          <w:color w:val="auto"/>
        </w:rPr>
        <w:t>, полученная в ответ на запрос цен</w:t>
      </w:r>
      <w:r w:rsidR="00D9258C">
        <w:rPr>
          <w:rFonts w:ascii="Times New Roman" w:hAnsi="Times New Roman" w:cs="Times New Roman"/>
          <w:color w:val="auto"/>
          <w:lang w:val="ru-RU"/>
        </w:rPr>
        <w:t xml:space="preserve"> ТРУ</w:t>
      </w:r>
      <w:r w:rsidR="00D9258C" w:rsidRPr="00D9258C">
        <w:rPr>
          <w:rFonts w:ascii="Times New Roman" w:hAnsi="Times New Roman" w:cs="Times New Roman"/>
          <w:color w:val="auto"/>
        </w:rPr>
        <w:t>, размещенный на ЭП</w:t>
      </w:r>
      <w:r w:rsidR="00537449">
        <w:rPr>
          <w:rFonts w:ascii="Times New Roman" w:hAnsi="Times New Roman" w:cs="Times New Roman"/>
          <w:color w:val="auto"/>
          <w:lang w:val="ru-RU"/>
        </w:rPr>
        <w:t xml:space="preserve">, </w:t>
      </w:r>
      <w:r w:rsidR="00537449" w:rsidRPr="00537449">
        <w:rPr>
          <w:rFonts w:ascii="Times New Roman" w:hAnsi="Times New Roman" w:cs="Times New Roman"/>
          <w:color w:val="auto"/>
          <w:lang w:val="ru-RU"/>
        </w:rPr>
        <w:t>информация, полученная по запросу заказчика у поставщиков, осуществляющих поставку идентичных товаров, планируемых к закупке.</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22E7925E"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236E" w14:textId="77777777" w:rsidR="00D64CE6" w:rsidRDefault="00D64CE6">
      <w:r>
        <w:separator/>
      </w:r>
    </w:p>
  </w:endnote>
  <w:endnote w:type="continuationSeparator" w:id="0">
    <w:p w14:paraId="14E860A5" w14:textId="77777777" w:rsidR="00D64CE6" w:rsidRDefault="00D64CE6">
      <w:r>
        <w:continuationSeparator/>
      </w:r>
    </w:p>
  </w:endnote>
  <w:endnote w:type="continuationNotice" w:id="1">
    <w:p w14:paraId="21619A96" w14:textId="77777777" w:rsidR="00D64CE6" w:rsidRDefault="00D64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273D" w14:textId="77777777" w:rsidR="00D64CE6" w:rsidRDefault="00D64CE6">
      <w:r>
        <w:separator/>
      </w:r>
    </w:p>
  </w:footnote>
  <w:footnote w:type="continuationSeparator" w:id="0">
    <w:p w14:paraId="69DC11F1" w14:textId="77777777" w:rsidR="00D64CE6" w:rsidRDefault="00D64CE6">
      <w:r>
        <w:continuationSeparator/>
      </w:r>
    </w:p>
  </w:footnote>
  <w:footnote w:type="continuationNotice" w:id="1">
    <w:p w14:paraId="08A90231" w14:textId="77777777" w:rsidR="00D64CE6" w:rsidRDefault="00D64CE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E65"/>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185"/>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0D8"/>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12D"/>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75A"/>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44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6E6"/>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4E5C"/>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14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6BB"/>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27DC5"/>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B3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484"/>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1564"/>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528B"/>
    <w:rsid w:val="00BF595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5E64"/>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903"/>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CE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B63"/>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4F81"/>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238"/>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22DD-3424-491D-8D92-1834B8FC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38333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52</cp:revision>
  <cp:lastPrinted>2020-02-03T09:51:00Z</cp:lastPrinted>
  <dcterms:created xsi:type="dcterms:W3CDTF">2025-08-18T06:03:00Z</dcterms:created>
  <dcterms:modified xsi:type="dcterms:W3CDTF">2026-07-16T12:10:00Z</dcterms:modified>
</cp:coreProperties>
</file>