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14.xml" ContentType="application/vnd.openxmlformats-officedocument.wordprocessingml.header+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header13.xml" ContentType="application/vnd.openxmlformats-officedocument.wordprocessingml.head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overflowPunct w:val="true"/>
        <w:bidi w:val="0"/>
        <w:ind w:left="6236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236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236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236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236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236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236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/>
      </w:pP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>«ОКПД2 27.12.24 Поставка продукции на эксплуатационные нужды систем релейной защиты Филиала ПАО "РусГидро"-"Каскад Кубанских ГЭС"</w:t>
      </w:r>
      <w:r>
        <w:rPr>
          <w:rFonts w:cs="Times New Roman" w:ascii="Times New Roman" w:hAnsi="Times New Roman"/>
          <w:b/>
          <w:sz w:val="24"/>
          <w:szCs w:val="24"/>
        </w:rPr>
        <w:t>»</w:t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Лот № 26-ЭКСП-БПД-2026-ККГЭС</w:t>
      </w:r>
    </w:p>
    <w:p>
      <w:pPr>
        <w:pStyle w:val="Normal"/>
        <w:jc w:val="center"/>
        <w:rPr>
          <w:rFonts w:ascii="Times New Roman" w:hAnsi="Times New Roman" w:cs="Times New Roman"/>
          <w:b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headerReference w:type="even" r:id="rId2"/>
          <w:headerReference w:type="default" r:id="rId3"/>
          <w:type w:val="nextPage"/>
          <w:pgSz w:w="11906" w:h="16838"/>
          <w:pgMar w:left="1140" w:right="341" w:gutter="0" w:header="420" w:top="765" w:footer="0" w:bottom="323"/>
          <w:pgNumType w:fmt="decimal"/>
          <w:formProt w:val="false"/>
          <w:textDirection w:val="lrTb"/>
          <w:docGrid w:type="default" w:linePitch="360" w:charSpace="16384"/>
        </w:sect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10425" w:leader="dot"/>
            </w:tabs>
            <w:rPr/>
          </w:pPr>
          <w:r>
            <w:fldChar w:fldCharType="begin"/>
          </w:r>
          <w:r>
            <w:rPr>
              <w:rStyle w:val="Style10"/>
            </w:rPr>
            <w:instrText xml:space="preserve"> TOC \o "1-4" \h</w:instrText>
          </w:r>
          <w:r>
            <w:rPr>
              <w:rStyle w:val="Style10"/>
            </w:rPr>
            <w:fldChar w:fldCharType="separate"/>
          </w:r>
          <w:hyperlink w:anchor="__RefHeading___Toc26475_2696883597">
            <w:r>
              <w:rPr>
                <w:rStyle w:val="Style10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25" w:leader="dot"/>
            </w:tabs>
            <w:rPr/>
          </w:pPr>
          <w:hyperlink w:anchor="__RefHeading___Toc1685_1216255477">
            <w:r>
              <w:rPr>
                <w:rStyle w:val="Style10"/>
              </w:rPr>
              <w:t>1.1.Наименование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25" w:leader="dot"/>
            </w:tabs>
            <w:rPr/>
          </w:pPr>
          <w:hyperlink w:anchor="__RefHeading___Toc26481_2696883597">
            <w:r>
              <w:rPr>
                <w:rStyle w:val="Style10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425" w:leader="dot"/>
            </w:tabs>
            <w:rPr/>
          </w:pPr>
          <w:hyperlink w:anchor="__RefHeading___Toc26485_2696883597">
            <w:r>
              <w:rPr>
                <w:rStyle w:val="Style10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25" w:leader="dot"/>
            </w:tabs>
            <w:rPr/>
          </w:pPr>
          <w:hyperlink w:anchor="__RefHeading___Toc26487_2696883597">
            <w:r>
              <w:rPr>
                <w:rStyle w:val="Style10"/>
              </w:rPr>
              <w:t>2.1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20"/>
              <w:tab w:val="right" w:pos="10425" w:leader="dot"/>
            </w:tabs>
            <w:rPr/>
          </w:pPr>
          <w:hyperlink w:anchor="__RefHeading___Toc26489_2696883597">
            <w:r>
              <w:rPr>
                <w:rStyle w:val="Style10"/>
              </w:rPr>
              <w:t>2.1.1. Перечень и объём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425" w:leader="dot"/>
            </w:tabs>
            <w:rPr/>
          </w:pPr>
          <w:hyperlink w:anchor="__RefHeading___Toc26491_2696883597">
            <w:r>
              <w:rPr>
                <w:rStyle w:val="Style10"/>
              </w:rPr>
              <w:t>Таблица 1.1 Перечень и объём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20"/>
              <w:tab w:val="right" w:pos="10425" w:leader="dot"/>
            </w:tabs>
            <w:rPr/>
          </w:pPr>
          <w:hyperlink w:anchor="__RefHeading___Toc26493_2696883597">
            <w:r>
              <w:rPr>
                <w:rStyle w:val="Style10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425" w:leader="dot"/>
            </w:tabs>
            <w:rPr/>
          </w:pPr>
          <w:hyperlink w:anchor="__RefHeading___Toc26495_2696883597">
            <w:r>
              <w:rPr>
                <w:rStyle w:val="Style10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425" w:leader="dot"/>
            </w:tabs>
            <w:rPr/>
          </w:pPr>
          <w:hyperlink w:anchor="__RefHeading___Toc26497_2696883597">
            <w:r>
              <w:rPr>
                <w:rStyle w:val="Style10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20"/>
              <w:tab w:val="right" w:pos="10425" w:leader="dot"/>
            </w:tabs>
            <w:rPr/>
          </w:pPr>
          <w:hyperlink w:anchor="__RefHeading___Toc26499_2696883597">
            <w:r>
              <w:rPr>
                <w:rStyle w:val="Style10"/>
              </w:rPr>
              <w:t>Таблица 3. Требования к качеству продукции.</w:t>
              <w:tab/>
              <w:t>5</w:t>
            </w:r>
          </w:hyperlink>
        </w:p>
        <w:p>
          <w:pPr>
            <w:pStyle w:val="TOC1"/>
            <w:tabs>
              <w:tab w:val="clear" w:pos="720"/>
              <w:tab w:val="right" w:pos="10425" w:leader="dot"/>
            </w:tabs>
            <w:rPr/>
          </w:pPr>
          <w:hyperlink w:anchor="__RefHeading___Toc26501_2696883597">
            <w:r>
              <w:rPr>
                <w:rStyle w:val="Style10"/>
              </w:rPr>
              <w:t>3. Требования к документации по ценообразованию на этапе закупки</w:t>
              <w:tab/>
              <w:t>9</w:t>
            </w:r>
          </w:hyperlink>
        </w:p>
        <w:p>
          <w:pPr>
            <w:pStyle w:val="TOC1"/>
            <w:tabs>
              <w:tab w:val="clear" w:pos="720"/>
              <w:tab w:val="right" w:pos="10425" w:leader="dot"/>
            </w:tabs>
            <w:rPr/>
          </w:pPr>
          <w:hyperlink w:anchor="__RefHeading___Toc26509_2696883597">
            <w:r>
              <w:rPr>
                <w:rStyle w:val="Style10"/>
                <w:iCs/>
              </w:rPr>
              <w:t xml:space="preserve">4. </w:t>
            </w:r>
            <w:r>
              <w:rPr>
                <w:rStyle w:val="Style10"/>
                <w:iCs/>
              </w:rPr>
              <w:t>Приложения</w:t>
            </w:r>
            <w:r>
              <w:rPr>
                <w:rStyle w:val="Style10"/>
              </w:rPr>
              <w:tab/>
              <w:t>9</w:t>
            </w:r>
          </w:hyperlink>
          <w:r>
            <w:rPr>
              <w:rStyle w:val="Style10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10479" w:leader="dot"/>
        </w:tabs>
        <w:rPr>
          <w:b w:val="false"/>
          <w:bCs w:val="false"/>
          <w:sz w:val="22"/>
          <w:szCs w:val="22"/>
          <w:lang w:eastAsia="ru-RU"/>
        </w:rPr>
      </w:pPr>
      <w:r>
        <w:rPr>
          <w:b w:val="false"/>
          <w:bCs w:val="false"/>
          <w:sz w:val="22"/>
          <w:szCs w:val="22"/>
          <w:lang w:eastAsia="ru-RU"/>
        </w:rPr>
      </w:r>
      <w:r>
        <w:br w:type="page"/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_RefHeading___Toc26475_2696883597"/>
      <w:bookmarkStart w:id="1" w:name="_Toc138696373"/>
      <w:bookmarkEnd w:id="0"/>
      <w:r>
        <w:rPr>
          <w:rFonts w:cs="Times New Roman" w:ascii="Times New Roman" w:hAnsi="Times New Roman"/>
          <w:sz w:val="24"/>
          <w:szCs w:val="24"/>
          <w:lang w:val="ru-RU"/>
        </w:rPr>
        <w:t>1. Общие сведения</w:t>
      </w:r>
      <w:bookmarkEnd w:id="1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2" w:name="__RefHeading___Toc1685_1216255477"/>
      <w:bookmarkStart w:id="3" w:name="_Toc138696375"/>
      <w:bookmarkEnd w:id="2"/>
      <w:r>
        <w:rPr>
          <w:rFonts w:cs="Times New Roman" w:ascii="Times New Roman" w:hAnsi="Times New Roman"/>
        </w:rPr>
        <w:t>1.</w:t>
      </w:r>
      <w:r>
        <w:rPr>
          <w:rFonts w:cs="Times New Roman" w:ascii="Times New Roman" w:hAnsi="Times New Roman"/>
        </w:rPr>
        <w:t>1</w:t>
      </w:r>
      <w:r>
        <w:rPr>
          <w:rFonts w:cs="Times New Roman" w:ascii="Times New Roman" w:hAnsi="Times New Roman"/>
        </w:rPr>
        <w:t>.Наименование закупаемой продукции</w:t>
      </w:r>
      <w:bookmarkEnd w:id="3"/>
    </w:p>
    <w:p>
      <w:pPr>
        <w:pStyle w:val="BodyText"/>
        <w:numPr>
          <w:ilvl w:val="0"/>
        </w:numPr>
        <w:jc w:val="both"/>
        <w:rPr/>
      </w:pPr>
      <w:bookmarkStart w:id="4" w:name="__RefHeading___Toc1687_1216255477"/>
      <w:bookmarkEnd w:id="4"/>
      <w:r>
        <w:rPr>
          <w:rStyle w:val="Style9"/>
          <w:rFonts w:ascii="Times New Roman" w:hAnsi="Times New Roman"/>
          <w:i w:val="false"/>
          <w:iCs w:val="false"/>
          <w:sz w:val="24"/>
          <w:szCs w:val="24"/>
          <w:shd w:fill="FFFFFF" w:val="clear"/>
        </w:rPr>
        <w:t>ОКПД2 27.12.24 Поставка продукции на эксплуатационные нужды систем релейной защиты Филиала ПАО "РусГидро"-"Каскад Кубанских ГЭС".</w:t>
      </w:r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5" w:name="__RefHeading___Toc26481_2696883597"/>
      <w:bookmarkStart w:id="6" w:name="_Toc138696376"/>
      <w:bookmarkEnd w:id="5"/>
      <w:r>
        <w:rPr>
          <w:rFonts w:cs="Times New Roman" w:ascii="Times New Roman" w:hAnsi="Times New Roman"/>
        </w:rPr>
        <w:t>1.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</w:rPr>
        <w:t xml:space="preserve">. </w:t>
      </w:r>
      <w:bookmarkStart w:id="7" w:name="_Toc75446569"/>
      <w:bookmarkStart w:id="8" w:name="_Toc46743507"/>
      <w:r>
        <w:rPr>
          <w:rFonts w:cs="Times New Roman" w:ascii="Times New Roman" w:hAnsi="Times New Roman"/>
        </w:rPr>
        <w:t xml:space="preserve">Цель </w:t>
      </w:r>
      <w:bookmarkEnd w:id="8"/>
      <w:r>
        <w:rPr>
          <w:rFonts w:cs="Times New Roman" w:ascii="Times New Roman" w:hAnsi="Times New Roman"/>
        </w:rPr>
        <w:t>использования закупаемой продукции</w:t>
      </w:r>
      <w:bookmarkEnd w:id="6"/>
      <w:bookmarkEnd w:id="7"/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jc w:val="both"/>
        <w:rPr>
          <w:rStyle w:val="Style9"/>
          <w:rFonts w:ascii="Times New Roman" w:hAnsi="Times New Roman" w:eastAsia="Times New Roman" w:cs="Times New Roman"/>
          <w:bCs/>
          <w:i w:val="false"/>
          <w:i w:val="false"/>
          <w:sz w:val="24"/>
          <w:szCs w:val="24"/>
          <w:shd w:fill="FFFFFF" w:val="clear"/>
          <w:lang w:eastAsia="ru-RU"/>
        </w:rPr>
      </w:pP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 xml:space="preserve">Создание необходимых производственных фондов </w:t>
      </w: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>материально-технических ресурсов</w:t>
      </w: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 xml:space="preserve">, требуемых для проведения </w:t>
      </w: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>технического обслуживания</w:t>
      </w: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>, эксплуатационного обслуживания оборудования релейной защиты и автоматики, технологической автоматики и возбуждения, средств измерений.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9" w:name="__RefHeading___Toc26485_2696883597"/>
      <w:bookmarkStart w:id="10" w:name="_Toc138696377"/>
      <w:bookmarkEnd w:id="9"/>
      <w:r>
        <w:rPr>
          <w:rFonts w:cs="Times New Roman" w:ascii="Times New Roman" w:hAnsi="Times New Roman"/>
          <w:bCs/>
          <w:sz w:val="24"/>
          <w:szCs w:val="24"/>
        </w:rPr>
        <w:t>2. Требования к продукции</w:t>
      </w:r>
      <w:bookmarkEnd w:id="10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11" w:name="__RefHeading___Toc26487_2696883597"/>
      <w:bookmarkStart w:id="12" w:name="_Toc138696378"/>
      <w:bookmarkEnd w:id="11"/>
      <w:r>
        <w:rPr>
          <w:rFonts w:cs="Times New Roman" w:ascii="Times New Roman" w:hAnsi="Times New Roman"/>
        </w:rPr>
        <w:t xml:space="preserve">2.1 </w:t>
      </w:r>
      <w:bookmarkStart w:id="13" w:name="_Toc75446574"/>
      <w:r>
        <w:rPr>
          <w:rFonts w:cs="Times New Roman" w:ascii="Times New Roman" w:hAnsi="Times New Roman"/>
        </w:rPr>
        <w:t xml:space="preserve">Требования к объемам и срокам </w:t>
      </w:r>
      <w:bookmarkEnd w:id="13"/>
      <w:r>
        <w:rPr>
          <w:rFonts w:cs="Times New Roman" w:ascii="Times New Roman" w:hAnsi="Times New Roman"/>
        </w:rPr>
        <w:t>поставки</w:t>
      </w:r>
      <w:bookmarkEnd w:id="12"/>
    </w:p>
    <w:p>
      <w:pPr>
        <w:pStyle w:val="Heading3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bCs/>
        </w:rPr>
      </w:pPr>
      <w:bookmarkStart w:id="14" w:name="__RefHeading___Toc26489_2696883597"/>
      <w:bookmarkStart w:id="15" w:name="_Toc132812891"/>
      <w:bookmarkStart w:id="16" w:name="_Toc75446575"/>
      <w:bookmarkStart w:id="17" w:name="_Toc138696379"/>
      <w:bookmarkStart w:id="18" w:name="_Toc132812762"/>
      <w:bookmarkEnd w:id="14"/>
      <w:bookmarkEnd w:id="16"/>
      <w:r>
        <w:rPr>
          <w:rFonts w:cs="Times New Roman" w:ascii="Times New Roman" w:hAnsi="Times New Roman"/>
          <w:bCs/>
        </w:rPr>
        <w:t>2.1.1. Перечень и объ</w:t>
      </w:r>
      <w:r>
        <w:rPr>
          <w:rFonts w:cs="Times New Roman" w:ascii="Times New Roman" w:hAnsi="Times New Roman"/>
          <w:bCs/>
          <w:lang w:val="ru-RU"/>
        </w:rPr>
        <w:t>ё</w:t>
      </w:r>
      <w:r>
        <w:rPr>
          <w:rFonts w:cs="Times New Roman" w:ascii="Times New Roman" w:hAnsi="Times New Roman"/>
          <w:bCs/>
        </w:rPr>
        <w:t>м закупаемой продукции</w:t>
      </w:r>
      <w:bookmarkEnd w:id="15"/>
      <w:bookmarkEnd w:id="17"/>
      <w:bookmarkEnd w:id="18"/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bCs/>
          <w:sz w:val="24"/>
          <w:szCs w:val="24"/>
        </w:rPr>
      </w:pPr>
      <w:bookmarkStart w:id="19" w:name="__RefHeading___Toc26491_2696883597"/>
      <w:bookmarkStart w:id="20" w:name="_Toc138696380"/>
      <w:bookmarkStart w:id="21" w:name="_Toc132812763"/>
      <w:bookmarkStart w:id="22" w:name="_Toc132812892"/>
      <w:bookmarkStart w:id="23" w:name="_Toc75446576"/>
      <w:bookmarkStart w:id="24" w:name="_Toc51339695"/>
      <w:bookmarkEnd w:id="19"/>
      <w:r>
        <w:rPr>
          <w:rFonts w:cs="Times New Roman" w:ascii="Times New Roman" w:hAnsi="Times New Roman"/>
          <w:bCs/>
          <w:sz w:val="24"/>
          <w:szCs w:val="24"/>
        </w:rPr>
        <w:t xml:space="preserve">Таблица 1.1 Перечень </w:t>
      </w:r>
      <w:bookmarkEnd w:id="23"/>
      <w:bookmarkEnd w:id="24"/>
      <w:r>
        <w:rPr>
          <w:rFonts w:cs="Times New Roman" w:ascii="Times New Roman" w:hAnsi="Times New Roman"/>
          <w:bCs/>
          <w:sz w:val="24"/>
          <w:szCs w:val="24"/>
        </w:rPr>
        <w:t>и объём закупаемой продукции</w:t>
      </w:r>
      <w:bookmarkEnd w:id="20"/>
      <w:bookmarkEnd w:id="21"/>
      <w:bookmarkEnd w:id="22"/>
    </w:p>
    <w:tbl>
      <w:tblPr>
        <w:tblW w:w="10395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6"/>
        <w:gridCol w:w="7289"/>
        <w:gridCol w:w="1185"/>
        <w:gridCol w:w="1304"/>
      </w:tblGrid>
      <w:tr>
        <w:trPr>
          <w:trHeight w:val="796" w:hRule="atLeast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20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20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Вольтметр Э47 IPV10-6-0500-E IEK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Инвертор-преобразователь напряжения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Клемма винтовая измерительная ETI ESC-SCB.6/CD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Колпачок для разъема ЮПИТЕР JP7307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Коммутатор SNR-S1000-5T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6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 аккумуляторов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Daweikala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 аккумуляторов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LIPOWER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 щупов измерительных силиконовых для мультиметра BC55-10210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Контактор модульный RD 20-20 (24V AC/DC) (AC1)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замыкающая ESC-SCB.6/PT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концевая СТЭЗ D-PTU 6-T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Ламинатор Pingda PDA4-230 C или эквивалент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28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Модуль свободных и сигнальных контактов OptiDin BM63-МССК 2</w:t>
            </w: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</w:tbl>
    <w:p>
      <w:pPr>
        <w:pStyle w:val="Heading3"/>
        <w:numPr>
          <w:ilvl w:val="2"/>
          <w:numId w:val="3"/>
        </w:numPr>
        <w:spacing w:before="0" w:after="0"/>
        <w:rPr>
          <w:rFonts w:ascii="Times New Roman" w:hAnsi="Times New Roman" w:cs="Times New Roman"/>
        </w:rPr>
      </w:pPr>
      <w:bookmarkStart w:id="25" w:name="__RefHeading___Toc26493_2696883597"/>
      <w:bookmarkStart w:id="26" w:name="_Toc132812893"/>
      <w:bookmarkStart w:id="27" w:name="_Toc132812764"/>
      <w:bookmarkStart w:id="28" w:name="_Toc138696381"/>
      <w:bookmarkStart w:id="29" w:name="_Toc51339696"/>
      <w:bookmarkStart w:id="30" w:name="_Toc75446578"/>
      <w:bookmarkEnd w:id="25"/>
      <w:r>
        <w:rPr>
          <w:rFonts w:cs="Times New Roman" w:ascii="Times New Roman" w:hAnsi="Times New Roman"/>
          <w:lang w:val="ru-RU"/>
        </w:rPr>
        <w:t xml:space="preserve">2.1.2. Требования </w:t>
      </w:r>
      <w:bookmarkEnd w:id="29"/>
      <w:bookmarkEnd w:id="30"/>
      <w:r>
        <w:rPr>
          <w:rFonts w:cs="Times New Roman" w:ascii="Times New Roman" w:hAnsi="Times New Roman"/>
          <w:lang w:val="ru-RU"/>
        </w:rPr>
        <w:t>к срокам поставки продукции и оказания сопутствующих услуг</w:t>
      </w:r>
      <w:bookmarkEnd w:id="26"/>
      <w:bookmarkEnd w:id="27"/>
      <w:bookmarkEnd w:id="28"/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bookmarkStart w:id="31" w:name="__RefHeading___Toc26495_2696883597"/>
      <w:bookmarkStart w:id="32" w:name="_Toc132812894"/>
      <w:bookmarkStart w:id="33" w:name="_Toc138696382"/>
      <w:bookmarkStart w:id="34" w:name="_Toc75446579"/>
      <w:bookmarkStart w:id="35" w:name="_Toc51339697"/>
      <w:bookmarkStart w:id="36" w:name="_Toc50125127"/>
      <w:bookmarkStart w:id="37" w:name="_Toc501251261"/>
      <w:bookmarkStart w:id="38" w:name="_Toc132812765"/>
      <w:bookmarkEnd w:id="31"/>
      <w:bookmarkEnd w:id="37"/>
      <w:r>
        <w:rPr>
          <w:rFonts w:cs="Times New Roman" w:ascii="Times New Roman" w:hAnsi="Times New Roman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sz w:val="24"/>
          <w:szCs w:val="24"/>
          <w:lang w:val="ru-RU"/>
        </w:rPr>
        <w:t>2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39" w:name="_Hlk50465284"/>
      <w:r>
        <w:rPr>
          <w:rFonts w:cs="Times New Roman" w:ascii="Times New Roman" w:hAnsi="Times New Roman"/>
          <w:sz w:val="24"/>
          <w:szCs w:val="24"/>
        </w:rPr>
        <w:t xml:space="preserve">Требования по срокам </w:t>
      </w:r>
      <w:bookmarkEnd w:id="35"/>
      <w:bookmarkEnd w:id="36"/>
      <w:bookmarkEnd w:id="39"/>
      <w:r>
        <w:rPr>
          <w:rFonts w:cs="Times New Roman" w:ascii="Times New Roman" w:hAnsi="Times New Roman"/>
          <w:sz w:val="24"/>
          <w:szCs w:val="24"/>
          <w:lang w:val="ru-RU"/>
        </w:rPr>
        <w:t>поставки продукции</w:t>
      </w:r>
      <w:bookmarkEnd w:id="32"/>
      <w:bookmarkEnd w:id="33"/>
      <w:bookmarkEnd w:id="34"/>
      <w:bookmarkEnd w:id="38"/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1041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6556"/>
        <w:gridCol w:w="1471"/>
        <w:gridCol w:w="1768"/>
      </w:tblGrid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Вольтметр Э47 IPV10-6-0500-E IEK или эквивалент</w:t>
            </w:r>
          </w:p>
        </w:tc>
        <w:tc>
          <w:tcPr>
            <w:tcW w:w="14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30.11.2026</w:t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Инвертор-преобразователь напряжения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Клемма винтовая измерительная ETI ESC-SCB.6/CD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Колпачок для разъема ЮПИТЕР JP7307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Коммутатор SNR-S1000-5T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 аккумуляторов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Daweikala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 аккумуляторов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LIPOWER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 щупов измерительных силиконовых для мультиметра BC55-10210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Контактор модульный RD 20-20 (24V AC/DC) (AC1)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замыкающая ESC-SCB.6/PT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концевая СТЭЗ D-PTU 6-T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Ламинатор Pingda PDA4-230 C или эквивалент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Модуль свободных и сигнальных контактов OptiDin BM63-МССК 2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type w:val="nextPage"/>
          <w:pgSz w:w="11906" w:h="16838"/>
          <w:pgMar w:left="1080" w:right="401" w:gutter="0" w:header="420" w:top="705" w:footer="279" w:bottom="638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40" w:name="__RefHeading___Toc26497_2696883597"/>
      <w:bookmarkStart w:id="41" w:name="_Toc138696383"/>
      <w:bookmarkEnd w:id="40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2.2. Требования к качеству продукции</w:t>
      </w:r>
      <w:bookmarkEnd w:id="41"/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42" w:name="__RefHeading___Toc26499_2696883597"/>
      <w:bookmarkStart w:id="43" w:name="_Toc138696384"/>
      <w:bookmarkStart w:id="44" w:name="_Toc132812896"/>
      <w:bookmarkStart w:id="45" w:name="_Toc132812767"/>
      <w:bookmarkEnd w:id="42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Таблица 3. Требования к качеству продукции.</w:t>
      </w:r>
      <w:bookmarkEnd w:id="43"/>
      <w:bookmarkEnd w:id="44"/>
      <w:bookmarkEnd w:id="45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Наименование продукции: </w:t>
      </w:r>
      <w:r>
        <w:rPr>
          <w:rStyle w:val="Style9"/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Поставка продукции на эксплуатационные нужды систем релейной защиты Филиала ПАО "РусГидро"-"Каскад Кубанских ГЭС"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228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5"/>
        <w:gridCol w:w="2884"/>
        <w:gridCol w:w="6521"/>
        <w:gridCol w:w="1640"/>
        <w:gridCol w:w="2039"/>
        <w:gridCol w:w="1428"/>
      </w:tblGrid>
      <w:tr>
        <w:trPr/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417" w:leader="none"/>
              </w:tabs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Вольтметр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Э47 IPV10-6-0500-E IEK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Тип: Вольтметр аналоговый;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измеряемое значение: 500 В;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Диапазон измерения напряжения:: 0-500 В;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 точности: 1.5;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Высота: 72 мм 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Ширина: 72 мм 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Глубина: 73.5 мм;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 тока: Переменный (AC);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Непосредственного включения;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Степень защиты: IP20;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Климатическое исполнение: УХЛ4</w:t>
              <w:br/>
              <w:t>Напряжение: 380 В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полюсов: 2;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Защитная характеристика: Z;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Номинальный ток: 2А,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Серия: OptiDin BM63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полюсов: 2;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Защитная характеристика: Z;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Номинальный ток: 4А,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Серия: OptiDin BM63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полюсов: 3;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Защитная характеристика: Z;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Номинальный ток: 2А,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Серия: OptiDin BM63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shd w:fill="auto" w:val="clear"/>
              </w:rPr>
              <w:t>OptiDin BM63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полюсов: 3;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Защитная характеристика: Z;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Номинальный ток: 4А,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Серия: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OptiDin BM63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Инвертор-преобразователь напряжения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Номинальная мощность: 3000 Вт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Входное напряжение: 12 В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Выходное напряжение: 220 В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Форма выходного сигнала: чистая синусоида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Входной ток: постоянный (DC)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Клемма винтовая измерительная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ETI ESC-SCB.6/CD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 монтажа DIN-рейка (стандарт) / G-рейка;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Номин. раб. Напряжение 800 В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Рабочая температура -40...80°C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разъединения кросс-соединения Слайдер;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интегрированным тестовым гнездом Да;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Сечение одножильного жёсткого провода 0.5…10 мм² </w:t>
              <w:br/>
              <w:t>Сечение многожильного провода с наконечником 0.5…4 мм²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Сечение многожильного провода без наконечника 0.5…6 мм²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Сечение многожильного гибкого провода 0.2…2.5мм²  Номинальный ток 41 А.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Колпачок для разъема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ЮПИТЕР JP7307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- колпачок изолирующий;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разъема RJ-45;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 ПВХ;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 - оранжевый;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 отпуска: упаковка.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Коммутатор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SNR-S1000-5T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Неуправляемый Ethernet коммутатор,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x 10/100BaseT.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 in: 100~240VAC 50Hz, out: 5VDC 0,5A.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 аккумуляторов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Daweikala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Комплект аккумуляторов  (LiIon, AАA, 1,5 В, 3000 мАч), (4 шт+USB-кабель с разветвителем на 2 аккумулятора)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 аккумуляторов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LIPOWER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Комплект аккумуляторов  LP-B900 (LiIon, AA, 1,5 В, 3400 мАч), (4 шт+USB-кабель с разветвителем на 4 аккумулятора)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 щупов измерительных силиконовых для мультиметра BC55-10210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 щупа 16AWG;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черный /красный;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1000 мм;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Макс. ток: 20А;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Макс. напряжение: 1000 В;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Штекер: 4 мм;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Колпачки: 2 шт;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S-Line.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Контактор модульный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RD 20-20 (24V AC/DC) (AC1)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Тип: контактор модульный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Масса 0,12 кг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Дополнительные контакты: 2 НО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Количество полюсов: 2 p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Дополнительные контакты: 2 НО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Напряжение цепи управления 24 В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Род тока катушки управления: AC/DC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Номинальный ток АС-3 400В 20 А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Номинальный рабочий ток Ie AC-1/AC-7a: 20 A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Номинальное рабочее напряжение (V AC): 230V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Номинальное напряжение цепи упр. Uc (V DC): 24 В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Номинальная частота: 50 Гц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Количество NO контактов: 2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Назначение: Модульный контактор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замыкающая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ESC-SCB.6/PT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Категория: Задняя крышка замыкающая перегородка;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использования с: ESC-SCB.6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Цвет: Серый.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концевая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СТЭЗ D-PTU 6-T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серый</w:t>
            </w:r>
          </w:p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окружающей среды: -60…105 ⁰С</w:t>
            </w:r>
          </w:p>
          <w:p>
            <w:pPr>
              <w:pStyle w:val="BodyText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Совместимо с оборудованием: PTU 6-T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Ширина: 2,2 мм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Функциональное назначение: крышка концевая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Ламинатор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Pingda PDA4-230 C или эквивалент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Формат A4.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Плёнка: 60-250 мкм.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Холодное ламинирование.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Мощность: 420 Вт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Модуль свободных и сигнальных контактов OptiDin BM63-МССК 2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Модуль свободных и сигнальных контактов OptiDin BM63-МССК 2 КЭАЗ 249158 Количество НЗ контактов</w:t>
              <w:tab/>
              <w:t xml:space="preserve"> - 0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переключающих контактов - 2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 - В220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- Стационарное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модулей DIN - 0.5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before="0" w:after="60"/>
        <w:ind w:left="426" w:hanging="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>2.2.1. В составе заявки необходимо предоставить:</w:t>
      </w:r>
    </w:p>
    <w:p>
      <w:pPr>
        <w:pStyle w:val="Normal"/>
        <w:numPr>
          <w:ilvl w:val="0"/>
          <w:numId w:val="2"/>
        </w:numPr>
        <w:spacing w:before="0" w:after="6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ab/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orient="landscape" w:w="16838" w:h="11906"/>
          <w:pgMar w:left="1134" w:right="444" w:gutter="0" w:header="284" w:top="568" w:footer="441" w:bottom="709"/>
          <w:pgNumType w:fmt="decimal"/>
          <w:formProt w:val="false"/>
          <w:titlePg/>
          <w:textDirection w:val="lrTb"/>
          <w:docGrid w:type="default" w:linePitch="240" w:charSpace="16384"/>
        </w:sectPr>
        <w:pStyle w:val="ListParagraph"/>
        <w:widowControl/>
        <w:numPr>
          <w:ilvl w:val="0"/>
          <w:numId w:val="2"/>
        </w:numPr>
        <w:suppressAutoHyphens w:val="true"/>
        <w:overflowPunct w:val="true"/>
        <w:bidi w:val="0"/>
        <w:spacing w:before="0" w:after="60"/>
        <w:ind w:left="0" w:right="0" w:hanging="0"/>
        <w:contextualSpacing w:val="false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>Техническое предложение, подготовленное в соответствии с настоящими техническими требованиями по форме, представленной в документации о закупке.</w:t>
      </w:r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right="0" w:hanging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46" w:name="__RefHeading___Toc26501_2696883597"/>
      <w:bookmarkStart w:id="47" w:name="_Toc138696390"/>
      <w:bookmarkStart w:id="48" w:name="_Toc132812768"/>
      <w:bookmarkEnd w:id="46"/>
      <w:r>
        <w:rPr>
          <w:rFonts w:cs="Times New Roman" w:ascii="Times New Roman" w:hAnsi="Times New Roman"/>
          <w:bCs/>
          <w:sz w:val="24"/>
          <w:szCs w:val="24"/>
        </w:rPr>
        <w:t xml:space="preserve">3. Требования к документации по ценообразованию на этапе </w:t>
      </w:r>
      <w:bookmarkEnd w:id="47"/>
      <w:bookmarkEnd w:id="48"/>
      <w:r>
        <w:rPr>
          <w:rFonts w:cs="Times New Roman" w:ascii="Times New Roman" w:hAnsi="Times New Roman"/>
          <w:bCs/>
          <w:sz w:val="24"/>
          <w:szCs w:val="24"/>
        </w:rPr>
        <w:t>закупки</w:t>
      </w:r>
    </w:p>
    <w:p>
      <w:pPr>
        <w:pStyle w:val="BodyText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bookmarkStart w:id="49" w:name="__RefHeading___Toc26503_2696883597"/>
      <w:bookmarkStart w:id="50" w:name="_Toc132812769"/>
      <w:bookmarkStart w:id="51" w:name="_Toc138696391"/>
      <w:bookmarkStart w:id="52" w:name="_Toc132812898"/>
      <w:bookmarkEnd w:id="49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3.1.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</w:t>
      </w:r>
      <w:r>
        <w:rPr>
          <w:rFonts w:cs="Times New Roman" w:ascii="Times New Roman" w:hAnsi="Times New Roman"/>
          <w:b w:val="false"/>
          <w:sz w:val="24"/>
          <w:szCs w:val="24"/>
          <w:lang w:val="ru-RU"/>
        </w:rPr>
        <w:t>.</w:t>
      </w:r>
      <w:bookmarkEnd w:id="50"/>
      <w:bookmarkEnd w:id="51"/>
      <w:bookmarkEnd w:id="52"/>
    </w:p>
    <w:p>
      <w:pPr>
        <w:pStyle w:val="BodyText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bookmarkStart w:id="53" w:name="__RefHeading___Toc26505_2696883597"/>
      <w:bookmarkStart w:id="54" w:name="_Toc132812899"/>
      <w:bookmarkStart w:id="55" w:name="_Toc138696392"/>
      <w:bookmarkStart w:id="56" w:name="_Toc132812770"/>
      <w:bookmarkEnd w:id="53"/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3.2.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/>
          <w:iCs/>
          <w:spacing w:val="-2"/>
          <w:sz w:val="24"/>
          <w:szCs w:val="24"/>
        </w:rPr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  <w:bookmarkEnd w:id="54"/>
      <w:bookmarkEnd w:id="55"/>
      <w:bookmarkEnd w:id="56"/>
    </w:p>
    <w:p>
      <w:pPr>
        <w:pStyle w:val="BodyText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bookmarkStart w:id="57" w:name="__RefHeading___Toc26507_2696883597"/>
      <w:bookmarkStart w:id="58" w:name="_Toc132812900"/>
      <w:bookmarkStart w:id="59" w:name="_Toc138696393"/>
      <w:bookmarkStart w:id="60" w:name="_Toc132812771"/>
      <w:bookmarkEnd w:id="57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3.3.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>.</w:t>
      </w:r>
      <w:bookmarkEnd w:id="58"/>
      <w:bookmarkEnd w:id="59"/>
      <w:bookmarkEnd w:id="60"/>
    </w:p>
    <w:p>
      <w:pPr>
        <w:pStyle w:val="Heading1"/>
        <w:keepLines/>
        <w:numPr>
          <w:ilvl w:val="0"/>
          <w:numId w:val="2"/>
        </w:numPr>
        <w:spacing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Heading1"/>
        <w:numPr>
          <w:ilvl w:val="0"/>
          <w:numId w:val="2"/>
        </w:numPr>
        <w:spacing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Heading1"/>
        <w:numPr>
          <w:ilvl w:val="0"/>
          <w:numId w:val="2"/>
        </w:numPr>
        <w:spacing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bookmarkStart w:id="61" w:name="__RefHeading___Toc26509_2696883597"/>
      <w:bookmarkEnd w:id="61"/>
      <w:r>
        <w:rPr>
          <w:rFonts w:cs="Times New Roman" w:ascii="Times New Roman" w:hAnsi="Times New Roman"/>
          <w:iCs/>
          <w:sz w:val="24"/>
          <w:szCs w:val="24"/>
        </w:rPr>
        <w:t xml:space="preserve">4. </w:t>
      </w:r>
      <w:bookmarkStart w:id="62" w:name="_Toc138696394"/>
      <w:r>
        <w:rPr>
          <w:rFonts w:cs="Times New Roman" w:ascii="Times New Roman" w:hAnsi="Times New Roman"/>
          <w:iCs/>
          <w:sz w:val="24"/>
          <w:szCs w:val="24"/>
        </w:rPr>
        <w:t>Приложения</w:t>
      </w:r>
      <w:bookmarkEnd w:id="62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9"/>
          <w:rFonts w:cs="Times New Roman" w:ascii="Times New Roman" w:hAnsi="Times New Roman"/>
          <w:bCs/>
          <w:i w:val="false"/>
          <w:sz w:val="24"/>
          <w:szCs w:val="24"/>
          <w:shd w:fill="FFFFFF" w:val="clear"/>
        </w:rPr>
        <w:t xml:space="preserve">Приложение №1: </w:t>
      </w:r>
      <w:r>
        <w:rPr>
          <w:rFonts w:cs="Times New Roman" w:ascii="Times New Roman" w:hAnsi="Times New Roman"/>
          <w:sz w:val="24"/>
          <w:szCs w:val="24"/>
        </w:rPr>
        <w:t>Спецификация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w="11906" w:h="16838"/>
          <w:pgMar w:left="1417" w:right="334" w:gutter="0" w:header="375" w:top="517" w:footer="280" w:bottom="548"/>
          <w:pgNumType w:fmt="decimal"/>
          <w:formProt w:val="false"/>
          <w:textDirection w:val="lrTb"/>
          <w:docGrid w:type="default" w:linePitch="360" w:charSpace="16384"/>
        </w:sect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Приложение № 1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к Техническим требованиям</w:t>
        <w:b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Спецификация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5000" w:type="pct"/>
        <w:jc w:val="left"/>
        <w:tblInd w:w="23" w:type="dxa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488"/>
        <w:gridCol w:w="480"/>
        <w:gridCol w:w="826"/>
        <w:gridCol w:w="826"/>
        <w:gridCol w:w="711"/>
        <w:gridCol w:w="827"/>
        <w:gridCol w:w="1108"/>
        <w:gridCol w:w="875"/>
        <w:gridCol w:w="808"/>
        <w:gridCol w:w="1411"/>
        <w:gridCol w:w="677"/>
        <w:gridCol w:w="970"/>
        <w:gridCol w:w="819"/>
        <w:gridCol w:w="806"/>
        <w:gridCol w:w="941"/>
        <w:gridCol w:w="1993"/>
      </w:tblGrid>
      <w:tr>
        <w:trPr>
          <w:trHeight w:val="526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партии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поз.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Артикул, тип, марка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Завод изготовитель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Страна происхождения Товара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spacing w:val="-22"/>
                <w:sz w:val="24"/>
                <w:szCs w:val="24"/>
                <w:lang w:eastAsia="ru-RU"/>
              </w:rPr>
              <w:t>Страна регистрации производителя Товара</w:t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Код ОКПД 2 (с наименованием)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Порядковый номер(а) реестровой(ых) записи(ей)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Цена за единицу, руб. без НДС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Цена, руб. без НДС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(___%) руб.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Стоимость, руб., с НДС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pacing w:val="-22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22"/>
                <w:sz w:val="24"/>
                <w:szCs w:val="24"/>
                <w:lang w:eastAsia="ru-RU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322" w:hRule="atLeast"/>
        </w:trPr>
        <w:tc>
          <w:tcPr>
            <w:tcW w:w="488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0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488" w:type="dxa"/>
            <w:vMerge w:val="continue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0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1632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№1, руб. с НДС</w:t>
            </w:r>
          </w:p>
        </w:tc>
        <w:tc>
          <w:tcPr>
            <w:tcW w:w="29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33" w:hRule="atLeast"/>
        </w:trPr>
        <w:tc>
          <w:tcPr>
            <w:tcW w:w="488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0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488" w:type="dxa"/>
            <w:vMerge w:val="continue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0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1632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№2, руб. с НДС</w:t>
            </w:r>
          </w:p>
        </w:tc>
        <w:tc>
          <w:tcPr>
            <w:tcW w:w="29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11632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всего Товара (с учетом доставки), руб. с НДС:</w:t>
            </w:r>
          </w:p>
        </w:tc>
        <w:tc>
          <w:tcPr>
            <w:tcW w:w="29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21"/>
      <w:headerReference w:type="default" r:id="rId22"/>
      <w:headerReference w:type="first" r:id="rId23"/>
      <w:footerReference w:type="even" r:id="rId24"/>
      <w:footerReference w:type="default" r:id="rId25"/>
      <w:footerReference w:type="first" r:id="rId26"/>
      <w:footnotePr>
        <w:numFmt w:val="decimal"/>
      </w:footnote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 «О минимальной доле закупок товаров российского происхождения».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8"/>
      </w:rPr>
    </w:pPr>
    <w:r>
      <w:rPr>
        <w:sz w:val="18"/>
      </w:rPr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8"/>
      </w:rPr>
    </w:pPr>
    <w:r>
      <w:rPr>
        <w:sz w:val="1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>
        <w:sz w:val="18"/>
      </w:rPr>
    </w:pPr>
    <w:r>
      <w:rPr>
        <w:sz w:val="18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hyphenationZone w:val="142"/>
  <w:evenAndOddHeader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basedOn w:val="Heading3"/>
    <w:qFormat/>
    <w:pPr>
      <w:numPr>
        <w:ilvl w:val="0"/>
        <w:numId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pPr>
      <w:numPr>
        <w:ilvl w:val="0"/>
        <w:numId w:val="0"/>
      </w:numPr>
      <w:tabs>
        <w:tab w:val="clear" w:pos="0"/>
      </w:tabs>
      <w:outlineLvl w:val="1"/>
    </w:pPr>
    <w:rPr/>
  </w:style>
  <w:style w:type="paragraph" w:styleId="Heading3">
    <w:name w:val="Heading 3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0" w:leader="none"/>
      </w:tabs>
      <w:spacing w:before="120" w:after="60"/>
      <w:outlineLvl w:val="2"/>
    </w:pPr>
    <w:rPr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pPr>
      <w:numPr>
        <w:ilvl w:val="0"/>
        <w:numId w:val="0"/>
      </w:numPr>
      <w:outlineLvl w:val="3"/>
    </w:pPr>
    <w:rPr>
      <w:bCs/>
    </w:rPr>
  </w:style>
  <w:style w:type="character" w:styleId="DefaultParagraphFont">
    <w:name w:val="Default Paragraph Font"/>
    <w:qFormat/>
    <w:rPr/>
  </w:style>
  <w:style w:type="character" w:styleId="Style5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8">
    <w:name w:val="Символы концевой сноски"/>
    <w:qFormat/>
    <w:rPr/>
  </w:style>
  <w:style w:type="character" w:styleId="Style9">
    <w:name w:val="комментарий"/>
    <w:qFormat/>
    <w:rPr>
      <w:i/>
      <w:shd w:fill="FFFF99" w:val="clear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Style10">
    <w:name w:val="Ссылка указателя"/>
    <w:qFormat/>
    <w:rPr/>
  </w:style>
  <w:style w:type="character" w:styleId="Tooltip">
    <w:name w:val="tooltip"/>
    <w:basedOn w:val="DefaultParagraphFont"/>
    <w:qFormat/>
    <w:rPr/>
  </w:style>
  <w:style w:type="character" w:styleId="Strong1">
    <w:name w:val="Strong1"/>
    <w:basedOn w:val="DefaultParagraphFont"/>
    <w:qFormat/>
    <w:rPr>
      <w:b/>
      <w:bCs/>
    </w:rPr>
  </w:style>
  <w:style w:type="character" w:styleId="Apple-converted-space">
    <w:name w:val="apple-converted-space"/>
    <w:basedOn w:val="DefaultParagraphFont"/>
    <w:qFormat/>
    <w:rPr/>
  </w:style>
  <w:style w:type="character" w:styleId="1">
    <w:name w:val="Строгий1"/>
    <w:qFormat/>
    <w:rPr>
      <w:b/>
      <w:bCs/>
    </w:rPr>
  </w:style>
  <w:style w:type="character" w:styleId="Style11">
    <w:name w:val="Маркеры списка"/>
    <w:qFormat/>
    <w:rPr>
      <w:rFonts w:ascii="OpenSymbol" w:hAnsi="OpenSymbol" w:eastAsia="OpenSymbol" w:cs="OpenSymbol"/>
    </w:rPr>
  </w:style>
  <w:style w:type="character" w:styleId="Style12">
    <w:name w:val="Нижний колонтитул Знак"/>
    <w:basedOn w:val="DefaultParagraphFont"/>
    <w:qFormat/>
    <w:rPr>
      <w:rFonts w:ascii="Calibri" w:hAnsi="Calibri" w:eastAsia="Calibri"/>
      <w:color w:val="00000A"/>
      <w:sz w:val="22"/>
    </w:rPr>
  </w:style>
  <w:style w:type="character" w:styleId="Style13">
    <w:name w:val="Символ нумерации"/>
    <w:qFormat/>
    <w:rPr/>
  </w:style>
  <w:style w:type="character" w:styleId="WWCharLFO3LVL1">
    <w:name w:val="WW_CharLFO3LVL1"/>
    <w:qFormat/>
    <w:rPr>
      <w:rFonts w:ascii="Symbol" w:hAnsi="Symbol"/>
      <w:sz w:val="20"/>
    </w:rPr>
  </w:style>
  <w:style w:type="character" w:styleId="WWCharLFO3LVL2">
    <w:name w:val="WW_CharLFO3LVL2"/>
    <w:qFormat/>
    <w:rPr>
      <w:rFonts w:ascii="Courier New" w:hAnsi="Courier New"/>
      <w:sz w:val="20"/>
    </w:rPr>
  </w:style>
  <w:style w:type="character" w:styleId="WWCharLFO3LVL3">
    <w:name w:val="WW_CharLFO3LVL3"/>
    <w:qFormat/>
    <w:rPr>
      <w:rFonts w:ascii="Wingdings" w:hAnsi="Wingdings"/>
      <w:sz w:val="20"/>
    </w:rPr>
  </w:style>
  <w:style w:type="character" w:styleId="WWCharLFO3LVL4">
    <w:name w:val="WW_CharLFO3LVL4"/>
    <w:qFormat/>
    <w:rPr>
      <w:rFonts w:ascii="Wingdings" w:hAnsi="Wingdings"/>
      <w:sz w:val="20"/>
    </w:rPr>
  </w:style>
  <w:style w:type="character" w:styleId="WWCharLFO3LVL5">
    <w:name w:val="WW_CharLFO3LVL5"/>
    <w:qFormat/>
    <w:rPr>
      <w:rFonts w:ascii="Wingdings" w:hAnsi="Wingdings"/>
      <w:sz w:val="20"/>
    </w:rPr>
  </w:style>
  <w:style w:type="character" w:styleId="WWCharLFO3LVL6">
    <w:name w:val="WW_CharLFO3LVL6"/>
    <w:qFormat/>
    <w:rPr>
      <w:rFonts w:ascii="Wingdings" w:hAnsi="Wingdings"/>
      <w:sz w:val="20"/>
    </w:rPr>
  </w:style>
  <w:style w:type="character" w:styleId="WWCharLFO3LVL7">
    <w:name w:val="WW_CharLFO3LVL7"/>
    <w:qFormat/>
    <w:rPr>
      <w:rFonts w:ascii="Wingdings" w:hAnsi="Wingdings"/>
      <w:sz w:val="20"/>
    </w:rPr>
  </w:style>
  <w:style w:type="character" w:styleId="WWCharLFO3LVL8">
    <w:name w:val="WW_CharLFO3LVL8"/>
    <w:qFormat/>
    <w:rPr>
      <w:rFonts w:ascii="Wingdings" w:hAnsi="Wingdings"/>
      <w:sz w:val="20"/>
    </w:rPr>
  </w:style>
  <w:style w:type="character" w:styleId="WWCharLFO3LVL9">
    <w:name w:val="WW_CharLFO3LVL9"/>
    <w:qFormat/>
    <w:rPr>
      <w:rFonts w:ascii="Wingdings" w:hAnsi="Wingdings"/>
      <w:sz w:val="20"/>
    </w:rPr>
  </w:style>
  <w:style w:type="character" w:styleId="WWCharLFO4LVL1">
    <w:name w:val="WW_CharLFO4LVL1"/>
    <w:qFormat/>
    <w:rPr>
      <w:rFonts w:ascii="Symbol" w:hAnsi="Symbol"/>
      <w:sz w:val="20"/>
    </w:rPr>
  </w:style>
  <w:style w:type="character" w:styleId="WWCharLFO4LVL2">
    <w:name w:val="WW_CharLFO4LVL2"/>
    <w:qFormat/>
    <w:rPr>
      <w:rFonts w:ascii="Courier New" w:hAnsi="Courier New"/>
      <w:sz w:val="20"/>
    </w:rPr>
  </w:style>
  <w:style w:type="character" w:styleId="WWCharLFO4LVL3">
    <w:name w:val="WW_CharLFO4LVL3"/>
    <w:qFormat/>
    <w:rPr>
      <w:rFonts w:ascii="Wingdings" w:hAnsi="Wingdings"/>
      <w:sz w:val="20"/>
    </w:rPr>
  </w:style>
  <w:style w:type="character" w:styleId="WWCharLFO4LVL4">
    <w:name w:val="WW_CharLFO4LVL4"/>
    <w:qFormat/>
    <w:rPr>
      <w:rFonts w:ascii="Wingdings" w:hAnsi="Wingdings"/>
      <w:sz w:val="20"/>
    </w:rPr>
  </w:style>
  <w:style w:type="character" w:styleId="WWCharLFO4LVL5">
    <w:name w:val="WW_CharLFO4LVL5"/>
    <w:qFormat/>
    <w:rPr>
      <w:rFonts w:ascii="Wingdings" w:hAnsi="Wingdings"/>
      <w:sz w:val="20"/>
    </w:rPr>
  </w:style>
  <w:style w:type="character" w:styleId="WWCharLFO4LVL6">
    <w:name w:val="WW_CharLFO4LVL6"/>
    <w:qFormat/>
    <w:rPr>
      <w:rFonts w:ascii="Wingdings" w:hAnsi="Wingdings"/>
      <w:sz w:val="20"/>
    </w:rPr>
  </w:style>
  <w:style w:type="character" w:styleId="WWCharLFO4LVL7">
    <w:name w:val="WW_CharLFO4LVL7"/>
    <w:qFormat/>
    <w:rPr>
      <w:rFonts w:ascii="Wingdings" w:hAnsi="Wingdings"/>
      <w:sz w:val="20"/>
    </w:rPr>
  </w:style>
  <w:style w:type="character" w:styleId="WWCharLFO4LVL8">
    <w:name w:val="WW_CharLFO4LVL8"/>
    <w:qFormat/>
    <w:rPr>
      <w:rFonts w:ascii="Wingdings" w:hAnsi="Wingdings"/>
      <w:sz w:val="20"/>
    </w:rPr>
  </w:style>
  <w:style w:type="character" w:styleId="WWCharLFO4LVL9">
    <w:name w:val="WW_CharLFO4LVL9"/>
    <w:qFormat/>
    <w:rPr>
      <w:rFonts w:ascii="Wingdings" w:hAnsi="Wingdings"/>
      <w:sz w:val="20"/>
    </w:rPr>
  </w:style>
  <w:style w:type="character" w:styleId="Typography">
    <w:name w:val="typography"/>
    <w:basedOn w:val="DefaultParagraphFont"/>
    <w:qFormat/>
    <w:rPr/>
  </w:style>
  <w:style w:type="character" w:styleId="Label">
    <w:name w:val="label"/>
    <w:basedOn w:val="DefaultParagraphFont"/>
    <w:qFormat/>
    <w:rPr/>
  </w:style>
  <w:style w:type="character" w:styleId="Value">
    <w:name w:val="value"/>
    <w:basedOn w:val="DefaultParagraphFont"/>
    <w:qFormat/>
    <w:rPr/>
  </w:style>
  <w:style w:type="character" w:styleId="Catalog-element-article-name">
    <w:name w:val="catalog-element-article-name"/>
    <w:basedOn w:val="DefaultParagraphFont"/>
    <w:qFormat/>
    <w:rPr/>
  </w:style>
  <w:style w:type="character" w:styleId="Catalog-element-article-value">
    <w:name w:val="catalog-element-article-valu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Style15">
    <w:name w:val="Текст примечания Знак"/>
    <w:basedOn w:val="DefaultParagraphFont"/>
    <w:link w:val="Annotationtext"/>
    <w:qFormat/>
    <w:rPr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LineNumber">
    <w:name w:val="Line Number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pPr>
      <w:ind w:left="560" w:right="0" w:hanging="0"/>
    </w:pPr>
    <w:rPr>
      <w:rFonts w:cs="Calibri"/>
      <w:szCs w:val="20"/>
    </w:rPr>
  </w:style>
  <w:style w:type="paragraph" w:styleId="TOC3">
    <w:name w:val="TOC 3"/>
    <w:basedOn w:val="Normal"/>
    <w:pPr>
      <w:ind w:left="280" w:right="0" w:hanging="0"/>
    </w:pPr>
    <w:rPr>
      <w:rFonts w:cs="Calibri"/>
      <w:szCs w:val="20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paragraph" w:styleId="Style2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22">
    <w:name w:val="Таблица"/>
    <w:basedOn w:val="Normal"/>
    <w:qFormat/>
    <w:pPr>
      <w:keepNext w:val="true"/>
      <w:spacing w:before="60" w:after="60"/>
      <w:jc w:val="center"/>
    </w:pPr>
    <w:rPr>
      <w:b/>
      <w:sz w:val="24"/>
      <w:szCs w:val="24"/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lang w:eastAsia="ru-RU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2">
    <w:name w:val="TOC 2"/>
    <w:basedOn w:val="Indexheading"/>
    <w:pPr/>
    <w:rPr/>
  </w:style>
  <w:style w:type="paragraph" w:styleId="Footer">
    <w:name w:val="Footer"/>
    <w:basedOn w:val="Normal"/>
    <w:link w:val="Style1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5"/>
    <w:qFormat/>
    <w:pPr/>
    <w:rPr>
      <w:szCs w:val="20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Заголовок списка"/>
    <w:basedOn w:val="Normal"/>
    <w:next w:val="Style26"/>
    <w:qFormat/>
    <w:pPr>
      <w:ind w:hanging="0"/>
    </w:pPr>
    <w:rPr/>
  </w:style>
  <w:style w:type="paragraph" w:styleId="Style26">
    <w:name w:val="Содержимое списка"/>
    <w:basedOn w:val="Normal"/>
    <w:qFormat/>
    <w:pPr>
      <w:ind w:left="567" w:hanging="0"/>
    </w:pPr>
    <w:rPr/>
  </w:style>
  <w:style w:type="numbering" w:styleId="123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header" Target="header12.xml"/><Relationship Id="rId22" Type="http://schemas.openxmlformats.org/officeDocument/2006/relationships/header" Target="header13.xml"/><Relationship Id="rId23" Type="http://schemas.openxmlformats.org/officeDocument/2006/relationships/header" Target="header14.xml"/><Relationship Id="rId24" Type="http://schemas.openxmlformats.org/officeDocument/2006/relationships/footer" Target="footer9.xml"/><Relationship Id="rId25" Type="http://schemas.openxmlformats.org/officeDocument/2006/relationships/footer" Target="footer10.xml"/><Relationship Id="rId26" Type="http://schemas.openxmlformats.org/officeDocument/2006/relationships/footer" Target="footer11.xml"/><Relationship Id="rId27" Type="http://schemas.openxmlformats.org/officeDocument/2006/relationships/footnotes" Target="footnotes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customXml" Target="../customXml/item1.xml"/><Relationship Id="rId32" Type="http://schemas.openxmlformats.org/officeDocument/2006/relationships/customXml" Target="../customXml/item2.xml"/><Relationship Id="rId33" Type="http://schemas.openxmlformats.org/officeDocument/2006/relationships/customXml" Target="../customXml/item3.xml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AE05A3776FA143842DA7E10496F8CA" ma:contentTypeVersion="1" ma:contentTypeDescription="Создание документа." ma:contentTypeScope="" ma:versionID="34295c66889a6e83ed9e035ef007cfb4">
  <xsd:schema xmlns:xsd="http://www.w3.org/2001/XMLSchema" xmlns:xs="http://www.w3.org/2001/XMLSchema" xmlns:p="http://schemas.microsoft.com/office/2006/metadata/properties" xmlns:ns2="f6214f18-05d5-4680-8c7e-3ef6c9a4b899" targetNamespace="http://schemas.microsoft.com/office/2006/metadata/properties" ma:root="true" ma:fieldsID="a51ea63f4ad633d6dd2f25ccefa77883" ns2:_="">
    <xsd:import namespace="f6214f18-05d5-4680-8c7e-3ef6c9a4b8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14f18-05d5-4680-8c7e-3ef6c9a4b8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8C609-2486-4AAF-B338-82FF16E7FF2F}"/>
</file>

<file path=customXml/itemProps2.xml><?xml version="1.0" encoding="utf-8"?>
<ds:datastoreItem xmlns:ds="http://schemas.openxmlformats.org/officeDocument/2006/customXml" ds:itemID="{61E590D5-CFCC-4CCD-A6A5-5DDCDE63E411}"/>
</file>

<file path=customXml/itemProps3.xml><?xml version="1.0" encoding="utf-8"?>
<ds:datastoreItem xmlns:ds="http://schemas.openxmlformats.org/officeDocument/2006/customXml" ds:itemID="{F4086AE1-D833-4D7B-BD25-9665BAEA3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6119</TotalTime>
  <Application>AlterOffice/3.4.0.9$Linux_X86_64 LibreOffice_project/b8daf9e823b1a5463a2f48435ddc2e8696e7d4fc</Application>
  <AppVersion>15.0000</AppVersion>
  <Pages>10</Pages>
  <Words>1481</Words>
  <Characters>9587</Characters>
  <CharactersWithSpaces>10713</CharactersWithSpaces>
  <Paragraphs>367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2023-04-24T07:20:00Z</dcterms:created>
  <dc:creator>Каткова Анжела Александровна</dc:creator>
  <dc:description/>
  <dc:language>ru-RU</dc:language>
  <cp:lastModifiedBy>kovalevaev@corp.gidroogk.com</cp:lastModifiedBy>
  <cp:lastPrinted>2023-03-22T14:42:00Z</cp:lastPrinted>
  <dcterms:modified xsi:type="dcterms:W3CDTF">2026-07-17T09:31:41Z</dcterms:modified>
  <cp:revision>327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0x01010084AE05A3776FA143842DA7E10496F8CA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  <property fmtid="{D5CDD505-2E9C-101B-9397-08002B2CF9AE}" pid="7" name="_MarkAsFinal">
    <vt:bool>1</vt:bool>
  </property>
</Properties>
</file>