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14.xml" ContentType="application/vnd.openxmlformats-officedocument.wordprocessingml.header+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header13.xml" ContentType="application/vnd.openxmlformats-officedocument.wordprocessingml.head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overflowPunct w:val="true"/>
        <w:bidi w:val="0"/>
        <w:ind w:left="6803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803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803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803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803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803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ind w:left="6803" w:right="0" w:hanging="0"/>
        <w:jc w:val="left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center"/>
        <w:rPr>
          <w:rFonts w:ascii="Times New Roman" w:hAnsi="Times New Roman" w:eastAsia="Calibri" w:cs="Times New Roman"/>
          <w:b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>«ОКПД2 27.12.24 Поставка комплектующих для систем противоаварийной автоматики филиала ПАО "РусГидро"-"Каскад Кубанских ГЭС"»</w:t>
      </w:r>
    </w:p>
    <w:p>
      <w:pPr>
        <w:pStyle w:val="Normal"/>
        <w:keepNext w:val="true"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Лот № 38-ЭКСП-БПД-2026-ККГЭС</w:t>
      </w:r>
    </w:p>
    <w:p>
      <w:pPr>
        <w:pStyle w:val="Normal"/>
        <w:jc w:val="center"/>
        <w:rPr>
          <w:rFonts w:ascii="Times New Roman" w:hAnsi="Times New Roman" w:cs="Times New Roman"/>
          <w:b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sectPr>
          <w:headerReference w:type="even" r:id="rId2"/>
          <w:headerReference w:type="default" r:id="rId3"/>
          <w:type w:val="nextPage"/>
          <w:pgSz w:w="11906" w:h="16838"/>
          <w:pgMar w:left="993" w:right="424" w:gutter="0" w:header="284" w:top="426" w:footer="0" w:bottom="709"/>
          <w:pgNumType w:fmt="decimal"/>
          <w:formProt w:val="false"/>
          <w:textDirection w:val="lrTb"/>
          <w:docGrid w:type="default" w:linePitch="360" w:charSpace="16384"/>
        </w:sect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10417" w:leader="dot"/>
            </w:tabs>
            <w:rPr/>
          </w:pPr>
          <w:r>
            <w:fldChar w:fldCharType="begin"/>
          </w:r>
          <w:r>
            <w:rPr>
              <w:rStyle w:val="Style10"/>
            </w:rPr>
            <w:instrText xml:space="preserve"> TOC \o "1-4" \h</w:instrText>
          </w:r>
          <w:r>
            <w:rPr>
              <w:rStyle w:val="Style10"/>
            </w:rPr>
            <w:fldChar w:fldCharType="separate"/>
          </w:r>
          <w:hyperlink w:anchor="__RefHeading___Toc26475_2696883597">
            <w:r>
              <w:rPr>
                <w:rStyle w:val="Style10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17" w:leader="dot"/>
            </w:tabs>
            <w:rPr/>
          </w:pPr>
          <w:hyperlink w:anchor="__RefHeading___Toc26479_2696883597">
            <w:r>
              <w:rPr>
                <w:rStyle w:val="Style10"/>
              </w:rPr>
              <w:t>1.1.Наименование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17" w:leader="dot"/>
            </w:tabs>
            <w:rPr/>
          </w:pPr>
          <w:hyperlink w:anchor="__RefHeading___Toc26481_2696883597">
            <w:r>
              <w:rPr>
                <w:rStyle w:val="Style10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17" w:leader="dot"/>
            </w:tabs>
            <w:rPr/>
          </w:pPr>
          <w:hyperlink w:anchor="__RefHeading___Toc26485_2696883597">
            <w:r>
              <w:rPr>
                <w:rStyle w:val="Style10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10417" w:leader="dot"/>
            </w:tabs>
            <w:rPr/>
          </w:pPr>
          <w:hyperlink w:anchor="__RefHeading___Toc26487_2696883597">
            <w:r>
              <w:rPr>
                <w:rStyle w:val="Style10"/>
              </w:rPr>
              <w:t>2.1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20"/>
              <w:tab w:val="right" w:pos="10417" w:leader="dot"/>
            </w:tabs>
            <w:rPr/>
          </w:pPr>
          <w:hyperlink w:anchor="__RefHeading___Toc26489_2696883597">
            <w:r>
              <w:rPr>
                <w:rStyle w:val="Style10"/>
              </w:rPr>
              <w:t>2.1.1. Перечень и объём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417" w:leader="dot"/>
            </w:tabs>
            <w:rPr/>
          </w:pPr>
          <w:hyperlink w:anchor="__RefHeading___Toc26491_2696883597">
            <w:r>
              <w:rPr>
                <w:rStyle w:val="Style10"/>
              </w:rPr>
              <w:t>Таблица 1.1 Перечень и объём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20"/>
              <w:tab w:val="right" w:pos="10417" w:leader="dot"/>
            </w:tabs>
            <w:rPr/>
          </w:pPr>
          <w:hyperlink w:anchor="__RefHeading___Toc26493_2696883597">
            <w:r>
              <w:rPr>
                <w:rStyle w:val="Style10"/>
              </w:rPr>
              <w:t>2.1.2. Требования к срокам поставки продукции и оказания сопутствующих услуг</w:t>
              <w:tab/>
              <w:t>6</w:t>
            </w:r>
          </w:hyperlink>
        </w:p>
        <w:p>
          <w:pPr>
            <w:pStyle w:val="TOC1"/>
            <w:tabs>
              <w:tab w:val="clear" w:pos="720"/>
              <w:tab w:val="right" w:pos="10417" w:leader="dot"/>
            </w:tabs>
            <w:rPr/>
          </w:pPr>
          <w:hyperlink w:anchor="__RefHeading___Toc26495_2696883597">
            <w:r>
              <w:rPr>
                <w:rStyle w:val="Style10"/>
              </w:rPr>
              <w:t>Таблица 2.1 Требования по срокам поставки продукции</w:t>
              <w:tab/>
              <w:t>6</w:t>
            </w:r>
          </w:hyperlink>
        </w:p>
        <w:p>
          <w:pPr>
            <w:pStyle w:val="TOC1"/>
            <w:tabs>
              <w:tab w:val="clear" w:pos="720"/>
              <w:tab w:val="right" w:pos="10417" w:leader="dot"/>
            </w:tabs>
            <w:rPr/>
          </w:pPr>
          <w:hyperlink w:anchor="__RefHeading___Toc26497_2696883597">
            <w:r>
              <w:rPr>
                <w:rStyle w:val="Style10"/>
              </w:rPr>
              <w:t>2.2. Требования к качеству продукции</w:t>
              <w:tab/>
              <w:t>9</w:t>
            </w:r>
          </w:hyperlink>
        </w:p>
        <w:p>
          <w:pPr>
            <w:pStyle w:val="TOC1"/>
            <w:tabs>
              <w:tab w:val="clear" w:pos="720"/>
              <w:tab w:val="right" w:pos="10417" w:leader="dot"/>
            </w:tabs>
            <w:rPr/>
          </w:pPr>
          <w:hyperlink w:anchor="__RefHeading___Toc26499_2696883597">
            <w:r>
              <w:rPr>
                <w:rStyle w:val="Style10"/>
              </w:rPr>
              <w:t>Таблица 3. Требования к качеству продукции.</w:t>
              <w:tab/>
              <w:t>9</w:t>
            </w:r>
          </w:hyperlink>
        </w:p>
        <w:p>
          <w:pPr>
            <w:pStyle w:val="TOC1"/>
            <w:tabs>
              <w:tab w:val="clear" w:pos="720"/>
              <w:tab w:val="right" w:pos="10417" w:leader="dot"/>
            </w:tabs>
            <w:rPr/>
          </w:pPr>
          <w:hyperlink w:anchor="__RefHeading___Toc26501_2696883597">
            <w:r>
              <w:rPr>
                <w:rStyle w:val="Style10"/>
              </w:rPr>
              <w:t>3. Требования к документации по ценообразованию на этапе закупки</w:t>
              <w:tab/>
              <w:t>21</w:t>
            </w:r>
          </w:hyperlink>
        </w:p>
        <w:p>
          <w:pPr>
            <w:pStyle w:val="TOC1"/>
            <w:tabs>
              <w:tab w:val="clear" w:pos="720"/>
              <w:tab w:val="right" w:pos="10417" w:leader="dot"/>
            </w:tabs>
            <w:rPr/>
          </w:pPr>
          <w:hyperlink w:anchor="__RefHeading___Toc26509_2696883597">
            <w:r>
              <w:rPr>
                <w:rStyle w:val="Style10"/>
                <w:iCs/>
              </w:rPr>
              <w:t>4. Приложения:</w:t>
            </w:r>
            <w:r>
              <w:rPr>
                <w:rStyle w:val="Style10"/>
              </w:rPr>
              <w:tab/>
              <w:t>21</w:t>
            </w:r>
          </w:hyperlink>
          <w:r>
            <w:rPr>
              <w:rStyle w:val="Style10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10479" w:leader="dot"/>
        </w:tabs>
        <w:rPr>
          <w:rFonts w:ascii="Times New Roman" w:hAnsi="Times New Roman"/>
          <w:b w:val="false"/>
          <w:bCs w:val="false"/>
          <w:sz w:val="24"/>
          <w:szCs w:val="24"/>
          <w:lang w:eastAsia="ru-R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ru-RU"/>
        </w:rPr>
      </w:r>
      <w:r>
        <w:br w:type="page"/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right="0" w:hanging="0"/>
        <w:rPr>
          <w:rFonts w:ascii="Times New Roman" w:hAnsi="Times New Roman" w:cs="Times New Roman"/>
          <w:sz w:val="24"/>
          <w:szCs w:val="24"/>
        </w:rPr>
      </w:pPr>
      <w:bookmarkStart w:id="0" w:name="__RefHeading___Toc26475_2696883597"/>
      <w:bookmarkStart w:id="1" w:name="_Toc138696373"/>
      <w:bookmarkEnd w:id="0"/>
      <w:r>
        <w:rPr>
          <w:rFonts w:cs="Times New Roman" w:ascii="Times New Roman" w:hAnsi="Times New Roman"/>
          <w:sz w:val="24"/>
          <w:szCs w:val="24"/>
          <w:lang w:val="ru-RU"/>
        </w:rPr>
        <w:t>1. Общие сведения</w:t>
      </w:r>
      <w:bookmarkEnd w:id="1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right="0" w:hanging="0"/>
        <w:rPr>
          <w:rFonts w:ascii="Times New Roman" w:hAnsi="Times New Roman" w:cs="Times New Roman"/>
        </w:rPr>
      </w:pPr>
      <w:bookmarkStart w:id="2" w:name="__RefHeading___Toc26479_2696883597"/>
      <w:bookmarkStart w:id="3" w:name="_Toc138696375"/>
      <w:bookmarkEnd w:id="2"/>
      <w:r>
        <w:rPr>
          <w:rFonts w:cs="Times New Roman" w:ascii="Times New Roman" w:hAnsi="Times New Roman"/>
        </w:rPr>
        <w:t>1.1.Наименование закупаемой продукции</w:t>
      </w:r>
      <w:bookmarkEnd w:id="3"/>
    </w:p>
    <w:p>
      <w:pPr>
        <w:pStyle w:val="Normal"/>
        <w:bidi w:val="0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О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КПД2 27.12.24 Поставка комплектующих для систем противоаварийной автоматики филиала ПАО "РусГидро"-"Каскад Кубанских ГЭС"</w:t>
      </w:r>
      <w:r>
        <w:rPr>
          <w:rFonts w:cs="Times New Roman" w:ascii="Times New Roman" w:hAnsi="Times New Roman"/>
          <w:sz w:val="24"/>
          <w:szCs w:val="24"/>
          <w:lang w:eastAsia="x-none"/>
        </w:rPr>
        <w:t>.</w:t>
      </w:r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right="0" w:hanging="0"/>
        <w:rPr>
          <w:rFonts w:ascii="Times New Roman" w:hAnsi="Times New Roman" w:cs="Times New Roman"/>
        </w:rPr>
      </w:pPr>
      <w:bookmarkStart w:id="4" w:name="__RefHeading___Toc26481_2696883597"/>
      <w:bookmarkStart w:id="5" w:name="_Toc138696376"/>
      <w:bookmarkEnd w:id="4"/>
      <w:r>
        <w:rPr>
          <w:rFonts w:cs="Times New Roman" w:ascii="Times New Roman" w:hAnsi="Times New Roman"/>
        </w:rPr>
        <w:t xml:space="preserve">1.2. </w:t>
      </w:r>
      <w:bookmarkStart w:id="6" w:name="_Toc75446569"/>
      <w:bookmarkStart w:id="7" w:name="_Toc46743507"/>
      <w:r>
        <w:rPr>
          <w:rFonts w:cs="Times New Roman" w:ascii="Times New Roman" w:hAnsi="Times New Roman"/>
        </w:rPr>
        <w:t xml:space="preserve">Цель </w:t>
      </w:r>
      <w:bookmarkEnd w:id="7"/>
      <w:r>
        <w:rPr>
          <w:rFonts w:cs="Times New Roman" w:ascii="Times New Roman" w:hAnsi="Times New Roman"/>
        </w:rPr>
        <w:t>использования закупаемой продукции</w:t>
      </w:r>
      <w:bookmarkEnd w:id="5"/>
      <w:bookmarkEnd w:id="6"/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i w:val="false"/>
          <w:i w:val="false"/>
          <w:sz w:val="24"/>
          <w:szCs w:val="24"/>
          <w:shd w:fill="FFFFFF" w:val="clear"/>
          <w:lang w:eastAsia="ru-RU"/>
        </w:rPr>
      </w:pPr>
      <w:r>
        <w:rPr>
          <w:rStyle w:val="Style9"/>
          <w:rFonts w:eastAsia="Times New Roman" w:cs="Times New Roman" w:ascii="Times New Roman" w:hAnsi="Times New Roman"/>
          <w:bCs/>
          <w:i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Создание</w:t>
      </w:r>
      <w:r>
        <w:rPr>
          <w:rStyle w:val="Style9"/>
          <w:rFonts w:eastAsia="Times New Roman" w:cs="Times New Roman" w:ascii="Times New Roman" w:hAnsi="Times New Roman"/>
          <w:bCs/>
          <w:i w:val="false"/>
          <w:sz w:val="24"/>
          <w:szCs w:val="24"/>
          <w:shd w:fill="FFFFFF" w:val="clear"/>
          <w:lang w:eastAsia="ru-RU"/>
        </w:rPr>
        <w:t xml:space="preserve"> резерва необходимых комплектующих для проведения технического обслуживания и обеспечения бесперебойной и безаварийной работы систем противоаварийной, технологической автоматики ГЭС Филиала.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right="0" w:hanging="0"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8" w:name="__RefHeading___Toc26485_2696883597"/>
      <w:bookmarkStart w:id="9" w:name="_Toc138696377"/>
      <w:bookmarkEnd w:id="8"/>
      <w:r>
        <w:rPr>
          <w:rFonts w:cs="Times New Roman" w:ascii="Times New Roman" w:hAnsi="Times New Roman"/>
          <w:bCs/>
          <w:sz w:val="24"/>
          <w:szCs w:val="24"/>
        </w:rPr>
        <w:t>2. Требования к продукции</w:t>
      </w:r>
      <w:bookmarkEnd w:id="9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right="0" w:hanging="0"/>
        <w:rPr>
          <w:rFonts w:ascii="Times New Roman" w:hAnsi="Times New Roman" w:cs="Times New Roman"/>
        </w:rPr>
      </w:pPr>
      <w:bookmarkStart w:id="10" w:name="__RefHeading___Toc26487_2696883597"/>
      <w:bookmarkStart w:id="11" w:name="_Toc138696378"/>
      <w:bookmarkEnd w:id="10"/>
      <w:r>
        <w:rPr>
          <w:rFonts w:cs="Times New Roman" w:ascii="Times New Roman" w:hAnsi="Times New Roman"/>
        </w:rPr>
        <w:t xml:space="preserve">2.1 </w:t>
      </w:r>
      <w:bookmarkStart w:id="12" w:name="_Toc75446574"/>
      <w:r>
        <w:rPr>
          <w:rFonts w:cs="Times New Roman" w:ascii="Times New Roman" w:hAnsi="Times New Roman"/>
        </w:rPr>
        <w:t xml:space="preserve">Требования к объемам и срокам </w:t>
      </w:r>
      <w:bookmarkEnd w:id="12"/>
      <w:r>
        <w:rPr>
          <w:rFonts w:cs="Times New Roman" w:ascii="Times New Roman" w:hAnsi="Times New Roman"/>
        </w:rPr>
        <w:t>поставки</w:t>
      </w:r>
      <w:bookmarkEnd w:id="11"/>
    </w:p>
    <w:p>
      <w:pPr>
        <w:pStyle w:val="Heading3"/>
        <w:numPr>
          <w:ilvl w:val="0"/>
        </w:numPr>
        <w:tabs>
          <w:tab w:val="clear" w:pos="0"/>
        </w:tabs>
        <w:spacing w:before="0" w:after="0"/>
        <w:ind w:left="0" w:right="0" w:hanging="0"/>
        <w:rPr>
          <w:rFonts w:ascii="Times New Roman" w:hAnsi="Times New Roman" w:cs="Times New Roman"/>
          <w:bCs/>
        </w:rPr>
      </w:pPr>
      <w:bookmarkStart w:id="13" w:name="__RefHeading___Toc26489_2696883597"/>
      <w:bookmarkStart w:id="14" w:name="_Toc138696379"/>
      <w:bookmarkStart w:id="15" w:name="_Toc132812762"/>
      <w:bookmarkStart w:id="16" w:name="_Toc132812891"/>
      <w:bookmarkStart w:id="17" w:name="_Toc75446575"/>
      <w:bookmarkEnd w:id="13"/>
      <w:bookmarkEnd w:id="17"/>
      <w:r>
        <w:rPr>
          <w:rFonts w:cs="Times New Roman" w:ascii="Times New Roman" w:hAnsi="Times New Roman"/>
          <w:bCs/>
        </w:rPr>
        <w:t>2.1.1. Перечень и объ</w:t>
      </w:r>
      <w:r>
        <w:rPr>
          <w:rFonts w:cs="Times New Roman" w:ascii="Times New Roman" w:hAnsi="Times New Roman"/>
          <w:bCs/>
          <w:lang w:val="ru-RU"/>
        </w:rPr>
        <w:t>ё</w:t>
      </w:r>
      <w:r>
        <w:rPr>
          <w:rFonts w:cs="Times New Roman" w:ascii="Times New Roman" w:hAnsi="Times New Roman"/>
          <w:bCs/>
        </w:rPr>
        <w:t>м закупаемой продукции</w:t>
      </w:r>
      <w:bookmarkEnd w:id="14"/>
      <w:bookmarkEnd w:id="15"/>
      <w:bookmarkEnd w:id="16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right="0" w:hanging="0"/>
        <w:rPr>
          <w:rFonts w:ascii="Times New Roman" w:hAnsi="Times New Roman" w:cs="Times New Roman"/>
          <w:bCs/>
          <w:sz w:val="24"/>
          <w:szCs w:val="24"/>
        </w:rPr>
      </w:pPr>
      <w:bookmarkStart w:id="18" w:name="__RefHeading___Toc26491_2696883597"/>
      <w:bookmarkStart w:id="19" w:name="_Toc138696380"/>
      <w:bookmarkStart w:id="20" w:name="_Toc132812892"/>
      <w:bookmarkStart w:id="21" w:name="_Toc132812763"/>
      <w:bookmarkStart w:id="22" w:name="_Toc75446576"/>
      <w:bookmarkStart w:id="23" w:name="_Toc51339695"/>
      <w:bookmarkEnd w:id="18"/>
      <w:r>
        <w:rPr>
          <w:rFonts w:cs="Times New Roman" w:ascii="Times New Roman" w:hAnsi="Times New Roman"/>
          <w:bCs/>
          <w:sz w:val="24"/>
          <w:szCs w:val="24"/>
        </w:rPr>
        <w:t xml:space="preserve">Таблица 1.1 Перечень </w:t>
      </w:r>
      <w:bookmarkEnd w:id="22"/>
      <w:bookmarkEnd w:id="23"/>
      <w:r>
        <w:rPr>
          <w:rFonts w:cs="Times New Roman" w:ascii="Times New Roman" w:hAnsi="Times New Roman"/>
          <w:bCs/>
          <w:sz w:val="24"/>
          <w:szCs w:val="24"/>
        </w:rPr>
        <w:t>и объём закупаемой продукции</w:t>
      </w:r>
      <w:bookmarkEnd w:id="19"/>
      <w:bookmarkEnd w:id="20"/>
      <w:bookmarkEnd w:id="21"/>
    </w:p>
    <w:tbl>
      <w:tblPr>
        <w:tblW w:w="10409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5"/>
        <w:gridCol w:w="7063"/>
        <w:gridCol w:w="1244"/>
        <w:gridCol w:w="1486"/>
      </w:tblGrid>
      <w:tr>
        <w:trPr>
          <w:trHeight w:val="796" w:hRule="atLeast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20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20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Пена огнеупорная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IRFIX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Переключатель кулачковый для вольтметра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EKF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trike w:val="false"/>
                <w:dstrike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Пленка для ламинирования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ГЕЛЕОС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trike w:val="false"/>
                <w:dstrike w:val="false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hd w:fill="auto" w:val="clear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trike w:val="false"/>
                <w:dstrike w:val="false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hd w:fill="auto" w:val="clear"/>
              </w:rPr>
              <w:t>2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trike w:val="false"/>
                <w:dstrike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Пленка для ламинирования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ГЕЛЕОС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trike w:val="false"/>
                <w:dstrike w:val="false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hd w:fill="auto" w:val="clear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trike w:val="false"/>
                <w:dstrike w:val="false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hd w:fill="auto" w:val="clear"/>
              </w:rPr>
              <w:t>2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trike w:val="false"/>
                <w:dstrike w:val="false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Пленка для ламинирования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ГЕЛЕОС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trike w:val="false"/>
                <w:dstrike w:val="false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hd w:fill="auto" w:val="clear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trike w:val="false"/>
                <w:dstrike w:val="false"/>
                <w:color w:val="000000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hd w:fill="auto" w:val="clear"/>
              </w:rPr>
              <w:t>2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Площадка самоклеящаяся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Полотна по металлу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STAYER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Полотно по металлу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STAYER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Полотно по металлу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SKRAB 20780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Предохранитель керамический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Eaton DMM-B-44/100 (R)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Прибор мониторинга температуры трансформатора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Мирономика ТМТ2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trike w:val="false"/>
                <w:dstrike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Cs/>
                <w:strike w:val="false"/>
                <w:dstrike w:val="false"/>
                <w:sz w:val="24"/>
                <w:szCs w:val="24"/>
                <w:shd w:fill="auto" w:val="clear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Принтер кабельный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Supvan TP-80E РУС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hd w:fill="auto" w:val="clear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hd w:fill="auto" w:val="clear"/>
              </w:rPr>
              <w:t>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Припой с канифолью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REXANT 09-3103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Припой с канифолью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Катушка, REXANT 09-3223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ПГВА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Прокладка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фторопластовая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Прокладка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фторопластовая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Пылесос аккумуляторный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Oberhof Kompaktheit SW-15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Пылесос строительный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Интерскол ПУ-30/1400РЭ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Разъем для тестирования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ETI ESC-PSD/P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Разъем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Giraffe GF-RJ45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Разъем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FQ14-2ZPJ-8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Разъем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FQ14-2TK-8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контроля трехфазного напряжения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Меандр ЕЛ-11М-15 AC400В УХЛ4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промежуточное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KEAZ OptiRel G RP55-32-230-12-CO/TIL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промежуточное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KEAZ OptiRel G RP55-34-220D-6-CO/TI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Риббон (красящая лента)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VELL TP-R100EB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Розетка для реле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KEAZ RP55 OptiRel G RR94-92-230-12-V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Розетка для реле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KEAZ RP55 OptiRel G RR94-94-230-7-V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Рюкзак для ноутбука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RIVACASE 8461 black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Сверло ступенчатое по металлу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Extreme COBALT 4-40 мм Россомаха 705005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Смазка проникающая многоцелевая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LAVR LV-40 Ln1453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Смазка силиконовая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LAVR SERVICE Ln3501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Спирт изопропиловый абсолютированный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Selkor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Стеллаж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ФУРАМА СТФЛ201080-5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Стеллаж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IRONMEBEL optimus hook pro СГРФОЦ2000х1500х500х5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Стержни клеевые прозрачные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ТПК-11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Стойка подкатная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СПМ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FORTISFLEX</w:t>
              <w:tab/>
              <w:t xml:space="preserve">  КСВ-О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 КСО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КСС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КСС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КСС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КСС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TDM Electric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2600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Термопаста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Arctic Cooling MX-4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  <w:t>Термопреобразователь сопротивления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  <w:t>Эталон ТСП 9203-28 У2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Тестер кабеля сетевой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5Bites UTP/FTP/STP RJ45, TEL RJ11/12 LY-CT003 (или эквивалент)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маркировочная термоусаживаемая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Термомарк МТ-2К – 2,4/1,2W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маркировочная термоусаживаемая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Термомарк МТ-2К – 4,8/2,4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маркировочная термоусаживаемая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Термомарк МТ-2К – 6,4/3,2W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Термоусаживаемая трубка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TDM ТУТнг 6/3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Термоусаживаемая трубка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TDM ТУТнг 20/10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Термоусадочная клеевая трубка КВТ ТТК 3:1-6/2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Термоусадочная клеевая трубка КВТ ТТК 3:1-12/4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термоусадочная клеевая КВТ ТТК(3:1)-25/8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Удлинитель сетевой на катушке с термозащитой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IEK WKP15-16-04-10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Удлинитель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UNIVersal s-303а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  <w:t>Устройство зарядное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  <w:t>Nitecore i4 18650/16340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Устройство зарядное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МЕГЕОН 77901K11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Устройство контроля изоляции сети постоянного тока переносное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СЕНСОР-ПМ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Фиксатор реле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KEAZ OptiRel G 55-H5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Фильтр-влагоотделитель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Фильтр сетевой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Cablexpert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Флюс для пайки алюминия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Ф-64 Connector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pacing w:val="-2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shd w:fill="auto" w:val="clear"/>
              </w:rPr>
              <w:t>Флюс с кисточкой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fill="auto" w:val="clear"/>
              </w:rPr>
              <w:t>Connector LTI-120KIS-20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Флюс паяльная кислота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ЗУБР 55491-030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Флюс-гель безотмывочный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Rusflux MR-850-CS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Фонарь налобный светодиодный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Fenix HL16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Щетка-сметка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РемоКолор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Шкаф инструментальный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ТС 1995-023000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GP 1604AXNEW-CR1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GP 14A-2CR2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GP 24A-2CRVS20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GP 15A-2CRVS20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 Robiton PROFI CR14250 1/2AA PK1 14634 или эквивалент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горючих газов газоанализатора Ventis MX4 (НКПР/CH4)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кислорода (O2) газоанализатора Ventis MX4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10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063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угарного газа (CO) газоанализатора Ventis MX4</w:t>
            </w:r>
          </w:p>
        </w:tc>
        <w:tc>
          <w:tcPr>
            <w:tcW w:w="1244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4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spacing w:before="0" w:after="0"/>
        <w:rPr>
          <w:rFonts w:ascii="Times New Roman" w:hAnsi="Times New Roman" w:cs="Times New Roman"/>
        </w:rPr>
      </w:pPr>
      <w:bookmarkStart w:id="24" w:name="__RefHeading___Toc26493_2696883597"/>
      <w:bookmarkStart w:id="25" w:name="_Toc132812893"/>
      <w:bookmarkStart w:id="26" w:name="_Toc132812764"/>
      <w:bookmarkStart w:id="27" w:name="_Toc138696381"/>
      <w:bookmarkStart w:id="28" w:name="_Toc51339696"/>
      <w:bookmarkStart w:id="29" w:name="_Toc75446578"/>
      <w:bookmarkEnd w:id="24"/>
      <w:r>
        <w:rPr>
          <w:rFonts w:cs="Times New Roman" w:ascii="Times New Roman" w:hAnsi="Times New Roman"/>
          <w:lang w:val="ru-RU"/>
        </w:rPr>
        <w:t xml:space="preserve">2.1.2. Требования </w:t>
      </w:r>
      <w:bookmarkEnd w:id="28"/>
      <w:bookmarkEnd w:id="29"/>
      <w:r>
        <w:rPr>
          <w:rFonts w:cs="Times New Roman" w:ascii="Times New Roman" w:hAnsi="Times New Roman"/>
          <w:lang w:val="ru-RU"/>
        </w:rPr>
        <w:t>к срокам поставки продукции и оказания сопутствующих услуг</w:t>
      </w:r>
      <w:bookmarkEnd w:id="25"/>
      <w:bookmarkEnd w:id="26"/>
      <w:bookmarkEnd w:id="27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0"/>
        <w:ind w:left="0" w:right="0" w:hanging="0"/>
        <w:rPr>
          <w:rFonts w:ascii="Times New Roman" w:hAnsi="Times New Roman" w:cs="Times New Roman"/>
          <w:sz w:val="24"/>
          <w:szCs w:val="24"/>
        </w:rPr>
      </w:pPr>
      <w:bookmarkStart w:id="30" w:name="__RefHeading___Toc26495_2696883597"/>
      <w:bookmarkStart w:id="31" w:name="_Toc132812894"/>
      <w:bookmarkStart w:id="32" w:name="_Toc75446579"/>
      <w:bookmarkStart w:id="33" w:name="_Toc138696382"/>
      <w:bookmarkStart w:id="34" w:name="_Toc132812765"/>
      <w:bookmarkStart w:id="35" w:name="_Toc50125127"/>
      <w:bookmarkStart w:id="36" w:name="_Toc51339697"/>
      <w:bookmarkStart w:id="37" w:name="_Toc501251261"/>
      <w:bookmarkEnd w:id="30"/>
      <w:bookmarkEnd w:id="37"/>
      <w:r>
        <w:rPr>
          <w:rFonts w:cs="Times New Roman" w:ascii="Times New Roman" w:hAnsi="Times New Roman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sz w:val="24"/>
          <w:szCs w:val="24"/>
          <w:lang w:val="ru-RU"/>
        </w:rPr>
        <w:t>2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  <w:lang w:val="ru-RU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38" w:name="_Hlk50465284"/>
      <w:r>
        <w:rPr>
          <w:rFonts w:cs="Times New Roman" w:ascii="Times New Roman" w:hAnsi="Times New Roman"/>
          <w:sz w:val="24"/>
          <w:szCs w:val="24"/>
        </w:rPr>
        <w:t xml:space="preserve">Требования по срокам </w:t>
      </w:r>
      <w:bookmarkEnd w:id="35"/>
      <w:bookmarkEnd w:id="36"/>
      <w:bookmarkEnd w:id="38"/>
      <w:r>
        <w:rPr>
          <w:rFonts w:cs="Times New Roman" w:ascii="Times New Roman" w:hAnsi="Times New Roman"/>
          <w:sz w:val="24"/>
          <w:szCs w:val="24"/>
          <w:lang w:val="ru-RU"/>
        </w:rPr>
        <w:t>поставки продукции</w:t>
      </w:r>
      <w:bookmarkEnd w:id="31"/>
      <w:bookmarkEnd w:id="32"/>
      <w:bookmarkEnd w:id="33"/>
      <w:bookmarkEnd w:id="34"/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10410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3"/>
        <w:gridCol w:w="6452"/>
        <w:gridCol w:w="1633"/>
        <w:gridCol w:w="1711"/>
      </w:tblGrid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Пена огнеупорная IRFIX или эквивалент</w:t>
            </w:r>
          </w:p>
        </w:tc>
        <w:tc>
          <w:tcPr>
            <w:tcW w:w="16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1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</w:rPr>
              <w:t>С даты подписания</w:t>
            </w:r>
            <w:r>
              <w:rPr>
                <w:rFonts w:cs="Times New Roman" w:ascii="Times New Roman" w:hAnsi="Times New Roman"/>
                <w:caps w:val="false"/>
                <w:smallCaps w:val="false"/>
                <w:spacing w:val="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</w:rPr>
              <w:t>договора</w:t>
            </w:r>
          </w:p>
        </w:tc>
        <w:tc>
          <w:tcPr>
            <w:tcW w:w="17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21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30.11.2026</w:t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Переключатель кулачковый для вольтметра EKF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fill="FFFFFF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shd w:fill="FFFFFF" w:val="clear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hd w:val="clear" w:fill="FFFFFF"/>
              <w:spacing w:lineRule="auto" w:line="240"/>
              <w:ind w:left="0" w:righ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FFFFFF" w:val="clear"/>
              </w:rPr>
              <w:t>Пленка для ламинирования ГЕЛЕОС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fill="FFFFFF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shd w:fill="auto" w:val="clear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hd w:val="clear" w:fill="FFFFFF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Пленка для ламинирования ГЕЛЕОС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fill="FFFFFF"/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shd w:fill="auto" w:val="clear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hd w:val="clear" w:fill="FFFFFF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Пленка для ламинирования ГЕЛЕОС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2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Площадка самоклеящаяся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Полотна по металлу STAYER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Полотно по металлу STAYER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Полотно по металлу SKRAB 20780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Предохранитель керамический Eaton DMM-B-44/100 (R)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Прибор мониторинга температуры трансформатора Мирономика ТМТ2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trike w:val="false"/>
                <w:dstrike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Принтер кабельный Supvan TP-80E РУС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Припой с канифолью REXANT 09-3103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Припой с канифолью Катушка, REXANT 09-3223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ПГВА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Прокладка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фторопластовая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Прокладка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фторопластовая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Пылесос аккумуляторный Oberhof Kompaktheit SW-15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Пылесос строительный Интерскол ПУ-30/1400РЭ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Разъем для тестирования ETI ESC-PSD/P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Разъем Giraffe GF-RJ45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Разъем FQ14-2ZPJ-8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Разъем FQ14-2TK-8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контроля трехфазного напряжения Меандр ЕЛ-11М-15 AC400В УХЛ4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промежуточное KEAZ OptiRel G RP55-32-230-12-CO/TIL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промежуточное KEAZ OptiRel G RP55-34-220D-6-CO/TI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Риббон (красящая лента) VELL TP-R100EB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Розетка для реле KEAZ RP55 OptiRel G RR94-92-230-12-V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Розетка для реле KEAZ RP55 OptiRel G RR94-94-230-7-V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Рюкзак для ноутбука RIVACASE 8461 black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Сверло ступенчатое по металлу Extreme COBALT 4-40 мм Россомаха 705005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Смазка проникающая многоцелевая LAVR LV-40 Ln1453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Смазка силиконовая LAVR SERVICE Ln3501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Спирт изопропиловый абсолютированный Selkor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Стеллаж ФУРАМА СТФЛ201080-5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Стеллаж IRONMEBEL optimus hook pro СГРФОЦ2000х1500х500х5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Стержни клеевые прозрачные КВТ ТПК-11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Стойка подкатная СПМ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 FORTISFLEX КСВ-О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 КВТ  КСО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 КВТ КСС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 КВТ КСС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 КВТ КСС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 КВТ КСС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 TDM Electric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Термопаста Arctic Cooling MX-4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  <w:t>Термопреобразователь сопротивления Эталон ТСП 9203-28 У2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Тестер кабеля сетевой 5Bites UTP/FTP/STP RJ45, TEL RJ11/12 LY-CT003 (или эквивалент)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маркировочная термоусаживаемая Термомарк МТ-2К – 2,4/1,2W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маркировочная термоусаживаемая Термомарк МТ-2К – 4,8/2,4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маркировочная термоусаживаемая Термомарк МТ-2К – 6,4/3,2W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Термоусаживаемая трубка TDM ТУТнг 6/3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Термоусаживаемая трубка TDM ТУТнг 20/10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Термоусадочная клеевая трубка КВТ ТТК 3:1-6/2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Термоусадочная клеевая трубка КВТ ТТК 3:1-12/4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термоусадочная клеевая КВТ ТТК(3:1)-25/8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Удлинитель сетевой на катушке с термозащитой IEK WKP15-16-04-10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Удлинитель UNIVersal s-303а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  <w:t>Устройство зарядное Nitecore i4 18650/16340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Устройство зарядное МЕГЕОН 77901K11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Устройство контроля изоляции сети постоянного тока переносное СЕНСОР-ПМ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Фиксатор реле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KEAZ OptiRel G 55-H5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Фильтр-влагоотделитель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Фильтр сетевой Cablexpert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Флюс для пайки алюминия Ф-64 Connector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pacing w:val="-2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shd w:fill="auto" w:val="clear"/>
              </w:rPr>
              <w:t xml:space="preserve">Флюс с кисточкой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fill="auto" w:val="clear"/>
              </w:rPr>
              <w:t>Connector LTI-120KIS-20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Флюс паяльная кислота ЗУБР 55491-030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Флюс-гель безотмывочный Rusflux MR-850-CS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Фонарь налобный светодиодный Fenix HL16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Щетка-сметка  РемоКолор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Шкаф инструментальный ТС 1995-023000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 GP 1604AXNEW-CR1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 GP 14A-2CR2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 GP 24A-2CRVS20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 GP 15A-2CRVS20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 Robiton PROFI CR14250 1/2AA PK1 14634 или эквивалент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горючих газов газоанализатора Ventis MX4 (НКПР/CH4)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кислорода (O2) газоанализатора Ventis MX4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0" w:leader="none"/>
              </w:tabs>
              <w:spacing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угарного газа (CO) газоанализатора Ventis MX4</w:t>
            </w:r>
          </w:p>
        </w:tc>
        <w:tc>
          <w:tcPr>
            <w:tcW w:w="16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type w:val="nextPage"/>
          <w:pgSz w:w="11906" w:h="16838"/>
          <w:pgMar w:left="1150" w:right="339" w:gutter="0" w:header="400" w:top="542" w:footer="270" w:bottom="598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right="0" w:hanging="0"/>
        <w:contextualSpacing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39" w:name="__RefHeading___Toc26497_2696883597"/>
      <w:bookmarkStart w:id="40" w:name="_Toc138696383"/>
      <w:bookmarkEnd w:id="39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2.2. Требования к качеству продукции</w:t>
      </w:r>
      <w:bookmarkEnd w:id="40"/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right="0" w:hanging="0"/>
        <w:contextualSpacing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bookmarkStart w:id="41" w:name="__RefHeading___Toc26499_2696883597"/>
      <w:bookmarkStart w:id="42" w:name="_Toc132812896"/>
      <w:bookmarkStart w:id="43" w:name="_Toc132812767"/>
      <w:bookmarkStart w:id="44" w:name="_Toc138696384"/>
      <w:bookmarkEnd w:id="41"/>
      <w:r>
        <w:rPr>
          <w:rFonts w:eastAsia="Times New Roman" w:cs="Times New Roman" w:ascii="Times New Roman" w:hAnsi="Times New Roman"/>
          <w:bCs/>
          <w:sz w:val="24"/>
          <w:szCs w:val="24"/>
          <w:lang w:val="ru-RU" w:eastAsia="ru-RU"/>
        </w:rPr>
        <w:t>Таблица 3. Требования к качеству продукции.</w:t>
      </w:r>
      <w:bookmarkEnd w:id="42"/>
      <w:bookmarkEnd w:id="43"/>
      <w:bookmarkEnd w:id="44"/>
    </w:p>
    <w:p>
      <w:pPr>
        <w:pStyle w:val="Normal"/>
        <w:spacing w:before="0"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Наименование продукции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en-US" w:bidi="ar-SA"/>
        </w:rPr>
        <w:t>: Поставка комплектующих для систем противоаварийной автоматики филиала ПАО "РусГидро"-"Каскад Кубанских ГЭС"</w:t>
      </w:r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>.</w:t>
      </w:r>
    </w:p>
    <w:tbl>
      <w:tblPr>
        <w:tblW w:w="15255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5"/>
        <w:gridCol w:w="2885"/>
        <w:gridCol w:w="6541"/>
        <w:gridCol w:w="1645"/>
        <w:gridCol w:w="2042"/>
        <w:gridCol w:w="1426"/>
      </w:tblGrid>
      <w:tr>
        <w:trPr>
          <w:trHeight w:val="660" w:hRule="atLeast"/>
          <w:cantSplit w:val="true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cantSplit w:val="true"/>
        </w:trPr>
        <w:tc>
          <w:tcPr>
            <w:tcW w:w="7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/>
            </w:pPr>
            <w:r>
              <w:rPr/>
            </w:r>
          </w:p>
        </w:tc>
        <w:tc>
          <w:tcPr>
            <w:tcW w:w="28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417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Пена огнеупорная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IRFIX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Объем вещества в баллоне -  не менее750 мл; Время полного застывания - не более 24 ч; Вид баллона - под пистолет; Огнестойкость - да; Объем пены в баллоне (выход) - не менее 50 л; Коэффициент расширения - не менее 40-50%; Цвет пены - красный;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Переключатель кулачковый для вольтметра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EKF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Номинальное рабочее напряжение: не менее 380(400) В; Номинальный ток:  не менее 10 А; Количество полюсов: 4P; Вид: переключатель с фиксацией; 7 положений.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trike w:val="false"/>
                <w:dstrike w:val="false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Пленка для ламинирования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ГЕЛЕОС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Формат: А4; Толщина: 60 мкм; Глянцевая; (упаковка  не менее 100 шт.)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trike w:val="false"/>
                <w:dstrike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trike w:val="false"/>
                <w:dstrike w:val="false"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trike w:val="false"/>
                <w:dstrike w:val="false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Пленка для ламинирования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ГЕЛЕОС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Формат: А4; Толщина: 100 мкм; Глянцевая; (упаковка  не менее 100 шт.)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trike w:val="false"/>
                <w:dstrike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trike w:val="false"/>
                <w:dstrike w:val="false"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trike w:val="false"/>
                <w:dstrike w:val="false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Пленка для ламинирования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ГЕЛЕОС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Формат: А4; Толщина: 250 мкм; Глянцевая; (упаковка  не менее 100 шт)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trike w:val="false"/>
                <w:dstrike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trike w:val="false"/>
                <w:dstrike w:val="false"/>
                <w:sz w:val="24"/>
                <w:szCs w:val="24"/>
                <w:shd w:fill="auto" w:val="clear"/>
              </w:rPr>
            </w:r>
          </w:p>
        </w:tc>
      </w:tr>
      <w:tr>
        <w:trPr>
          <w:trHeight w:val="597" w:hRule="atLeast"/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Площадка самоклеящаяся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- нейлон;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Фиксация - самоклеящееся основание;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Длина - 20 мм; Ширина - 20 мм; Высота - 7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 - белый; Ширина стяжки - 19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Диаметр монтажных отверстий - 2.4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Фасовка -  не менее 100 шт;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Полотна по металлу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STAYER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- по металлу; Тип хвостовика хвостовик - Т; Количество -  не менее 2 шт; Материал - Bi-Metal; Рабочая длина - 50 мм; Общая длина - 75 мм; Шаг зубьев постоянный - 1.4 мм.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Полотно по металлу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STAYER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Длина - 300 мм; Ширина - 13 мм; Количество рабочих сторон - одностороннее; Шаг зубьев - 24 TPI; Материал полотна - быстрорежущая сталь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Полотно по металлу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SKRAB 20780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Длина: 300 мм Ширина:13 мм Количество рабочих сторон: одностороннее Шаг зубьев:24 TPI Количество в наборе: не менее 10 шт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Предохранитель керамический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Eaton DMM-B-44/100 (R)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Ток: 440 мА;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Напряжение: 1000 В;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Длина корпуса 35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Диаметр корпуса: 10 мм.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Прибор мониторинга температуры трансформатора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Мирономика ТМТ2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Напряжение питания: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- переменного тока с частотой от 48 до 63 Гц - от 85 до 240 В;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- постоянного тока от 120 до 340 В.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Диапазон контролируемых температур от минус 50 до 150°С.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Максимальная погрешность измерения температуры масла не более ±2,0 °С.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strike w:val="false"/>
                <w:dstrike w:val="false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trike w:val="false"/>
                <w:dstrike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Принтер кабельный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Supvan TP-80E РУС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trike w:val="false"/>
                <w:dstrike w:val="false"/>
                <w:color w:val="000000"/>
                <w:sz w:val="24"/>
                <w:szCs w:val="24"/>
                <w:shd w:fill="auto" w:val="clear"/>
              </w:rPr>
              <w:t>Печать: термотрансферная; Нож обрезки: автоматический; Разрешение печати: 300 dpi; Клавиатура: русская/английская; Дисплей: Белый LCD с подсветкой; двойное отображение, 5 строк редактирования; Типы расходных материалов: ПВХ трубка, термоусадочная трубка, этикетки.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trike w:val="false"/>
                <w:dstrike w:val="false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trike w:val="false"/>
                <w:dstrike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trike w:val="false"/>
                <w:dstrike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trike w:val="false"/>
                <w:dstrike w:val="false"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Припой с канифолью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REXANT 09-3103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Состав: (Sn60/ Pb40/ Flux 2.2%);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Диаметр проволоки: 1,0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Вес:  не менее 20 г.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Припой с канифолью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Катушка, REXANT 09-3223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Состав: (Sn60/ Pb40/ Flux 2.2%);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Диаметр проволоки: 2,0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Вес:  не менее 100 г.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изоляции: ПВХ пластикат пониженной горючести с пониженным газо- дымовыделением; Материал жилы: медные проволоки; Кол-во жил: 1; Исполнение жилы: однопроволочные;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Сечение: 1.5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ПУВнг(А)-LS;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черный.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изоляции: ПВХ пластикат пониженной горючести с пониженным газо- дымовыделением; Материал жилы: медные проволоки; Кол-во жил: 1; Исполнение жилы: однопроволочные;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Сечение: 2.5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ПУВнг(А)-LS;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красный.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изоляции: ПВХ пластикат пониженной горючести с пониженным газо- дымовыделением; Материал жилы: медные проволоки; Кол-во жил: 1; Исполнение жилы: многопроволочные; Класс жилы: 5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Сечение: 2.5 мм2;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ПуГВнг(A)-LS;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синий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изоляции: ПВХ пластикат пониженной горючести с пониженным газо- дымовыделением; Материал жилы: медные проволоки; Кол-во жил: 1; Исполнение жилы: многопроволочные; Класс жилы: 5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Сечение: 4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ПуГВнг(A)-LS;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красный.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изоляции: ПВХ пластикат пониженной горючести с пониженным газо- дымовыделением; Материал жилы: медные проволоки; Кол-во жил: 1; Исполнение жилы: многопроволочные; Класс жилы: 5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Сечение: 0.5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ПуГВнг(A)-LS;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черный.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установочный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изоляции: ПВХ пластикат пониженной горючести с пониженным газо- дымовыделением; Материал жилы: медные проволоки; Кол-во жил: 1; Исполнение жилы: многопроволочные; Класс жилы: 5,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Сечение: 1.5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ПуГВнг(A)-LS;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белый.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Провод ПГВА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изоляции: ПВХ пластикат; Материал жилы: медные проволоки; Кол-во жил: 1; Исполнение жилы: многопроволочные; Класс жилы: 5;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Сечение: 0.35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vertAlign w:val="superscript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Тип: ПГВА;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черный.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Прокладка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фторопластовая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Рабочее давление  не менее 16 МПа;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Материал: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фторопласт;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М12×1,5.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Прокладка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фторопластовая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Рабочее давление  не менее 16 МПа;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 xml:space="preserve">Материал: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фторопласт;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М20×1,5.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Пылесос аккумуляторный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Oberhof Kompaktheit SW-15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Мощность всасывания:  не менее 9/14 кПа;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Емкость аккумулятора:  не менее 2000 мАч;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Объем пылесборника:  не менее 150 мл;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Материал: ABS пластик, алюминиевый сплав;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Разъем для зарядки: Type-C.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Пылесос строительный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Интерскол ПУ-30/1400РЭ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пылесоса - строительный;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пылесборника мешок/контейнер;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Диаметр всасывающего шланга - 32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Мощность -  не менее 1400 Вт;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Объем бака -  не менее 30 л;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Расход воздуха -  не менее 60 л/с;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Длина всасывающего шланга -  не менее 3.5 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Разъем для тестирования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ETI ESC-PSD/P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Категория: винтовая клемма для использования с ESC-SCB.6.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Разъем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Giraffe GF-RJ45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разъема — RJ-45;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Форма отпуска: упаковка;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Количество в упаковке -  не менее 100 шт.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Разъем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FQ14-2ZPJ-8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 Рабочее напряжение:  не менее 500В;</w:t>
              <w:br/>
              <w:t>- Сопротивление контактов: не хуже Ø1.0мм - 0.005Ω, Ø1.5мм - 0.0025Ω;</w:t>
              <w:br/>
              <w:t>- IP стандарт: не хуже 67;</w:t>
              <w:br/>
              <w:t>- Выносливость/износостойкость, циклы:  не менее 5000;</w:t>
              <w:br/>
              <w:t>- Механический удар, пиковое ударное ускорение:  не менее 490м/с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vertAlign w:val="superscript"/>
                <w:lang w:val="ru-RU" w:eastAsia="en-US" w:bidi="ar-SA"/>
              </w:rPr>
              <w:t>2</w:t>
            </w:r>
            <w:r>
              <w:rPr>
                <w:rFonts w:eastAsia="Calibri" w:cs="Tahoma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shd w:fill="auto" w:val="clear"/>
                <w:vertAlign w:val="baseline"/>
                <w:lang w:val="ru-RU" w:eastAsia="en-US" w:bidi="ar-SA"/>
              </w:rPr>
              <w:t>;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br/>
              <w:t>- Влажность: до 98% при 40°C;</w:t>
              <w:br/>
              <w:t>- Номинальный ток: не менее Ø1.0мм - 3A; Ø1.5мм - 10A;</w:t>
              <w:br/>
              <w:t>- Сопротивление изоляции: &gt;5000MΩ;</w:t>
              <w:br/>
              <w:t>- Покрытие контактов: Серебро;</w:t>
              <w:br/>
              <w:t>- Вибрации, пиковое ударное ускорение: 10-2000Гц, до 150 м/с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vertAlign w:val="superscript"/>
                <w:lang w:val="ru-RU" w:eastAsia="en-US" w:bidi="ar-SA"/>
              </w:rPr>
              <w:t>2</w:t>
            </w:r>
            <w:r>
              <w:rPr>
                <w:rFonts w:eastAsia="Calibri" w:cs="Tahoma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shd w:fill="auto" w:val="clear"/>
                <w:vertAlign w:val="baseline"/>
                <w:lang w:val="ru-RU" w:eastAsia="en-US" w:bidi="ar-SA"/>
              </w:rPr>
              <w:t>;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br/>
              <w:t>- Рабочая температура: диапазон не менее -55 ~ 85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vertAlign w:val="superscript"/>
                <w:lang w:val="ru-RU" w:eastAsia="en-US" w:bidi="ar-SA"/>
              </w:rPr>
              <w:t>0</w:t>
            </w: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С;</w:t>
              <w:br/>
              <w:t>- Атмосферное давление: не хуже 4.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Разъем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FQ14-2TK-8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Условный размер корпуса 14;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Функциональное назначение: Розетка;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Тип соединения: байонетное;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Способ монтажа на кабель;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Количество контактов 2;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Тип контактов: гнездо;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Максимальный ток не более 10А;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Рабочее напряжение  не менее 500В;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Патрубок прямой.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контроля трехфазного напряжения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Меандр ЕЛ-11М-15 AC400В УХЛ4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Номинальное напряжение -  не менее 400 В;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Номинальный ток -  не менее 8 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Контактная группа - 2 переключающие группы;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Степень защиты - не хуже IP40.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</w:t>
              <w:softHyphen/>
              <w:t>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промежуточное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KEAZ OptiRel G RP55-32-230-12-CO/TIL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напряжение 220-240VАC;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контакты - 2 СО;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Номинальный ток -  не менее 12А;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контакта: AgNi;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Кнопка «тест»;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Механический индикатор;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Светодиодная индикация.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Реле промежуточное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KEAZ OptiRel G RP55-34-220D-6-CO/TI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напряжение 220VDC;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контакты 4 СО;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Номинальный ток  не менее 6А;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контакта: AgNi;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Кнопка «тест»;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Механический индикатор.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Риббон (красящая лента)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VELL TP-R100EB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Совместим с принтером Supvan TP-80E;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Ширина: 12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Длина:  не менее 100 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черный.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Розетка для реле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KEAZ RP55 OptiRel G RR94-92-230-12-V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Номинальный ток:  не менее 12А;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контакты - 2СО;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Винтовые клеммы.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Розетка для реле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KEAZ RP55 OptiRel G RR94-94-230-7-V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Номинальный ток:  не менее 7А;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контакты - 4СО;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Винтовые клеммы.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Рюкзак для ноутбука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RIVACASE 8461 black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Назначение: для ноутбука;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Max диагональ ноутбука:17.3 дюйм;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Материал: полиэстер;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Вес нетто: не более 0.9 кг;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Конструкция: формоустойчивая (полужесткая).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Сверло ступенчатое по металлу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Extreme COBALT 4-40 мм Россомаха 705005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сверла: HSS-CO;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хвостовика: цилиндрический с 3 гранями;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Кол-во ступеней: 19;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Диаметр: 4, 6, 8, 10, 12, 14, 16, 18, 20, 22, 24, 26, 28, 30, 32, 34, 36, 38, 40 мм.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Смазка проникающая многоцелевая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LAVR LV-40 Ln1453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Тип: Аэрозоль,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Флакон с распылителем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Основа: алифатические углеводороды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Рабочая температура: выше +14 °С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Смазка силиконовая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LAVR SERVICE Ln3501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Тип: Аэрозоль;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Обьем:  не менее 650мл;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Состав: силиконосодержащий.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Спирт изопропиловый абсолютированный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Selkor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Вид - изопропиловый спирт;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Вид тары - бутыль;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Объем -  не менее 1 л;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Изготовлен согласно: ГОСТ 9805-84.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Стеллаж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ФУРАМА СТФЛ201080-5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Материал- металл;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Кол-во полок - 5 шт;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Max нагрузка на полку -  не менее 100 кг;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Вес стеллажа - не более 34 кг;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Ширина - 1000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Высота - 2000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Глубина - 800 мм.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Стеллаж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IRONMEBEL optimus hook pro СГРФОЦ2000х1500х500х5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Материал - фанера, металл;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Кол-во полок/ярусов - 5 шт;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Установка напольный;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Max нагрузка на полку -  не менее 300 кг;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Вес стеллажа - не более 75 кг;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Шаг регулирования высоты полки - 50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Ширина - 1500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Высота - 2000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Глубина - 500 мм.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Стержни клеевые прозрачные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ТПК-11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Диаметр: 11 мм; Длина: 200 мм; Количество в упаковке:  не менее 12 шт.; Цвет: прозрачные.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Стойка подкатная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СПМ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Три регулируемые по высоте полки; Четыре колесные опоры, две из которых с механизмом фиксации; Температурная стойкость полок — до 300°С; Максимальная распределенная нагрузка на стойку — до 80 кг; антистатическое исполнение ESD Размер: 850х500х600 мм; Цвет кромки — черный, Цвет металла — RAL-7035.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FORTISFLEX</w:t>
              <w:tab/>
              <w:t xml:space="preserve">  КСВ-О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Тип: многоразовый; черный, лента на липучке 20*300 мм.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 КСО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3.6*150 мм; Диаметр отверстия: 5 мм; Материал: нейлон 6.6, самозатухающий. черный (упаковка  не менее 100 шт.)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КСС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2.5*100 мм; Материал: нейлон 6.6, самозатухающий. черный (упаковка  не менее 100 шт)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КСС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2.5*150 мм; Материал: нейлон 6.6, самозатухающий. черный (упаковка  не менее 100 шт)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КСС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3.6*200 мм; Материал: нейлон 6.6, самозатухающий. черный (упаковка  не менее 100 шт)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КВТ КСС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4.8*300 мм; Материал: нейлон 6.6, самозатухающий. черный (упаковка  не менее 100 шт)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Стяжка (хомут)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TDM Electric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2.5*160 мм; Материал: нейлон 6.6, самозатухающий. черный (упаковка  не менее 100 шт)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Термопаста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Arctic Cooling MX-4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Теплопроводность: не хуже 8.5 Вт/мК; Упаковка термопасты: шприц; Максимальная рабочая температура -  не менее +160°C; Минимальная рабочая температура - не хуже -50°C.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  <w:t>Термопреобразователь сопротивления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  <w:t>Эталон ТСП 9203-28 У2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Схема: 3; НСХ: 100П; Рабочий диапазон температур: -50...+150 град.С; Размеры: l=100 мм, D=8 мм.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Тестер кабеля сетевой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5Bites UTP/FTP/STP RJ45, TEL RJ11/12 LY-CT003 (или эквивалент)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тестируемого кабеля - витая пара, телефонный кабель; Элементы питания - типа крона (6LR61;6F22;6KR61);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Количество и напряжение элементов питания 1х9B.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маркировочная термоусаживаемая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Термомарк МТ-2К – 2,4/1,2W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белый; Коэффициент усадка:2/1; Рулон: -  не менее 200м.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маркировочная термоусаживаемая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Термомарк МТ-2К – 4,8/2,4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белый; Коэффициент усадка:2/1; Рулон: -  не менее 100м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маркировочная термоусаживаемая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Термомарк МТ-2К – 6,4/3,2W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Цвет: белый; Коэффициент усадка:2/1; Рулон: - не менее 100м.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Термоусаживаемая трубка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TDM ТУТнг 6/3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Длина:  не менее 10 м Номинальный диаметр до/после усадки:6/3 мм Температура усадки: не хуже от 90 до 120 °С</w:t>
              <w:br/>
              <w:t>Клеевой слой: нет Наличие изоляции: да; Цвет: белый.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Термоусаживаемая трубка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TDM ТУТнг 20/10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Длина:  не менее 10 м Номинальный диаметр до/после усадки:20/10 мм Температура усадки:  хуже от 90 до 120 °С Клеевой слой: нет Наличие изоляции: да Цвет: черный.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Термоусадочная клеевая трубка КВТ ТТК 3:1-6/2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трубки: с клеевым слоем; Коэффициент усадки: 3/1; Материал: полиолефин, не поддерживает горение; Рабочее напряжение: - до 1000 В; Цвет трубки: черный; Нарезка: 1 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Термоусадочная клеевая трубка КВТ ТТК 3:1-12/4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Длина:1 м Номинальный диаметр до/после усадки:12/4 мм Продольная усадка:≤15 % Температура усадки: не хуже 115-140 °С; Клеевой слой: да; Цвет: белый.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Трубка термоусадочная клеевая КВТ ТТК(3:1)-25/8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трубки: с клеевым слоем; Коэффициент усадки: 3/1; Материал: полиолефин, не поддерживает горение; Рабочее напряжение: до 1000 В; Цвет трубки: черный; Нарезка: 1 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Удлинитель сетевой на катушке с термозащитой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IEK WKP15-16-04-10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Длина кабеля: 10 м.; Количество розеток:  не менее 1 шт.; Тип: Удлинитель; Тип провода: ПВС; Сечение провода: 3х1,5 мм²; Напряжение сети: не менее 220 В; Номинальная сила тока:  не менее 16 А; Степень защиты: не хуже IP20; Max нагрузка (Вт)  не менее 3500; Max нагрузка (кВт)  не менее 3,5.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Удлинитель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UNIVersal s-303а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Количество розеток -  не менее 3 шт; Длина кабеля -  не менее 5 м; Напряжение сети -  не менее 220 В; Выключатель на корпусе - есть; Сечение провода - 3х1.5 мм²; Заземление - есть; Степень защиты - не хуже IP20; Max нагрузка (Вт) —  не менее 3680; Световая индикация — да.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  <w:t>Устройство зарядное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shd w:fill="auto" w:val="clear"/>
              </w:rPr>
              <w:t>Nitecore i4 18650/16340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Количество каналов заряда:  не менее 4 шт;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заряжаемых аккумуляторов: Ni-Cd; NI-Mh; Li-ion; LiFePO4;</w:t>
              <w:br/>
              <w:t>Питание: 220 В/12 В.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Устройство зарядное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МЕГЕОН 77901K11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Напряжение сети 50Гц: диапазон не хуже 110 - 240 В;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Выходной ток на порт:  не менее 2 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Выходное напряжение постоянного тока: до 5В;</w:t>
              <w:br/>
              <w:t>Длина кабеля: не менее 0,7 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Устройство контроля изоляции сети постоянного тока переносное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СЕНСОР-ПМ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Номинальное:  не менее 600 В;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Диапазон измерения тока утечки не хуже 0 ± 18 мА;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Диапазон определения сопротивления изоляции повре</w:t>
              <w:softHyphen/>
              <w:t>жденного фидера относительно «земли» не хуже 0 — 50 кОм;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Погрешность измерения тока утечки на поврежденном фи</w:t>
              <w:softHyphen/>
              <w:t>дере, не более: 20 %;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Определение полюса поврежденного фидера: Да;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Диаметр окна охвата токовых клещей: не менее 30 мм;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Диапазон рабочих температур: не хуже +5 … +35 С;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Индикатор: 3-1/2 цифры;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Время задержки измерения -  не более 2 — 3 с;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Источник питания;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Батарея «Крона»: 9 В.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Фиксатор реле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KEAZ OptiRel G 55-H5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Совместимость с розетками (колодками)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OptiRel G RP55-32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реле RR94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Фильтр-влагоотделитель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Назначение - влагоотделитель;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Max пропускная способность -  не менее 4 л/мин;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Размер соединения - 1/4F.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Фильтр сетевой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Cablexpert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не менее 5 заземленных розеток; USB: 4Type-A; Предохранитель на 10 А; Номинальное напряжение  не менее 250 В; Мощность нагрузки –  не менее 2.5 кВт; Номинальный ток нагрузки –  не менее 10 А; Габаритные размеры – не хуже 135 x 120 x 125 мм; Провод: ПВС 3 х 0,75 мм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vertAlign w:val="superscript"/>
              </w:rPr>
              <w:t>2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Флюс для пайки алюминия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Ф-64 Connector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Флакон  не менее 50 мл, температура пайки: не хуже 180-350 град. С,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pacing w:val="-2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shd w:fill="auto" w:val="clear"/>
              </w:rPr>
              <w:t>Флюс с кисточкой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fill="auto" w:val="clear"/>
              </w:rPr>
              <w:t>Connector LTI-120KIS-20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Тип: Активный; Объем:  не менее 0.02 л.; Температура пайки: не хуже 180-350 °С;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Флюс паяльная кислота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ЗУБР 55491-030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Тип: Активный; Вид вещества: Кислота паяльная; Объем:  не менее 0.03 л.; Температура пайки: не хуже 290-350 °С; Подходит для: Сталь; Агрегатное состояние: Жидкость.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Флюс-гель безотмывочный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Rusflux MR-850-CS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флюса: R0M0, объем:  не менее 10 мл; Тип отмывки: безотмывочные для РЭА классов «А» и « B».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Фонарь налобный светодиодный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Fenix HL16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аккумулятора: Ni-cd; Материал корпуса: пластик; Защита от влаги: Да; Защита от удара: Да; Источник света: светодиод; Цвет: черный; Количество режимов работы:  не менее 6</w:t>
              <w:br/>
              <w:t>Длина: 64 мм; Время работы:  не менее 100 ч; Элементы питания: AAA (R03;LR03;FR03); Количество и напряжение элементов питания: 3х1.5В; Степень защиты: IP66; Световой поток: не менее 450 Лм; Цветовая температура - не менее 5000 К; Цветность белый/красный.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Щетка-сметка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РемоКолор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Тип щетка-сметка; Материал рукояти - пластик; Материал щетины - синтетическое волокно; Жесткость щетины - мягкая; Количество рядов -  не менее 4; Цвет щетки - черный/бежевый; Длина щетки - не более 280 мм.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Шкаф инструментальный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ТС 1995-023000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Вес - не более 70 кг;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Количество полок 3;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Нагрузка на полку -  не менее 80 кг;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Шаг регулирования высоты полок 50 мм;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Наличие экрана: с двумя экранами;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Тип замка: Ключевой;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ahoma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ahoma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Цвет: Агатовый серый (RAL 7038), Синий ультрамарин (RAL 5002).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GP 1604AXNEW-CR1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9B, тип Крона.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GP 14A-2CR2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1.5B, LR14, тип С (уп.  не менее 2 шт.).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GP 24A-2CRVS20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1.5B, LR03, тип ААА (уп.  не менее 20 шт.).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</w:t>
            </w:r>
          </w:p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GP 15A-2CRVS20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1.5B, LR6, тип АА (уп. не менее 20 шт).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Элемент питания Robiton PROFI CR14250 1/2AA PK1 14634 или эквивалент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pacing w:lineRule="auto" w:line="2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3.0В; LI; 900 мАч; Тип 1/2АА.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горючих газов газоанализатора Ventis MX4 (НКПР/CH4)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горючих газов газоанализатора Ventis MX4 (НКПР/CH4)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кислорода (O2) газоанализатора Ventis MX4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кислорода (O2) газоанализатора Ventis MX4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  <w:tr>
        <w:trPr>
          <w:cantSplit w:val="true"/>
        </w:trPr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угарного газа (CO) газоанализатора Ventis MX4</w:t>
            </w:r>
          </w:p>
        </w:tc>
        <w:tc>
          <w:tcPr>
            <w:tcW w:w="6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Датчик угарного газа (CO) газоанализатора Ventis MX4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Calibri" w:cs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pageBreakBefore w:val="false"/>
        <w:numPr>
          <w:ilvl w:val="0"/>
          <w:numId w:val="2"/>
        </w:numPr>
        <w:spacing w:before="0" w:after="60"/>
        <w:ind w:left="426" w:right="0" w:hanging="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>2.2.1. В составе заявки необходимо предоставить:</w:t>
      </w:r>
    </w:p>
    <w:p>
      <w:pPr>
        <w:pStyle w:val="Normal"/>
        <w:numPr>
          <w:ilvl w:val="0"/>
          <w:numId w:val="2"/>
        </w:numPr>
        <w:spacing w:before="0" w:after="60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ab/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</w:r>
    </w:p>
    <w:p>
      <w:pPr>
        <w:sectPr>
          <w:headerReference w:type="even" r:id="rId9"/>
          <w:headerReference w:type="default" r:id="rId10"/>
          <w:headerReference w:type="first" r:id="rId11"/>
          <w:footerReference w:type="even" r:id="rId12"/>
          <w:footerReference w:type="default" r:id="rId13"/>
          <w:footerReference w:type="first" r:id="rId14"/>
          <w:type w:val="nextPage"/>
          <w:pgSz w:orient="landscape" w:w="16838" w:h="11906"/>
          <w:pgMar w:left="1134" w:right="444" w:gutter="0" w:header="284" w:top="569" w:footer="266" w:bottom="536"/>
          <w:pgNumType w:fmt="decimal"/>
          <w:formProt w:val="false"/>
          <w:textDirection w:val="lrTb"/>
          <w:docGrid w:type="default" w:linePitch="240" w:charSpace="16384"/>
        </w:sectPr>
        <w:pStyle w:val="ListParagraph"/>
        <w:widowControl/>
        <w:numPr>
          <w:ilvl w:val="0"/>
          <w:numId w:val="2"/>
        </w:numPr>
        <w:suppressAutoHyphens w:val="true"/>
        <w:overflowPunct w:val="true"/>
        <w:bidi w:val="0"/>
        <w:spacing w:before="0" w:after="60"/>
        <w:ind w:left="0" w:right="0" w:hanging="0"/>
        <w:contextualSpacing w:val="false"/>
        <w:jc w:val="both"/>
        <w:rPr>
          <w:rFonts w:ascii="Times New Roman" w:hAnsi="Times New Roman" w:eastAsia="Calibri" w:cs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 w:ascii="Times New Roman" w:hAnsi="Times New Roman"/>
          <w:b w:val="false"/>
          <w:bCs/>
          <w:iCs/>
          <w:color w:val="auto"/>
          <w:kern w:val="0"/>
          <w:sz w:val="24"/>
          <w:szCs w:val="24"/>
          <w:lang w:val="x-none" w:eastAsia="x-none" w:bidi="ar-SA"/>
        </w:rPr>
        <w:t>Техническое предложение, подготовленное в соответствии с настоящими техническими требованиями по форме, представленной в документации о закупке.</w:t>
      </w:r>
    </w:p>
    <w:p>
      <w:pPr>
        <w:pStyle w:val="Heading1"/>
        <w:numPr>
          <w:ilvl w:val="0"/>
        </w:numPr>
        <w:tabs>
          <w:tab w:val="clear" w:pos="0"/>
        </w:tabs>
        <w:spacing w:before="0" w:after="0"/>
        <w:ind w:left="0" w:right="0" w:hanging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45" w:name="__RefHeading___Toc26501_2696883597"/>
      <w:bookmarkStart w:id="46" w:name="_Toc138696390"/>
      <w:bookmarkStart w:id="47" w:name="_Toc132812768"/>
      <w:bookmarkEnd w:id="45"/>
      <w:r>
        <w:rPr>
          <w:rFonts w:cs="Times New Roman" w:ascii="Times New Roman" w:hAnsi="Times New Roman"/>
          <w:bCs/>
          <w:sz w:val="24"/>
          <w:szCs w:val="24"/>
        </w:rPr>
        <w:t xml:space="preserve">3. Требования к документации по ценообразованию на этапе </w:t>
      </w:r>
      <w:bookmarkEnd w:id="46"/>
      <w:bookmarkEnd w:id="47"/>
      <w:r>
        <w:rPr>
          <w:rFonts w:cs="Times New Roman" w:ascii="Times New Roman" w:hAnsi="Times New Roman"/>
          <w:bCs/>
          <w:sz w:val="24"/>
          <w:szCs w:val="24"/>
        </w:rPr>
        <w:t>закупки</w:t>
      </w:r>
    </w:p>
    <w:p>
      <w:pPr>
        <w:pStyle w:val="BodyText"/>
        <w:numPr>
          <w:ilvl w:val="0"/>
          <w:numId w:val="2"/>
        </w:numPr>
        <w:spacing w:lineRule="auto" w:line="240" w:before="0" w:after="0"/>
        <w:jc w:val="both"/>
        <w:rPr/>
      </w:pPr>
      <w:bookmarkStart w:id="48" w:name="__RefHeading___Toc26503_2696883597"/>
      <w:bookmarkStart w:id="49" w:name="_Toc138696391"/>
      <w:bookmarkStart w:id="50" w:name="_Toc132812898"/>
      <w:bookmarkStart w:id="51" w:name="_Toc132812769"/>
      <w:bookmarkEnd w:id="48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3.1.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</w:t>
      </w:r>
      <w:r>
        <w:rPr>
          <w:rFonts w:cs="Times New Roman" w:ascii="Times New Roman" w:hAnsi="Times New Roman"/>
          <w:b w:val="false"/>
          <w:sz w:val="24"/>
          <w:szCs w:val="24"/>
          <w:lang w:val="ru-RU"/>
        </w:rPr>
        <w:t>.</w:t>
      </w:r>
      <w:bookmarkEnd w:id="49"/>
      <w:bookmarkEnd w:id="50"/>
      <w:bookmarkEnd w:id="51"/>
    </w:p>
    <w:p>
      <w:pPr>
        <w:pStyle w:val="BodyText"/>
        <w:numPr>
          <w:ilvl w:val="0"/>
          <w:numId w:val="2"/>
        </w:numPr>
        <w:spacing w:lineRule="auto" w:line="240" w:before="0" w:after="0"/>
        <w:jc w:val="both"/>
        <w:rPr/>
      </w:pPr>
      <w:bookmarkStart w:id="52" w:name="__RefHeading___Toc26505_2696883597"/>
      <w:bookmarkStart w:id="53" w:name="_Toc138696392"/>
      <w:bookmarkStart w:id="54" w:name="_Toc132812899"/>
      <w:bookmarkStart w:id="55" w:name="_Toc132812770"/>
      <w:bookmarkEnd w:id="52"/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3.2.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/>
          <w:iCs/>
          <w:spacing w:val="-2"/>
          <w:sz w:val="24"/>
          <w:szCs w:val="24"/>
        </w:rPr>
        <w:t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</w:t>
      </w:r>
      <w:bookmarkEnd w:id="53"/>
      <w:bookmarkEnd w:id="54"/>
      <w:bookmarkEnd w:id="55"/>
    </w:p>
    <w:p>
      <w:pPr>
        <w:pStyle w:val="BodyText"/>
        <w:numPr>
          <w:ilvl w:val="0"/>
          <w:numId w:val="2"/>
        </w:numPr>
        <w:spacing w:lineRule="auto" w:line="240" w:before="0" w:after="0"/>
        <w:jc w:val="both"/>
        <w:rPr/>
      </w:pPr>
      <w:bookmarkStart w:id="56" w:name="__RefHeading___Toc26507_2696883597"/>
      <w:bookmarkStart w:id="57" w:name="_Toc138696393"/>
      <w:bookmarkStart w:id="58" w:name="_Toc132812900"/>
      <w:bookmarkStart w:id="59" w:name="_Toc132812771"/>
      <w:bookmarkEnd w:id="56"/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 xml:space="preserve">3.3. 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</w:t>
      </w: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  <w:t>.</w:t>
      </w:r>
      <w:bookmarkEnd w:id="57"/>
      <w:bookmarkEnd w:id="58"/>
      <w:bookmarkEnd w:id="59"/>
    </w:p>
    <w:p>
      <w:pPr>
        <w:pStyle w:val="BodyText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b w:val="false"/>
          <w:bCs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/>
          <w:iCs/>
          <w:sz w:val="24"/>
          <w:szCs w:val="24"/>
          <w:lang w:val="ru-RU"/>
        </w:rPr>
      </w:r>
    </w:p>
    <w:p>
      <w:pPr>
        <w:pStyle w:val="Heading1"/>
        <w:keepLines/>
        <w:numPr>
          <w:ilvl w:val="0"/>
          <w:numId w:val="2"/>
        </w:num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bookmarkStart w:id="60" w:name="__RefHeading___Toc26509_2696883597"/>
      <w:bookmarkEnd w:id="60"/>
      <w:r>
        <w:rPr>
          <w:rFonts w:cs="Times New Roman" w:ascii="Times New Roman" w:hAnsi="Times New Roman"/>
          <w:iCs/>
          <w:sz w:val="24"/>
          <w:szCs w:val="24"/>
        </w:rPr>
        <w:t xml:space="preserve">4. </w:t>
      </w:r>
      <w:bookmarkStart w:id="61" w:name="_Toc138696394"/>
      <w:r>
        <w:rPr>
          <w:rFonts w:cs="Times New Roman" w:ascii="Times New Roman" w:hAnsi="Times New Roman"/>
          <w:iCs/>
          <w:sz w:val="24"/>
          <w:szCs w:val="24"/>
        </w:rPr>
        <w:t>Приложения</w:t>
      </w:r>
      <w:bookmarkEnd w:id="61"/>
      <w:r>
        <w:rPr>
          <w:rFonts w:cs="Times New Roman" w:ascii="Times New Roman" w:hAnsi="Times New Roman"/>
          <w:iCs/>
          <w:sz w:val="24"/>
          <w:szCs w:val="24"/>
        </w:rPr>
        <w:t>:</w:t>
      </w:r>
    </w:p>
    <w:p>
      <w:pPr>
        <w:sectPr>
          <w:headerReference w:type="even" r:id="rId15"/>
          <w:headerReference w:type="default" r:id="rId16"/>
          <w:headerReference w:type="first" r:id="rId17"/>
          <w:footerReference w:type="even" r:id="rId18"/>
          <w:footerReference w:type="default" r:id="rId19"/>
          <w:footerReference w:type="first" r:id="rId20"/>
          <w:type w:val="nextPage"/>
          <w:pgSz w:w="11906" w:h="16838"/>
          <w:pgMar w:left="993" w:right="424" w:gutter="0" w:header="284" w:top="426" w:footer="0" w:bottom="709"/>
          <w:pgNumType w:fmt="decimal"/>
          <w:formProt w:val="false"/>
          <w:textDirection w:val="lrTb"/>
          <w:docGrid w:type="default" w:linePitch="360" w:charSpace="16384"/>
        </w:sectPr>
        <w:pStyle w:val="Normal"/>
        <w:widowControl w:val="false"/>
        <w:numPr>
          <w:ilvl w:val="0"/>
        </w:numPr>
        <w:tabs>
          <w:tab w:val="clear" w:pos="720"/>
          <w:tab w:val="left" w:pos="42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9"/>
          <w:rFonts w:cs="Times New Roman" w:ascii="Times New Roman" w:hAnsi="Times New Roman"/>
          <w:bCs/>
          <w:i w:val="false"/>
          <w:sz w:val="24"/>
          <w:szCs w:val="24"/>
          <w:shd w:fill="FFFFFF" w:val="clear"/>
        </w:rPr>
        <w:t xml:space="preserve">Приложение №1: </w:t>
      </w:r>
      <w:r>
        <w:rPr>
          <w:rFonts w:cs="Times New Roman" w:ascii="Times New Roman" w:hAnsi="Times New Roman"/>
          <w:sz w:val="24"/>
          <w:szCs w:val="24"/>
        </w:rPr>
        <w:t xml:space="preserve">Спецификация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Приложение № 1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right"/>
        <w:rPr>
          <w:rFonts w:ascii="Times New Roman" w:hAnsi="Times New Roman" w:cs="Times New Roman"/>
          <w:b/>
          <w:i w:val="false"/>
          <w:i w:val="false"/>
          <w:iCs/>
          <w:sz w:val="24"/>
          <w:szCs w:val="24"/>
        </w:rPr>
      </w:pPr>
      <w:r>
        <w:rPr>
          <w:rStyle w:val="Style9"/>
          <w:rFonts w:cs="Times New Roman" w:ascii="Times New Roman" w:hAnsi="Times New Roman"/>
          <w:i w:val="false"/>
          <w:iCs/>
          <w:sz w:val="24"/>
          <w:szCs w:val="24"/>
          <w:shd w:fill="FFFFFF" w:val="clear"/>
        </w:rPr>
        <w:t>к Техническим требованиям</w:t>
        <w:br/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Спецификация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488"/>
        <w:gridCol w:w="480"/>
        <w:gridCol w:w="826"/>
        <w:gridCol w:w="826"/>
        <w:gridCol w:w="711"/>
        <w:gridCol w:w="828"/>
        <w:gridCol w:w="1113"/>
        <w:gridCol w:w="873"/>
        <w:gridCol w:w="745"/>
        <w:gridCol w:w="1470"/>
        <w:gridCol w:w="677"/>
        <w:gridCol w:w="970"/>
        <w:gridCol w:w="818"/>
        <w:gridCol w:w="807"/>
        <w:gridCol w:w="941"/>
        <w:gridCol w:w="1993"/>
      </w:tblGrid>
      <w:tr>
        <w:trPr>
          <w:trHeight w:val="526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партии</w:t>
            </w: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поз.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Артикул, тип, марка</w:t>
            </w:r>
          </w:p>
        </w:tc>
        <w:tc>
          <w:tcPr>
            <w:tcW w:w="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Завод изготовитель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Страна происхождения Товара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  <w:szCs w:val="24"/>
                <w:lang w:eastAsia="ru-RU"/>
              </w:rPr>
              <w:t>Страна регистрации производителя Товара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Код ОКПД 2 (с наименованием)</w:t>
            </w:r>
          </w:p>
        </w:tc>
        <w:tc>
          <w:tcPr>
            <w:tcW w:w="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Порядковый номер(а) реестровой(ых) записи(ей)</w:t>
            </w:r>
            <w:r>
              <w:rPr>
                <w:rStyle w:val="FootnoteReference"/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Цена за единицу, руб. без НДС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Цена, руб. без НДС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(___%) руб.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Стоимость, руб., с НДС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pacing w:val="-10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10"/>
                <w:sz w:val="24"/>
                <w:szCs w:val="24"/>
                <w:lang w:eastAsia="ru-RU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322" w:hRule="atLeast"/>
        </w:trPr>
        <w:tc>
          <w:tcPr>
            <w:tcW w:w="488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488" w:type="dxa"/>
            <w:vMerge w:val="continue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1632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№1, руб. с НДС</w:t>
            </w:r>
          </w:p>
        </w:tc>
        <w:tc>
          <w:tcPr>
            <w:tcW w:w="29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3" w:hRule="atLeast"/>
        </w:trPr>
        <w:tc>
          <w:tcPr>
            <w:tcW w:w="488" w:type="dxa"/>
            <w:vMerge w:val="restart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488" w:type="dxa"/>
            <w:vMerge w:val="continue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6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2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4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70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67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0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18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07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1632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партии Товара №2, руб. с НДС</w:t>
            </w:r>
          </w:p>
        </w:tc>
        <w:tc>
          <w:tcPr>
            <w:tcW w:w="29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62" w:hRule="atLeast"/>
        </w:trPr>
        <w:tc>
          <w:tcPr>
            <w:tcW w:w="11632" w:type="dxa"/>
            <w:gridSpan w:val="14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 стоимость всего Товара (с учетом доставки), руб. с НДС:</w:t>
            </w:r>
          </w:p>
        </w:tc>
        <w:tc>
          <w:tcPr>
            <w:tcW w:w="29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21"/>
      <w:headerReference w:type="default" r:id="rId22"/>
      <w:headerReference w:type="first" r:id="rId23"/>
      <w:footerReference w:type="even" r:id="rId24"/>
      <w:footerReference w:type="default" r:id="rId25"/>
      <w:footerReference w:type="first" r:id="rId26"/>
      <w:footnotePr>
        <w:numFmt w:val="decimal"/>
      </w:footnote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  <w:sz w:val="22"/>
        <w:szCs w:val="22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spacing w:before="0" w:after="160"/>
        <w:jc w:val="both"/>
        <w:rPr/>
      </w:pPr>
      <w:r>
        <w:rPr>
          <w:rStyle w:val="Style6"/>
        </w:rPr>
        <w:footnoteRef/>
      </w:r>
      <w:r>
        <w:rPr>
          <w:rStyle w:val="FootnoteCharacters"/>
        </w:rPr>
        <w:tab/>
      </w:r>
      <w:r>
        <w:rPr/>
        <w:t xml:space="preserve"> Порядковый номер (номера) реестровой записи (реестровых записей), под которой (которыми) Товар включен в реестры, предусмотренные пунктом 2 Постановления Правительства РФ от 03.12.2020 № 2013 «О минимальной доле закупок товаров российского происхождения».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18"/>
      </w:rPr>
    </w:pPr>
    <w:r>
      <w:rPr>
        <w:sz w:val="1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>
        <w:sz w:val="18"/>
      </w:rPr>
    </w:pPr>
    <w:r>
      <w:rPr>
        <w:sz w:val="18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>
        <w:sz w:val="18"/>
      </w:rPr>
    </w:pPr>
    <w:r>
      <w:rPr>
        <w:sz w:val="18"/>
      </w:rPr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142"/>
  <w:evenAndOddHeaders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basedOn w:val="Heading3"/>
    <w:qFormat/>
    <w:pPr>
      <w:numPr>
        <w:ilvl w:val="0"/>
        <w:numId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pPr>
      <w:numPr>
        <w:ilvl w:val="0"/>
        <w:numId w:val="0"/>
      </w:numPr>
      <w:tabs>
        <w:tab w:val="clear" w:pos="0"/>
      </w:tabs>
      <w:outlineLvl w:val="1"/>
    </w:pPr>
    <w:rPr/>
  </w:style>
  <w:style w:type="paragraph" w:styleId="Heading3">
    <w:name w:val="Heading 3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0" w:leader="none"/>
      </w:tabs>
      <w:spacing w:before="120" w:after="60"/>
      <w:outlineLvl w:val="2"/>
    </w:pPr>
    <w:rPr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pPr>
      <w:numPr>
        <w:ilvl w:val="0"/>
        <w:numId w:val="0"/>
      </w:numPr>
      <w:outlineLvl w:val="3"/>
    </w:pPr>
    <w:rPr>
      <w:bCs/>
    </w:rPr>
  </w:style>
  <w:style w:type="character" w:styleId="DefaultParagraphFont">
    <w:name w:val="Default Paragraph Font"/>
    <w:qFormat/>
    <w:rPr/>
  </w:style>
  <w:style w:type="character" w:styleId="Style5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rFonts w:cs="Times New Roman"/>
      <w:vertAlign w:val="superscript"/>
    </w:rPr>
  </w:style>
  <w:style w:type="character" w:styleId="Style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8">
    <w:name w:val="Символы концевой сноски"/>
    <w:qFormat/>
    <w:rPr/>
  </w:style>
  <w:style w:type="character" w:styleId="Style9">
    <w:name w:val="комментарий"/>
    <w:qFormat/>
    <w:rPr>
      <w:i/>
      <w:shd w:fill="FFFF99" w:val="clear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Style10">
    <w:name w:val="Ссылка указателя"/>
    <w:qFormat/>
    <w:rPr/>
  </w:style>
  <w:style w:type="character" w:styleId="Tooltip">
    <w:name w:val="tooltip"/>
    <w:basedOn w:val="DefaultParagraphFont"/>
    <w:qFormat/>
    <w:rPr/>
  </w:style>
  <w:style w:type="character" w:styleId="Strong1">
    <w:name w:val="Strong1"/>
    <w:basedOn w:val="DefaultParagraphFont"/>
    <w:qFormat/>
    <w:rPr>
      <w:b/>
      <w:bCs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Строгий1"/>
    <w:qFormat/>
    <w:rPr>
      <w:b/>
      <w:bCs/>
    </w:rPr>
  </w:style>
  <w:style w:type="character" w:styleId="Style11">
    <w:name w:val="Маркеры списка"/>
    <w:qFormat/>
    <w:rPr>
      <w:rFonts w:ascii="OpenSymbol" w:hAnsi="OpenSymbol" w:eastAsia="OpenSymbol" w:cs="OpenSymbol"/>
    </w:rPr>
  </w:style>
  <w:style w:type="character" w:styleId="Style12">
    <w:name w:val="Нижний колонтитул Знак"/>
    <w:basedOn w:val="DefaultParagraphFont"/>
    <w:qFormat/>
    <w:rPr>
      <w:rFonts w:ascii="Calibri" w:hAnsi="Calibri" w:eastAsia="Calibri"/>
      <w:color w:val="00000A"/>
      <w:sz w:val="22"/>
    </w:rPr>
  </w:style>
  <w:style w:type="character" w:styleId="Style13">
    <w:name w:val="Символ нумерации"/>
    <w:qFormat/>
    <w:rPr/>
  </w:style>
  <w:style w:type="character" w:styleId="WWCharLFO3LVL1">
    <w:name w:val="WW_CharLFO3LVL1"/>
    <w:qFormat/>
    <w:rPr>
      <w:rFonts w:ascii="Symbol" w:hAnsi="Symbol"/>
      <w:sz w:val="20"/>
    </w:rPr>
  </w:style>
  <w:style w:type="character" w:styleId="WWCharLFO3LVL2">
    <w:name w:val="WW_CharLFO3LVL2"/>
    <w:qFormat/>
    <w:rPr>
      <w:rFonts w:ascii="Courier New" w:hAnsi="Courier New"/>
      <w:sz w:val="20"/>
    </w:rPr>
  </w:style>
  <w:style w:type="character" w:styleId="WWCharLFO3LVL3">
    <w:name w:val="WW_CharLFO3LVL3"/>
    <w:qFormat/>
    <w:rPr>
      <w:rFonts w:ascii="Wingdings" w:hAnsi="Wingdings"/>
      <w:sz w:val="20"/>
    </w:rPr>
  </w:style>
  <w:style w:type="character" w:styleId="WWCharLFO3LVL4">
    <w:name w:val="WW_CharLFO3LVL4"/>
    <w:qFormat/>
    <w:rPr>
      <w:rFonts w:ascii="Wingdings" w:hAnsi="Wingdings"/>
      <w:sz w:val="20"/>
    </w:rPr>
  </w:style>
  <w:style w:type="character" w:styleId="WWCharLFO3LVL5">
    <w:name w:val="WW_CharLFO3LVL5"/>
    <w:qFormat/>
    <w:rPr>
      <w:rFonts w:ascii="Wingdings" w:hAnsi="Wingdings"/>
      <w:sz w:val="20"/>
    </w:rPr>
  </w:style>
  <w:style w:type="character" w:styleId="WWCharLFO3LVL6">
    <w:name w:val="WW_CharLFO3LVL6"/>
    <w:qFormat/>
    <w:rPr>
      <w:rFonts w:ascii="Wingdings" w:hAnsi="Wingdings"/>
      <w:sz w:val="20"/>
    </w:rPr>
  </w:style>
  <w:style w:type="character" w:styleId="WWCharLFO3LVL7">
    <w:name w:val="WW_CharLFO3LVL7"/>
    <w:qFormat/>
    <w:rPr>
      <w:rFonts w:ascii="Wingdings" w:hAnsi="Wingdings"/>
      <w:sz w:val="20"/>
    </w:rPr>
  </w:style>
  <w:style w:type="character" w:styleId="WWCharLFO3LVL8">
    <w:name w:val="WW_CharLFO3LVL8"/>
    <w:qFormat/>
    <w:rPr>
      <w:rFonts w:ascii="Wingdings" w:hAnsi="Wingdings"/>
      <w:sz w:val="20"/>
    </w:rPr>
  </w:style>
  <w:style w:type="character" w:styleId="WWCharLFO3LVL9">
    <w:name w:val="WW_CharLFO3LVL9"/>
    <w:qFormat/>
    <w:rPr>
      <w:rFonts w:ascii="Wingdings" w:hAnsi="Wingdings"/>
      <w:sz w:val="20"/>
    </w:rPr>
  </w:style>
  <w:style w:type="character" w:styleId="WWCharLFO4LVL1">
    <w:name w:val="WW_CharLFO4LVL1"/>
    <w:qFormat/>
    <w:rPr>
      <w:rFonts w:ascii="Symbol" w:hAnsi="Symbol"/>
      <w:sz w:val="20"/>
    </w:rPr>
  </w:style>
  <w:style w:type="character" w:styleId="WWCharLFO4LVL2">
    <w:name w:val="WW_CharLFO4LVL2"/>
    <w:qFormat/>
    <w:rPr>
      <w:rFonts w:ascii="Courier New" w:hAnsi="Courier New"/>
      <w:sz w:val="20"/>
    </w:rPr>
  </w:style>
  <w:style w:type="character" w:styleId="WWCharLFO4LVL3">
    <w:name w:val="WW_CharLFO4LVL3"/>
    <w:qFormat/>
    <w:rPr>
      <w:rFonts w:ascii="Wingdings" w:hAnsi="Wingdings"/>
      <w:sz w:val="20"/>
    </w:rPr>
  </w:style>
  <w:style w:type="character" w:styleId="WWCharLFO4LVL4">
    <w:name w:val="WW_CharLFO4LVL4"/>
    <w:qFormat/>
    <w:rPr>
      <w:rFonts w:ascii="Wingdings" w:hAnsi="Wingdings"/>
      <w:sz w:val="20"/>
    </w:rPr>
  </w:style>
  <w:style w:type="character" w:styleId="WWCharLFO4LVL5">
    <w:name w:val="WW_CharLFO4LVL5"/>
    <w:qFormat/>
    <w:rPr>
      <w:rFonts w:ascii="Wingdings" w:hAnsi="Wingdings"/>
      <w:sz w:val="20"/>
    </w:rPr>
  </w:style>
  <w:style w:type="character" w:styleId="WWCharLFO4LVL6">
    <w:name w:val="WW_CharLFO4LVL6"/>
    <w:qFormat/>
    <w:rPr>
      <w:rFonts w:ascii="Wingdings" w:hAnsi="Wingdings"/>
      <w:sz w:val="20"/>
    </w:rPr>
  </w:style>
  <w:style w:type="character" w:styleId="WWCharLFO4LVL7">
    <w:name w:val="WW_CharLFO4LVL7"/>
    <w:qFormat/>
    <w:rPr>
      <w:rFonts w:ascii="Wingdings" w:hAnsi="Wingdings"/>
      <w:sz w:val="20"/>
    </w:rPr>
  </w:style>
  <w:style w:type="character" w:styleId="WWCharLFO4LVL8">
    <w:name w:val="WW_CharLFO4LVL8"/>
    <w:qFormat/>
    <w:rPr>
      <w:rFonts w:ascii="Wingdings" w:hAnsi="Wingdings"/>
      <w:sz w:val="20"/>
    </w:rPr>
  </w:style>
  <w:style w:type="character" w:styleId="WWCharLFO4LVL9">
    <w:name w:val="WW_CharLFO4LVL9"/>
    <w:qFormat/>
    <w:rPr>
      <w:rFonts w:ascii="Wingdings" w:hAnsi="Wingdings"/>
      <w:sz w:val="20"/>
    </w:rPr>
  </w:style>
  <w:style w:type="character" w:styleId="Typography">
    <w:name w:val="typography"/>
    <w:basedOn w:val="DefaultParagraphFont"/>
    <w:qFormat/>
    <w:rPr/>
  </w:style>
  <w:style w:type="character" w:styleId="Label">
    <w:name w:val="label"/>
    <w:basedOn w:val="DefaultParagraphFont"/>
    <w:qFormat/>
    <w:rPr/>
  </w:style>
  <w:style w:type="character" w:styleId="Value">
    <w:name w:val="value"/>
    <w:basedOn w:val="DefaultParagraphFont"/>
    <w:qFormat/>
    <w:rPr/>
  </w:style>
  <w:style w:type="character" w:styleId="Catalog-element-article-name">
    <w:name w:val="catalog-element-article-name"/>
    <w:basedOn w:val="DefaultParagraphFont"/>
    <w:qFormat/>
    <w:rPr/>
  </w:style>
  <w:style w:type="character" w:styleId="Catalog-element-article-value">
    <w:name w:val="catalog-element-article-value"/>
    <w:basedOn w:val="DefaultParagraphFont"/>
    <w:qFormat/>
    <w:rPr/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inenumber1">
    <w:name w:val="line number1"/>
    <w:qFormat/>
    <w:rPr/>
  </w:style>
  <w:style w:type="character" w:styleId="Style15">
    <w:name w:val="Текст примечания Знак"/>
    <w:basedOn w:val="DefaultParagraphFont"/>
    <w:link w:val="Annotationtext"/>
    <w:qFormat/>
    <w:rPr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LineNumber">
    <w:name w:val="Line Number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4">
    <w:name w:val="TOC 4"/>
    <w:basedOn w:val="Normal"/>
    <w:pPr>
      <w:ind w:left="560" w:right="0" w:hanging="0"/>
    </w:pPr>
    <w:rPr>
      <w:rFonts w:cs="Calibri"/>
      <w:szCs w:val="20"/>
    </w:rPr>
  </w:style>
  <w:style w:type="paragraph" w:styleId="TOC3">
    <w:name w:val="TOC 3"/>
    <w:basedOn w:val="Normal"/>
    <w:pPr>
      <w:ind w:left="280" w:right="0" w:hanging="0"/>
    </w:pPr>
    <w:rPr>
      <w:rFonts w:cs="Calibri"/>
      <w:szCs w:val="20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paragraph" w:styleId="Style2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Cs w:val="26"/>
    </w:rPr>
  </w:style>
  <w:style w:type="paragraph" w:styleId="Style22">
    <w:name w:val="Таблица"/>
    <w:basedOn w:val="Normal"/>
    <w:qFormat/>
    <w:pPr>
      <w:keepNext w:val="true"/>
      <w:spacing w:before="60" w:after="60"/>
      <w:jc w:val="center"/>
    </w:pPr>
    <w:rPr>
      <w:b/>
      <w:sz w:val="24"/>
      <w:szCs w:val="24"/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eastAsia="ru-RU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TOC2">
    <w:name w:val="TOC 2"/>
    <w:basedOn w:val="Indexheading"/>
    <w:pPr/>
    <w:rPr/>
  </w:style>
  <w:style w:type="paragraph" w:styleId="Footer">
    <w:name w:val="Footer"/>
    <w:basedOn w:val="Normal"/>
    <w:link w:val="Style1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5"/>
    <w:qFormat/>
    <w:pPr/>
    <w:rPr>
      <w:szCs w:val="20"/>
    </w:rPr>
  </w:style>
  <w:style w:type="paragraph" w:styleId="Style24">
    <w:name w:val="Содержимое врезки"/>
    <w:basedOn w:val="Normal"/>
    <w:qFormat/>
    <w:pPr/>
    <w:rPr/>
  </w:style>
  <w:style w:type="numbering" w:styleId="123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footer" Target="footer6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header" Target="header12.xml"/><Relationship Id="rId22" Type="http://schemas.openxmlformats.org/officeDocument/2006/relationships/header" Target="header13.xml"/><Relationship Id="rId23" Type="http://schemas.openxmlformats.org/officeDocument/2006/relationships/header" Target="header14.xml"/><Relationship Id="rId24" Type="http://schemas.openxmlformats.org/officeDocument/2006/relationships/footer" Target="footer9.xml"/><Relationship Id="rId25" Type="http://schemas.openxmlformats.org/officeDocument/2006/relationships/footer" Target="footer10.xml"/><Relationship Id="rId26" Type="http://schemas.openxmlformats.org/officeDocument/2006/relationships/footer" Target="footer11.xml"/><Relationship Id="rId27" Type="http://schemas.openxmlformats.org/officeDocument/2006/relationships/footnotes" Target="footnotes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6475</TotalTime>
  <Application>AlterOffice/3.4.0.9$Linux_X86_64 LibreOffice_project/b8daf9e823b1a5463a2f48435ddc2e8696e7d4fc</Application>
  <AppVersion>15.0000</AppVersion>
  <Pages>22</Pages>
  <Words>4896</Words>
  <Characters>28890</Characters>
  <CharactersWithSpaces>32598</CharactersWithSpaces>
  <Paragraphs>1299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2023-04-24T07:20:00Z</dcterms:created>
  <dc:creator>Каткова Анжела Александровна</dc:creator>
  <dc:description/>
  <dc:language>ru-RU</dc:language>
  <cp:lastModifiedBy>kovalevaev@corp.gidroogk.com</cp:lastModifiedBy>
  <cp:lastPrinted>2026-07-07T14:20:19Z</cp:lastPrinted>
  <dcterms:modified xsi:type="dcterms:W3CDTF">2026-07-17T09:11:59Z</dcterms:modified>
  <cp:revision>354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0x01010084AE05A3776FA143842DA7E10496F8CA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_MarkAsFinal">
    <vt:bool>1</vt:bool>
  </property>
</Properties>
</file>