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                           </w:t>
      </w:r>
      <w:r>
        <w:rPr>
          <w:b/>
          <w:bCs/>
          <w:szCs w:val="24"/>
        </w:rPr>
        <w:t>«</w:t>
      </w:r>
      <w:r>
        <w:rPr>
          <w:b/>
          <w:szCs w:val="24"/>
        </w:rPr>
        <w:t>УТВЕРЖДАЮ»</w:t>
      </w:r>
    </w:p>
    <w:p>
      <w:pPr>
        <w:pStyle w:val="Normal"/>
        <w:keepNext w:val="true"/>
        <w:keepLines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</w:rPr>
        <w:t xml:space="preserve">и.о. первого заместителя директора – </w:t>
      </w:r>
    </w:p>
    <w:p>
      <w:pPr>
        <w:pStyle w:val="Normal"/>
        <w:keepNext w:val="true"/>
        <w:keepLines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</w:t>
      </w:r>
      <w:r>
        <w:rPr>
          <w:szCs w:val="24"/>
        </w:rPr>
        <w:t>Главного инженера филиала</w:t>
      </w:r>
    </w:p>
    <w:p>
      <w:pPr>
        <w:pStyle w:val="Normal"/>
        <w:keepNext w:val="true"/>
        <w:keepLines/>
        <w:rPr>
          <w:szCs w:val="24"/>
        </w:rPr>
      </w:pPr>
      <w:r>
        <w:rPr>
          <w:szCs w:val="24"/>
        </w:rPr>
        <w:t xml:space="preserve">                                                                                      </w:t>
      </w:r>
      <w:r>
        <w:rPr>
          <w:szCs w:val="24"/>
        </w:rPr>
        <w:t>ПАО «РусГидро» - «Бурейская ГЭС»</w:t>
      </w:r>
    </w:p>
    <w:p>
      <w:pPr>
        <w:pStyle w:val="Normal"/>
        <w:keepNext w:val="true"/>
        <w:keepLines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</w:t>
      </w:r>
      <w:r>
        <w:rPr>
          <w:szCs w:val="24"/>
        </w:rPr>
        <w:t>_____________ А.В.Полынский</w:t>
      </w:r>
    </w:p>
    <w:p>
      <w:pPr>
        <w:pStyle w:val="Normal"/>
        <w:keepNext w:val="true"/>
        <w:keepLines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</w:t>
      </w:r>
      <w:r>
        <w:rPr>
          <w:szCs w:val="24"/>
        </w:rPr>
        <w:t>«_____» ____________ 2026 г.</w:t>
      </w:r>
    </w:p>
    <w:p>
      <w:pPr>
        <w:pStyle w:val="Normal"/>
        <w:keepNext w:val="true"/>
        <w:keepLines/>
        <w:tabs>
          <w:tab w:val="clear" w:pos="708"/>
          <w:tab w:val="left" w:pos="5801" w:leader="none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 w:val="false"/>
          <w:bCs w:val="false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ОКПД2 </w:t>
      </w:r>
      <w:r>
        <w:rPr>
          <w:rStyle w:val="Strong"/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kern w:val="0"/>
          <w:sz w:val="24"/>
          <w:szCs w:val="24"/>
          <w:lang w:val="ru-RU" w:eastAsia="ru-RU" w:bidi="ar-SA"/>
        </w:rPr>
        <w:t>81.22.11.000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. </w:t>
      </w:r>
      <w:r>
        <w:rPr>
          <w:rFonts w:eastAsia="Calibri"/>
          <w:b w:val="false"/>
          <w:bCs w:val="false"/>
          <w:sz w:val="24"/>
          <w:szCs w:val="24"/>
        </w:rPr>
        <w:t xml:space="preserve">«Очистка светопрозрачной  конструкции наклонного витража 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атриум-холла в здании ПТК Бурейской ГЭС </w:t>
      </w:r>
      <w:r>
        <w:rPr>
          <w:rFonts w:eastAsia="Calibri"/>
          <w:b w:val="false"/>
          <w:bCs w:val="false"/>
          <w:sz w:val="24"/>
          <w:szCs w:val="24"/>
        </w:rPr>
        <w:t xml:space="preserve">от </w:t>
      </w:r>
      <w:r>
        <w:rPr>
          <w:rFonts w:eastAsia="Sylfaen"/>
          <w:b w:val="false"/>
          <w:bCs w:val="false"/>
          <w:i w:val="false"/>
          <w:iCs w:val="false"/>
          <w:sz w:val="24"/>
          <w:szCs w:val="24"/>
        </w:rPr>
        <w:t>мелкодисперсной взвеси, образовавшейся в результате работы водосброса»</w:t>
      </w:r>
    </w:p>
    <w:p>
      <w:pPr>
        <w:pStyle w:val="Normal"/>
        <w:keepNext w:val="true"/>
        <w:keepLines/>
        <w:jc w:val="center"/>
        <w:rPr>
          <w:rFonts w:eastAsia="Calibri"/>
          <w:b w:val="false"/>
          <w:bCs w:val="false"/>
          <w:i/>
          <w:i/>
          <w:sz w:val="26"/>
          <w:szCs w:val="26"/>
        </w:rPr>
      </w:pPr>
      <w:r>
        <w:rPr>
          <w:rFonts w:eastAsia="Calibri"/>
          <w:b w:val="false"/>
          <w:bCs w:val="false"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14"/>
            </w:rPr>
            <w:instrText xml:space="preserve"> TOC \o "1-4" \h</w:instrText>
          </w:r>
          <w:r>
            <w:rPr>
              <w:rStyle w:val="Style14"/>
            </w:rPr>
            <w:fldChar w:fldCharType="separate"/>
          </w:r>
          <w:hyperlink w:anchor="__RefHeading___Toc1508_2932253436">
            <w:r>
              <w:rPr>
                <w:rStyle w:val="Style14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510_2932253436">
            <w:r>
              <w:rPr>
                <w:rStyle w:val="Style14"/>
              </w:rPr>
              <w:t>1.1. Наименование оказываемых услуг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512_2932253436">
            <w:r>
              <w:rPr>
                <w:rStyle w:val="Style14"/>
              </w:rPr>
              <w:t>1.2. Цель использования оказываемых услуг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514_2932253436">
            <w:r>
              <w:rPr>
                <w:rStyle w:val="Style14"/>
              </w:rPr>
              <w:t>1.3. Существующее положение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516_2932253436">
            <w:r>
              <w:rPr>
                <w:rStyle w:val="Style14"/>
              </w:rPr>
              <w:t>Таблица 1. Перечень объектов заказчика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2118_997150690">
            <w:r>
              <w:rPr>
                <w:rStyle w:val="Style14"/>
              </w:rPr>
              <w:t xml:space="preserve">1.4. </w:t>
            </w:r>
            <w:r>
              <w:rPr>
                <w:rStyle w:val="Style14"/>
                <w:i w:val="false"/>
                <w:iCs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518_2932253436">
            <w:r>
              <w:rPr>
                <w:rStyle w:val="Style14"/>
              </w:rPr>
              <w:t>2. Требования к оказанию услуг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520_2932253436">
            <w:r>
              <w:rPr>
                <w:rStyle w:val="Style14"/>
              </w:rPr>
              <w:t>2.1. Требования к объемам и срокам оказания услуг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522_2932253436">
            <w:r>
              <w:rPr>
                <w:rStyle w:val="Style14"/>
              </w:rPr>
              <w:t>2.1.1. Требования к видам и объемам услуг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524_2932253436">
            <w:r>
              <w:rPr>
                <w:rStyle w:val="Style14"/>
              </w:rPr>
              <w:t>Таблица 2.1 Перечень и объем оказываемых услуг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526_2932253436">
            <w:r>
              <w:rPr>
                <w:rStyle w:val="Style14"/>
              </w:rPr>
              <w:t>2.1.1. Требования к срокам оказанию услуг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528_2932253436">
            <w:r>
              <w:rPr>
                <w:rStyle w:val="Style14"/>
              </w:rPr>
              <w:t>Таблица 3.1 Требования по срокам оказания услуг</w:t>
              <w:tab/>
              <w:t>5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530_2932253436">
            <w:r>
              <w:rPr>
                <w:rStyle w:val="Style14"/>
              </w:rPr>
              <w:t>1.1. Требования к качеству услуг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532_2932253436">
            <w:r>
              <w:rPr>
                <w:rStyle w:val="Style14"/>
              </w:rPr>
              <w:t xml:space="preserve">Таблица 4. Требования к качеству услуг </w:t>
              <w:tab/>
              <w:t>5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Heading2"/>
        <w:numPr>
          <w:ilvl w:val="0"/>
        </w:numPr>
        <w:tabs>
          <w:tab w:val="clear" w:pos="0"/>
        </w:tabs>
        <w:ind w:left="0" w:righ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Cs w:val="24"/>
        </w:rPr>
      </w:pPr>
      <w:r>
        <w:rPr>
          <w:rFonts w:eastAsia="Calibri"/>
          <w:b/>
          <w:i/>
          <w:szCs w:val="24"/>
        </w:rPr>
      </w:r>
      <w:bookmarkStart w:id="0" w:name="_GoBack"/>
      <w:bookmarkStart w:id="1" w:name="_GoBack"/>
      <w:bookmarkEnd w:id="1"/>
      <w:r>
        <w:br w:type="page"/>
      </w:r>
    </w:p>
    <w:p>
      <w:pPr>
        <w:pStyle w:val="Heading1"/>
        <w:numPr>
          <w:ilvl w:val="0"/>
          <w:numId w:val="3"/>
        </w:numPr>
        <w:ind w:left="0" w:right="0" w:hanging="0"/>
        <w:jc w:val="center"/>
        <w:rPr>
          <w:caps/>
        </w:rPr>
      </w:pPr>
      <w:bookmarkStart w:id="2" w:name="__RefHeading___Toc1508_2932253436"/>
      <w:bookmarkStart w:id="3" w:name="_Toc176359789"/>
      <w:bookmarkStart w:id="4" w:name="_Toc51339692"/>
      <w:bookmarkEnd w:id="2"/>
      <w:r>
        <w:rPr/>
        <w:t>Общие сведения</w:t>
      </w:r>
      <w:bookmarkEnd w:id="3"/>
      <w:bookmarkEnd w:id="4"/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5" w:name="__RefHeading___Toc1510_2932253436"/>
      <w:bookmarkStart w:id="6" w:name="_Toc176359790"/>
      <w:bookmarkStart w:id="7" w:name="_Toc46743506"/>
      <w:bookmarkEnd w:id="5"/>
      <w:r>
        <w:rPr/>
        <w:t xml:space="preserve">Наименование </w:t>
      </w:r>
      <w:bookmarkEnd w:id="7"/>
      <w:r>
        <w:rPr/>
        <w:t>оказываемых услуг</w:t>
      </w:r>
      <w:bookmarkEnd w:id="6"/>
    </w:p>
    <w:p>
      <w:pPr>
        <w:pStyle w:val="Normal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rFonts w:eastAsia="Calibri" w:cs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ru-RU" w:eastAsia="ru-RU" w:bidi="ar-SA"/>
        </w:rPr>
        <w:t xml:space="preserve">       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ru-RU" w:eastAsia="ru-RU" w:bidi="ar-SA"/>
        </w:rPr>
        <w:t xml:space="preserve">«Очистка светопрозрачной  конструкции наклонного витража атриум-холла в здании ПТК Бурейской ГЭС от </w:t>
      </w:r>
      <w:r>
        <w:rPr>
          <w:rFonts w:eastAsia="Sylfaen" w:cs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ru-RU" w:eastAsia="ru-RU" w:bidi="ar-SA"/>
        </w:rPr>
        <w:t>мелкодисперсной взвеси, образовавшейся в результате работы водосброса»</w:t>
      </w:r>
      <w:bookmarkStart w:id="8" w:name="_Toc46743507"/>
    </w:p>
    <w:p>
      <w:pPr>
        <w:pStyle w:val="Heading4"/>
        <w:numPr>
          <w:ilvl w:val="1"/>
          <w:numId w:val="3"/>
        </w:numPr>
        <w:spacing w:before="240" w:after="60"/>
        <w:ind w:left="431" w:right="0" w:hanging="431"/>
        <w:rPr/>
      </w:pPr>
      <w:bookmarkStart w:id="9" w:name="__RefHeading___Toc1512_2932253436"/>
      <w:bookmarkStart w:id="10" w:name="_Toc176359791"/>
      <w:bookmarkEnd w:id="9"/>
      <w:r>
        <w:rPr/>
        <w:t xml:space="preserve">Цель использования </w:t>
      </w:r>
      <w:bookmarkEnd w:id="8"/>
      <w:r>
        <w:rPr/>
        <w:t>оказываемых услуг</w:t>
      </w:r>
      <w:bookmarkEnd w:id="10"/>
      <w:r>
        <w:rPr>
          <w:lang w:val="ru-RU"/>
        </w:rPr>
        <w:t xml:space="preserve"> </w:t>
      </w:r>
    </w:p>
    <w:p>
      <w:pPr>
        <w:pStyle w:val="Normal"/>
        <w:jc w:val="both"/>
        <w:rPr/>
      </w:pPr>
      <w:r>
        <w:rPr>
          <w:rFonts w:eastAsia="Calibri"/>
          <w:i w:val="false"/>
          <w:iCs w:val="false"/>
          <w:szCs w:val="24"/>
          <w:lang w:eastAsia="x-none"/>
        </w:rPr>
        <w:t xml:space="preserve">             </w:t>
      </w:r>
      <w:r>
        <w:rPr>
          <w:rFonts w:eastAsia="Calibri"/>
          <w:i w:val="false"/>
          <w:iCs w:val="false"/>
          <w:szCs w:val="24"/>
          <w:lang w:eastAsia="x-none"/>
        </w:rPr>
        <w:t>Целью оказания услуг по улучшению световой среды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ru-RU" w:eastAsia="ru-RU" w:bidi="ar-SA"/>
        </w:rPr>
        <w:t xml:space="preserve"> помещения атриум-холла здания ПТК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ru-RU" w:eastAsia="x-none" w:bidi="ar-SA"/>
        </w:rPr>
        <w:t xml:space="preserve">является устранения нарушения и обеспечения восстановление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ru-RU" w:eastAsia="ru-RU" w:bidi="ar-SA"/>
        </w:rPr>
        <w:t xml:space="preserve">инсоляции дневного света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ru-RU" w:eastAsia="x-none" w:bidi="ar-SA"/>
        </w:rPr>
        <w:t>их расчетной/пропускной способности/характеристик.</w:t>
      </w:r>
    </w:p>
    <w:p>
      <w:pPr>
        <w:pStyle w:val="Normal"/>
        <w:jc w:val="both"/>
        <w:rPr>
          <w:rFonts w:eastAsia="Calibri"/>
          <w:i/>
          <w:i/>
          <w:szCs w:val="24"/>
          <w:lang w:eastAsia="x-none"/>
        </w:rPr>
      </w:pPr>
      <w:r>
        <w:rPr>
          <w:rFonts w:eastAsia="Calibri"/>
          <w:i/>
          <w:szCs w:val="24"/>
          <w:lang w:eastAsia="x-none"/>
        </w:rPr>
      </w:r>
    </w:p>
    <w:p>
      <w:pPr>
        <w:pStyle w:val="Heading4"/>
        <w:numPr>
          <w:ilvl w:val="1"/>
          <w:numId w:val="3"/>
        </w:numPr>
        <w:ind w:left="432" w:right="0" w:hanging="432"/>
        <w:rPr>
          <w:lang w:val="ru-RU"/>
        </w:rPr>
      </w:pPr>
      <w:bookmarkStart w:id="11" w:name="__RefHeading___Toc1514_2932253436"/>
      <w:bookmarkStart w:id="12" w:name="_Toc46743508"/>
      <w:bookmarkStart w:id="13" w:name="_Toc176359792"/>
      <w:bookmarkEnd w:id="11"/>
      <w:r>
        <w:rPr/>
        <w:t>Существующее положение</w:t>
      </w:r>
      <w:bookmarkEnd w:id="12"/>
      <w:bookmarkEnd w:id="13"/>
      <w:r>
        <w:rPr>
          <w:lang w:val="ru-RU"/>
        </w:rPr>
        <w:t xml:space="preserve"> 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454"/>
        <w:jc w:val="both"/>
        <w:rPr>
          <w:lang w:val="ru-RU"/>
        </w:rPr>
      </w:pPr>
      <w:r>
        <w:rPr/>
        <w:t xml:space="preserve">            </w:t>
      </w:r>
      <w:r>
        <w:rPr/>
        <w:t>Светопрозрачные конструкции являются важной частью наружных ограждающих конструкций. От их размеров, формы, заполнения проемов существенно зависит количество естественного света, поступающего в помещение.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454"/>
        <w:jc w:val="both"/>
        <w:rPr>
          <w:lang w:val="ru-RU"/>
        </w:rPr>
      </w:pPr>
      <w:r>
        <w:rPr/>
        <w:t xml:space="preserve">           </w:t>
      </w:r>
      <w:r>
        <w:rPr/>
        <w:t xml:space="preserve">Существующие дефекты остекления (помутнение поверхности) светопрозрачной конструкции наклонного витража ВВ-1 входной группы помещения атриум-холла здания ПТК </w:t>
      </w:r>
      <w:r>
        <w:rPr>
          <w:rFonts w:eastAsia="Sylfaen"/>
          <w:i w:val="false"/>
          <w:iCs w:val="false"/>
          <w:szCs w:val="24"/>
        </w:rPr>
        <w:t xml:space="preserve">являются следствием негативного влияния мелкодисперсного аэрозоля, образовавшегося в результате работы водосброса Бурейской ГЭС». В связи с чем, возникла потребность в оказании услуг по </w:t>
      </w:r>
      <w:r>
        <w:rPr>
          <w:rStyle w:val="Style8"/>
          <w:rFonts w:eastAsia="Sylfaen"/>
          <w:b w:val="false"/>
          <w:bCs/>
          <w:i w:val="false"/>
          <w:iCs w:val="false"/>
          <w:szCs w:val="24"/>
          <w:shd w:fill="auto" w:val="clear"/>
        </w:rPr>
        <w:t>в</w:t>
      </w:r>
      <w:r>
        <w:rPr>
          <w:rStyle w:val="Style8"/>
          <w:rFonts w:eastAsia="Calibri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осстановлению инсоляции дневного света через светопрозрачную конструкцию наклонного витража в помещении атриум-холла здания ПТК в условиях </w:t>
      </w:r>
      <w:r>
        <w:rPr>
          <w:rStyle w:val="Style8"/>
          <w:rFonts w:eastAsia="Calibri"/>
          <w:b w:val="false"/>
          <w:bCs/>
          <w:i w:val="false"/>
          <w:iCs w:val="false"/>
          <w:sz w:val="24"/>
          <w:szCs w:val="24"/>
          <w:shd w:fill="auto" w:val="clear"/>
          <w:lang w:eastAsia="x-none"/>
        </w:rPr>
        <w:t xml:space="preserve"> действующего предприятия без остановки рабочего процесса.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Heading1"/>
        <w:numPr>
          <w:ilvl w:val="0"/>
          <w:numId w:val="0"/>
        </w:numPr>
        <w:ind w:left="0" w:right="0" w:hanging="0"/>
        <w:rPr>
          <w:sz w:val="24"/>
          <w:szCs w:val="24"/>
        </w:rPr>
      </w:pPr>
      <w:bookmarkStart w:id="14" w:name="_Toc176359793"/>
      <w:r>
        <w:rPr>
          <w:sz w:val="24"/>
          <w:szCs w:val="24"/>
        </w:rPr>
        <w:t>Таблица 1. Перечень объектов заказчика</w:t>
      </w:r>
      <w:bookmarkEnd w:id="1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45"/>
        <w:gridCol w:w="2410"/>
        <w:gridCol w:w="3845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Расположение объекта </w:t>
              <w:br/>
            </w:r>
            <w:r>
              <w:rPr>
                <w:i w:val="false"/>
                <w:iCs w:val="false"/>
                <w:szCs w:val="24"/>
              </w:rPr>
              <w:t>(место поставки МТР, производства работ)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основного средства </w:t>
              <w:br/>
              <w:t>(в отношении которого выполняются работы)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360" w:right="0" w:hanging="360"/>
              <w:rPr/>
            </w:pPr>
            <w:r>
              <w:rPr/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Cs w:val="24"/>
              </w:rPr>
              <w:t>Бурейская ГЭС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color w:val="000000"/>
                <w:szCs w:val="24"/>
              </w:rPr>
              <w:t>Амурская область, Бурейский район, пгт. Талакан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color w:val="000000"/>
                <w:szCs w:val="24"/>
              </w:rPr>
              <w:t>Здание ПТК. Инв.№ 11218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 w:val="false"/>
          <w:bCs/>
          <w:szCs w:val="24"/>
        </w:rPr>
      </w:pPr>
      <w:r>
        <w:rPr>
          <w:b w:val="false"/>
          <w:bCs/>
          <w:szCs w:val="24"/>
        </w:rPr>
      </w:r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15" w:name="__RefHeading___Toc2118_997150690"/>
      <w:bookmarkStart w:id="16" w:name="_Toc46743508_Копия_1"/>
      <w:bookmarkStart w:id="17" w:name="_Toc176359792_Копия_1"/>
      <w:bookmarkEnd w:id="15"/>
      <w:bookmarkEnd w:id="16"/>
      <w:bookmarkEnd w:id="17"/>
      <w:r>
        <w:rPr>
          <w:rStyle w:val="Style8"/>
          <w:rFonts w:eastAsia="Calibri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x-none"/>
        </w:rPr>
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</w:r>
    </w:p>
    <w:p>
      <w:pPr>
        <w:pStyle w:val="Normal"/>
        <w:ind w:left="432" w:right="0" w:hanging="432"/>
        <w:rPr>
          <w:rStyle w:val="Style8"/>
          <w:rFonts w:eastAsia="Calibri"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x-none"/>
        </w:rPr>
      </w:pPr>
      <w:r>
        <w:rPr>
          <w:rFonts w:eastAsia="Calibri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x-none"/>
        </w:rPr>
      </w:r>
    </w:p>
    <w:p>
      <w:pPr>
        <w:pStyle w:val="BodyText"/>
        <w:widowControl/>
        <w:ind w:left="0" w:right="0" w:hanging="0"/>
        <w:rPr>
          <w:i w:val="false"/>
          <w:i w:val="false"/>
          <w:iCs w:val="false"/>
        </w:rPr>
      </w:pPr>
      <w:r>
        <w:rPr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       </w:t>
      </w:r>
      <w:r>
        <w:rPr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Заказчик предоставляет Подрядчику следующие виды ресурсов: </w:t>
      </w:r>
    </w:p>
    <w:p>
      <w:pPr>
        <w:pStyle w:val="BodyText"/>
        <w:widowControl/>
        <w:ind w:left="0" w:right="0" w:hanging="0"/>
        <w:rPr>
          <w:i w:val="false"/>
          <w:i w:val="false"/>
          <w:iCs w:val="false"/>
        </w:rPr>
      </w:pPr>
      <w:r>
        <w:rPr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        </w:t>
      </w:r>
      <w:r>
        <w:rPr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- Электроэнергия;</w:t>
      </w:r>
    </w:p>
    <w:p>
      <w:pPr>
        <w:pStyle w:val="BodyText"/>
        <w:widowControl/>
        <w:ind w:left="0" w:right="0" w:hanging="0"/>
        <w:rPr>
          <w:i w:val="false"/>
          <w:i w:val="false"/>
          <w:iCs w:val="false"/>
        </w:rPr>
      </w:pPr>
      <w:r>
        <w:rPr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        </w:t>
      </w:r>
      <w:r>
        <w:rPr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- Техническая вода.</w:t>
      </w:r>
    </w:p>
    <w:p>
      <w:pPr>
        <w:pStyle w:val="Heading1"/>
        <w:numPr>
          <w:ilvl w:val="0"/>
          <w:numId w:val="3"/>
        </w:numPr>
        <w:ind w:left="0" w:right="0" w:hanging="0"/>
        <w:jc w:val="center"/>
        <w:rPr>
          <w:caps/>
          <w:lang w:val="ru-RU"/>
        </w:rPr>
      </w:pPr>
      <w:bookmarkStart w:id="18" w:name="__RefHeading___Toc1518_2932253436"/>
      <w:bookmarkStart w:id="19" w:name="_Toc51339693"/>
      <w:bookmarkStart w:id="20" w:name="_Toc176359794"/>
      <w:bookmarkEnd w:id="18"/>
      <w:r>
        <w:rPr/>
        <w:t>Требования к оказанию услуг</w:t>
      </w:r>
      <w:bookmarkEnd w:id="20"/>
      <w:r>
        <w:rPr/>
        <w:t xml:space="preserve"> </w:t>
      </w:r>
      <w:bookmarkEnd w:id="19"/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21" w:name="__RefHeading___Toc1520_2932253436"/>
      <w:bookmarkStart w:id="22" w:name="_Toc176359795"/>
      <w:bookmarkEnd w:id="21"/>
      <w:r>
        <w:rPr/>
        <w:t>Требования к объемам и срокам</w:t>
      </w:r>
      <w:bookmarkEnd w:id="22"/>
      <w:r>
        <w:rPr/>
        <w:t xml:space="preserve"> оказания услуг</w:t>
      </w:r>
    </w:p>
    <w:p>
      <w:pPr>
        <w:pStyle w:val="Heading3"/>
        <w:numPr>
          <w:ilvl w:val="2"/>
          <w:numId w:val="3"/>
        </w:numPr>
        <w:rPr/>
      </w:pPr>
      <w:bookmarkStart w:id="23" w:name="__RefHeading___Toc1522_2932253436"/>
      <w:bookmarkStart w:id="24" w:name="_Toc176359796"/>
      <w:bookmarkEnd w:id="23"/>
      <w:r>
        <w:rPr/>
        <w:t>Требования к видам и объемам услуг</w:t>
      </w:r>
      <w:bookmarkEnd w:id="24"/>
    </w:p>
    <w:p>
      <w:pPr>
        <w:pStyle w:val="Heading1"/>
        <w:numPr>
          <w:ilvl w:val="0"/>
          <w:numId w:val="0"/>
        </w:numPr>
        <w:ind w:left="0" w:right="0" w:hanging="0"/>
        <w:rPr>
          <w:sz w:val="24"/>
          <w:szCs w:val="24"/>
        </w:rPr>
      </w:pPr>
      <w:bookmarkStart w:id="25" w:name="__RefHeading___Toc1524_2932253436"/>
      <w:bookmarkStart w:id="26" w:name="_Toc176359797"/>
      <w:bookmarkStart w:id="27" w:name="_Toc51339695"/>
      <w:bookmarkEnd w:id="25"/>
      <w:r>
        <w:rPr>
          <w:sz w:val="24"/>
          <w:szCs w:val="24"/>
        </w:rPr>
        <w:t>Таблица 2.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Перечень</w:t>
      </w:r>
      <w:r>
        <w:rPr>
          <w:sz w:val="24"/>
          <w:szCs w:val="24"/>
          <w:lang w:val="ru-RU"/>
        </w:rPr>
        <w:t xml:space="preserve"> и объем</w:t>
      </w:r>
      <w:r>
        <w:rPr>
          <w:sz w:val="24"/>
          <w:szCs w:val="24"/>
        </w:rPr>
        <w:t xml:space="preserve"> </w:t>
      </w:r>
      <w:bookmarkEnd w:id="27"/>
      <w:r>
        <w:rPr>
          <w:sz w:val="24"/>
          <w:szCs w:val="24"/>
        </w:rPr>
        <w:t>оказываемых услуг</w:t>
      </w:r>
      <w:bookmarkEnd w:id="26"/>
    </w:p>
    <w:tbl>
      <w:tblPr>
        <w:tblW w:w="9925" w:type="dxa"/>
        <w:jc w:val="left"/>
        <w:tblInd w:w="1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5799"/>
        <w:gridCol w:w="1587"/>
        <w:gridCol w:w="1594"/>
      </w:tblGrid>
      <w:tr>
        <w:trPr/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услуг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Единица измерения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Количество</w:t>
            </w:r>
          </w:p>
        </w:tc>
      </w:tr>
      <w:tr>
        <w:trPr/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>
        <w:trPr/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ind w:left="792" w:right="0" w:hanging="679"/>
              <w:rPr/>
            </w:pPr>
            <w:r>
              <w:rPr/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hd w:fill="auto" w:val="clear"/>
              </w:rPr>
              <w:t>Навеска страховочного троса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1 операция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ind w:left="792" w:right="0" w:hanging="679"/>
              <w:rPr/>
            </w:pPr>
            <w:r>
              <w:rPr/>
            </w:r>
          </w:p>
        </w:tc>
        <w:tc>
          <w:tcPr>
            <w:tcW w:w="5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hd w:fill="auto" w:val="clear"/>
              </w:rPr>
              <w:t>Навеска рабочего троса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1 операция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ind w:left="792" w:right="0" w:hanging="679"/>
              <w:rPr/>
            </w:pPr>
            <w:r>
              <w:rPr/>
            </w:r>
          </w:p>
        </w:tc>
        <w:tc>
          <w:tcPr>
            <w:tcW w:w="5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еренавеска рабочего троса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1 операция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hd w:fill="auto" w:val="clear"/>
              </w:rPr>
              <w:t>4</w:t>
            </w:r>
          </w:p>
        </w:tc>
      </w:tr>
      <w:tr>
        <w:trPr/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ind w:left="792" w:right="0" w:hanging="679"/>
              <w:rPr/>
            </w:pPr>
            <w:r>
              <w:rPr/>
            </w:r>
          </w:p>
        </w:tc>
        <w:tc>
          <w:tcPr>
            <w:tcW w:w="5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О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чистка поверхности конструкций щетками на высоте  (с помощью альпинис. ) с наружней стороны (14,408х10,56)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м2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152,94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left="0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numPr>
          <w:ilvl w:val="2"/>
          <w:numId w:val="14"/>
        </w:numPr>
        <w:rPr/>
      </w:pPr>
      <w:bookmarkStart w:id="28" w:name="__RefHeading___Toc1526_2932253436"/>
      <w:bookmarkStart w:id="29" w:name="_Toc176359798"/>
      <w:bookmarkStart w:id="30" w:name="_Toc51339696"/>
      <w:bookmarkEnd w:id="28"/>
      <w:r>
        <w:rPr/>
        <w:t xml:space="preserve">Требования </w:t>
      </w:r>
      <w:bookmarkEnd w:id="30"/>
      <w:r>
        <w:rPr/>
        <w:t>к срокам оказанию услуг</w:t>
      </w:r>
      <w:bookmarkEnd w:id="29"/>
    </w:p>
    <w:p>
      <w:pPr>
        <w:pStyle w:val="Heading1"/>
        <w:numPr>
          <w:ilvl w:val="0"/>
          <w:numId w:val="0"/>
        </w:numPr>
        <w:ind w:left="0" w:right="0" w:hanging="0"/>
        <w:rPr>
          <w:b/>
          <w:i w:val="false"/>
          <w:i w:val="false"/>
          <w:sz w:val="24"/>
          <w:szCs w:val="24"/>
          <w:shd w:fill="auto" w:val="clear"/>
          <w:lang w:val="ru-RU"/>
        </w:rPr>
      </w:pPr>
      <w:bookmarkStart w:id="31" w:name="__RefHeading___Toc1528_2932253436"/>
      <w:bookmarkStart w:id="32" w:name="_Toc176359799"/>
      <w:bookmarkStart w:id="33" w:name="_Toc50125127"/>
      <w:bookmarkStart w:id="34" w:name="_Toc51339697"/>
      <w:bookmarkEnd w:id="3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5" w:name="_Hlk50465284"/>
      <w:r>
        <w:rPr>
          <w:sz w:val="24"/>
          <w:szCs w:val="24"/>
        </w:rPr>
        <w:t xml:space="preserve">Требования </w:t>
      </w:r>
      <w:bookmarkEnd w:id="33"/>
      <w:bookmarkEnd w:id="34"/>
      <w:bookmarkEnd w:id="35"/>
      <w:r>
        <w:rPr>
          <w:sz w:val="24"/>
          <w:szCs w:val="24"/>
          <w:lang w:val="ru-RU"/>
        </w:rPr>
        <w:t>по срокам оказания услуг</w:t>
      </w:r>
      <w:bookmarkEnd w:id="32"/>
      <w:r>
        <w:rPr>
          <w:rStyle w:val="Style8"/>
          <w:b/>
          <w:i w:val="false"/>
          <w:sz w:val="24"/>
          <w:szCs w:val="24"/>
          <w:shd w:fill="auto" w:val="clear"/>
          <w:lang w:val="ru-RU"/>
        </w:rPr>
        <w:t xml:space="preserve"> </w:t>
      </w:r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3421"/>
        <w:gridCol w:w="2551"/>
        <w:gridCol w:w="2978"/>
      </w:tblGrid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r>
              <w:rPr>
                <w:szCs w:val="24"/>
              </w:rPr>
              <w:t>п/п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услуг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</w:tr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360" w:right="0" w:hanging="20"/>
              <w:rPr/>
            </w:pPr>
            <w:r>
              <w:rPr/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rStyle w:val="Style8"/>
                <w:b w:val="false"/>
                <w:bCs w:val="false"/>
                <w:i w:val="false"/>
                <w:shd w:fill="auto" w:val="clear"/>
              </w:rPr>
              <w:t xml:space="preserve">«Очистка светопрозрачной  конструкции наклонного витража атриум-холла в здании ПТК Бурейской ГЭС от </w:t>
            </w:r>
            <w:r>
              <w:rPr>
                <w:rStyle w:val="Style8"/>
                <w:rFonts w:eastAsia="Sylfaen"/>
                <w:b w:val="false"/>
                <w:bCs w:val="false"/>
                <w:i w:val="false"/>
                <w:shd w:fill="auto" w:val="clear"/>
              </w:rPr>
              <w:t>мелкодисперсной взвеси, образовавшейся в результате работы водосброса»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Cs w:val="24"/>
              </w:rPr>
              <w:t>С даты заключения договора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Cs w:val="24"/>
                <w:shd w:fill="auto" w:val="clear"/>
              </w:rPr>
              <w:t xml:space="preserve">Не позднее 30.09.2026 </w:t>
            </w:r>
            <w:r>
              <w:rPr>
                <w:i w:val="false"/>
                <w:iCs w:val="false"/>
                <w:szCs w:val="24"/>
              </w:rPr>
              <w:t>с даты заключения Договора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8192"/>
        </w:sectPr>
      </w:pPr>
    </w:p>
    <w:p>
      <w:pPr>
        <w:pStyle w:val="Heading4"/>
        <w:numPr>
          <w:ilvl w:val="1"/>
          <w:numId w:val="11"/>
        </w:numPr>
        <w:ind w:left="432" w:right="0" w:hanging="432"/>
        <w:rPr/>
      </w:pPr>
      <w:bookmarkStart w:id="36" w:name="__RefHeading___Toc1530_2932253436"/>
      <w:bookmarkStart w:id="37" w:name="_Toc51339698"/>
      <w:bookmarkStart w:id="38" w:name="_Toc176359800"/>
      <w:bookmarkEnd w:id="36"/>
      <w:r>
        <w:rPr/>
        <w:t xml:space="preserve">Требования к </w:t>
      </w:r>
      <w:r>
        <w:rPr>
          <w:lang w:val="ru-RU"/>
        </w:rPr>
        <w:t xml:space="preserve">качеству </w:t>
      </w:r>
      <w:bookmarkEnd w:id="38"/>
      <w:r>
        <w:rPr>
          <w:lang w:val="ru-RU"/>
        </w:rPr>
        <w:t>услуг</w:t>
      </w:r>
    </w:p>
    <w:p>
      <w:pPr>
        <w:pStyle w:val="Heading1"/>
        <w:numPr>
          <w:ilvl w:val="0"/>
          <w:numId w:val="0"/>
        </w:numPr>
        <w:ind w:left="0" w:right="0" w:hanging="0"/>
        <w:rPr>
          <w:sz w:val="24"/>
          <w:szCs w:val="24"/>
        </w:rPr>
      </w:pPr>
      <w:bookmarkStart w:id="39" w:name="__RefHeading___Toc1532_2932253436"/>
      <w:bookmarkStart w:id="40" w:name="_Toc176359801"/>
      <w:bookmarkEnd w:id="39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7"/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  <w:bookmarkEnd w:id="40"/>
      <w:r>
        <w:rPr>
          <w:rFonts w:eastAsia="Calibri"/>
          <w:b w:val="false"/>
          <w:bCs w:val="false"/>
          <w:sz w:val="24"/>
          <w:szCs w:val="24"/>
        </w:rPr>
        <w:t xml:space="preserve">«Очистка светопрозрачной  конструкции наклонного витража 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атриум-холла в здании ПТК Бурейской </w:t>
      </w:r>
    </w:p>
    <w:p>
      <w:pPr>
        <w:pStyle w:val="Heading1"/>
        <w:numPr>
          <w:ilvl w:val="0"/>
          <w:numId w:val="0"/>
        </w:numPr>
        <w:ind w:left="0" w:right="0" w:hanging="0"/>
        <w:rPr>
          <w:sz w:val="24"/>
          <w:szCs w:val="24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                                                                           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ГЭС </w:t>
      </w:r>
      <w:r>
        <w:rPr>
          <w:rFonts w:eastAsia="Calibri"/>
          <w:b w:val="false"/>
          <w:bCs w:val="false"/>
          <w:sz w:val="24"/>
          <w:szCs w:val="24"/>
        </w:rPr>
        <w:t xml:space="preserve">от </w:t>
      </w:r>
      <w:r>
        <w:rPr>
          <w:rFonts w:eastAsia="Sylfaen"/>
          <w:b w:val="false"/>
          <w:bCs w:val="false"/>
          <w:i w:val="false"/>
          <w:iCs w:val="false"/>
          <w:sz w:val="24"/>
          <w:szCs w:val="24"/>
        </w:rPr>
        <w:t>мелкодисперсной взвеси, образовавшейся в результате работы водосброса»</w:t>
      </w:r>
    </w:p>
    <w:tbl>
      <w:tblPr>
        <w:tblW w:w="1552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2917"/>
        <w:gridCol w:w="11326"/>
      </w:tblGrid>
      <w:tr>
        <w:trPr/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360" w:right="0" w:hanging="3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</w:tr>
      <w:tr>
        <w:trPr/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04" w:leader="none"/>
              </w:tabs>
              <w:ind w:left="37" w:right="0" w:hanging="0"/>
              <w:jc w:val="left"/>
              <w:rPr/>
            </w:pPr>
            <w:r>
              <w:rPr>
                <w:rFonts w:eastAsia="Times New Roman" w:cs="Times New Roman"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Подготовка рабочих мест и допуск на рабочие места выполняется в соответст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вии с ГОСТ Р 72193-2025 </w:t>
            </w:r>
            <w:r>
              <w:rPr>
                <w:rStyle w:val="Strong3"/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«Гидроэлектростанции и гидроаккумулирующие электростанции. Гидротехнические сооружения. Гидросиловое и механическое оборудование. Правила организации безопасного обслуживания»;</w:t>
            </w:r>
          </w:p>
        </w:tc>
      </w:tr>
      <w:tr>
        <w:trPr/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04" w:leader="none"/>
              </w:tabs>
              <w:ind w:right="0" w:hanging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Испо</w:t>
            </w: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лнитель разрабатывает и утверждает проект производства работ (ППРв). ППРв должен быть согласован с Заказчиком.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2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47" w:leader="none"/>
              </w:tabs>
              <w:ind w:left="38" w:right="0" w:hanging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Исполнитель обеспечивает текущий контроль оказываемых услуг, включающий в себя надзор за правильностью и последовательностью выполнения технологических операций;</w:t>
            </w:r>
          </w:p>
        </w:tc>
      </w:tr>
      <w:tr>
        <w:trPr/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оказания услуг</w:t>
            </w:r>
          </w:p>
        </w:tc>
      </w:tr>
      <w:tr>
        <w:trPr/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Соблюдение при оказании услуг норм и правил нормативно-технических документов</w:t>
            </w:r>
          </w:p>
        </w:tc>
        <w:tc>
          <w:tcPr>
            <w:tcW w:w="1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1.</w:t>
            </w:r>
            <w:r>
              <w:rPr>
                <w:rFonts w:eastAsia="Times New Roman" w:cs="Times New Roman"/>
                <w:bCs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Услуги оказываются в соответствии с согласованным и утвержденным проектом производства работ на высоте(ППРв).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2. Все работники, руководители и специалисты должны быть обеспечены своим работодателем средствами индивидуальной защиты (СИЗ) в соответствии с типовыми нормами. При выполнении работ персонал должен применять СИЗ в обязательном порядке без исключения.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2. Обеспечение техники безопасности при проведении работ — технические и организационные возможности, комплектность персонала, безопасность производства работ должна соответствовать характеру выполняемых работ.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3. Инженерная подготовка и оборудование рабочей площадки, и т.д. в соответствии с ППРв на выполнение соответствующего вида ремонтных работ.</w:t>
            </w:r>
          </w:p>
        </w:tc>
      </w:tr>
      <w:tr>
        <w:trPr/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оборудования и материалов, технологиям, программно-аппаратным средствам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Требования 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используемым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механизмам и материалам</w:t>
            </w:r>
          </w:p>
        </w:tc>
        <w:tc>
          <w:tcPr>
            <w:tcW w:w="1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17" w:leader="none"/>
                <w:tab w:val="left" w:pos="592" w:leader="none"/>
              </w:tabs>
              <w:suppressAutoHyphens w:val="true"/>
              <w:spacing w:lineRule="auto" w:line="216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Услуги оказываются с помощью: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  <w:tab w:val="left" w:pos="592" w:leader="none"/>
              </w:tabs>
              <w:suppressAutoHyphens w:val="true"/>
              <w:spacing w:lineRule="auto" w:line="216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  <w:tab w:val="left" w:pos="592" w:leader="none"/>
              </w:tabs>
              <w:suppressAutoHyphens w:val="true"/>
              <w:spacing w:lineRule="auto" w:line="216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- альпинистское снаряжение — 2 единицы.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Требование к процедурам оказания услуг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Организационно-технические мероприятия по допуску персонала Субподрядчика/Исполнителя</w:t>
            </w:r>
          </w:p>
        </w:tc>
        <w:tc>
          <w:tcPr>
            <w:tcW w:w="1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Допуск персонала для оказания Услуг осуществляется в соответствии с Регламентом процесса «Допуск персонала подрядных организаций на объекты ПАО «РусГидро», утвержденного приказом ПАО «РусГидро» от 28.04.2023 № 300. (Приложение № 2 к настоящим ТТ)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Объем подготовительных мероприятий</w:t>
            </w:r>
          </w:p>
        </w:tc>
        <w:tc>
          <w:tcPr>
            <w:tcW w:w="1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- Оформление акта-допуска, наряда-допуска на оказание услуг;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- Подготовка рабочего места;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Организация мероприятий по оказанию услуг</w:t>
            </w:r>
          </w:p>
        </w:tc>
        <w:tc>
          <w:tcPr>
            <w:tcW w:w="1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- организационно-технические мероприятия по допуску персонала исполнителя</w:t>
            </w: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x-none" w:bidi="ar-SA"/>
              </w:rPr>
              <w:t>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- п</w:t>
            </w: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x-none" w:bidi="ar-SA"/>
              </w:rPr>
              <w:t>одготовка объекта к сдаче-приемке: уборка рабочих мест, вывоз с территории оборудования и</w:t>
            </w: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x-none" w:bidi="ar-SA"/>
              </w:rPr>
              <w:t>продуктов окисления и солей.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2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Квалификация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персонала исполнителя, привлекаемого к оказанию услуг</w:t>
            </w:r>
          </w:p>
        </w:tc>
        <w:tc>
          <w:tcPr>
            <w:tcW w:w="1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17" w:leader="none"/>
                <w:tab w:val="left" w:pos="592" w:leader="none"/>
              </w:tabs>
              <w:suppressAutoHyphens w:val="true"/>
              <w:spacing w:lineRule="auto" w:line="216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Исполнитель, привлекаемый к оказанию услуг, должен иметь в штате: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  <w:tab w:val="left" w:pos="592" w:leader="none"/>
              </w:tabs>
              <w:suppressAutoHyphens w:val="true"/>
              <w:spacing w:lineRule="auto" w:line="216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1. Инженерно-технический персонал, обладающий необходимой и достаточной компетентностью (обученностью), соответствии характеру выполняемых работ;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  <w:tab w:val="left" w:pos="592" w:leader="none"/>
              </w:tabs>
              <w:suppressAutoHyphens w:val="true"/>
              <w:spacing w:lineRule="auto" w:line="216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2. Альпинист 4 разряда - не менее 2 чел.;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  <w:tab w:val="left" w:pos="592" w:leader="none"/>
              </w:tabs>
              <w:suppressAutoHyphens w:val="true"/>
              <w:spacing w:lineRule="auto" w:line="216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До начала оказания услуг в рамках исполнения договора после его заключения Исполнитель предоставляет список персонала с указанной информацией о квалификации персонала, разряде с приложением копий удостоверений на производство специальных видов работ (на высоте, работ с электро - и пневмоинструментом с группой электробезопасности не ниже III) (возможно совмещение специальностей)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2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Требование к результатом услуг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2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1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17" w:leader="none"/>
                <w:tab w:val="left" w:pos="592" w:leader="none"/>
              </w:tabs>
              <w:suppressAutoHyphens w:val="true"/>
              <w:spacing w:lineRule="auto" w:line="216" w:before="0" w:after="0"/>
              <w:jc w:val="both"/>
              <w:rPr/>
            </w:pPr>
            <w:r>
              <w:rPr>
                <w:rStyle w:val="Strong2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x-none" w:bidi="ar-SA"/>
              </w:rPr>
              <w:t>Обеспечение естественной освещенности (инсоляции) дневного света в помещении атриум-холла ПТК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2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Требование к приемке результата оказания услуг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Приемка результата оказания услуг</w:t>
            </w:r>
          </w:p>
        </w:tc>
        <w:tc>
          <w:tcPr>
            <w:tcW w:w="1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17" w:leader="none"/>
                <w:tab w:val="left" w:pos="592" w:leader="none"/>
              </w:tabs>
              <w:suppressAutoHyphens w:val="true"/>
              <w:spacing w:lineRule="auto" w:line="216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Приемка результатов оказания услуг осуществляется по результатам визуального осмотра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2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к документации, описывающей результат оказания услуг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Оформление результатов оказания услуг</w:t>
            </w:r>
          </w:p>
        </w:tc>
        <w:tc>
          <w:tcPr>
            <w:tcW w:w="1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17" w:leader="none"/>
                <w:tab w:val="left" w:pos="592" w:leader="none"/>
              </w:tabs>
              <w:suppressAutoHyphens w:val="true"/>
              <w:spacing w:lineRule="auto" w:line="216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Факт оказания услуг фиксируется оформленным и подписанным Актом приемки-сдачи оказанных услуг в количестве 2-х экземпляров по форме, предусмотренной Договором.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2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Соблюдать при выполнении работ норм и правил нормативно-технических документов:</w:t>
            </w:r>
          </w:p>
        </w:tc>
        <w:tc>
          <w:tcPr>
            <w:tcW w:w="1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17" w:leader="none"/>
                <w:tab w:val="left" w:pos="592" w:leader="none"/>
              </w:tabs>
              <w:suppressAutoHyphens w:val="true"/>
              <w:spacing w:lineRule="auto" w:line="216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При оказании услуг руководствоваться нормативно-технической документацией: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  <w:tab w:val="left" w:pos="592" w:leader="none"/>
              </w:tabs>
              <w:suppressAutoHyphens w:val="true"/>
              <w:spacing w:lineRule="auto" w:line="216" w:before="0" w:after="0"/>
              <w:jc w:val="both"/>
              <w:rPr/>
            </w:pP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-ГОСТ Р 72193-202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5 </w:t>
            </w:r>
            <w:r>
              <w:rPr>
                <w:rStyle w:val="Strong3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«Гидроэлектростанции и гидроаккумулирующие электростанции. Гидротехнические сооружения. Гидросиловое и механическое оборудование. Правила организации безопасного обслуживания»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  <w:tab w:val="left" w:pos="592" w:leader="none"/>
              </w:tabs>
              <w:suppressAutoHyphens w:val="true"/>
              <w:spacing w:lineRule="auto" w:line="216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 Правила по охране труда при эксплуатации электроустановок. Утверждены приказом Министерства труда и социальной защиты РФ от 15.12.2020 № 903н;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  <w:tab w:val="left" w:pos="592" w:leader="none"/>
              </w:tabs>
              <w:suppressAutoHyphens w:val="true"/>
              <w:spacing w:lineRule="auto" w:line="216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 СТО РусГидро 02.01.80-2012 «Гидротехнические сооружения ГЭС и ГАЭС. Правила эксплуатации. Нормы и требования»;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  <w:tab w:val="left" w:pos="592" w:leader="none"/>
              </w:tabs>
              <w:suppressAutoHyphens w:val="true"/>
              <w:spacing w:lineRule="auto" w:line="216"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 СНиП 3.03.01-87 Несущие и ограждающие конструкции СП 70.13330.2012;</w:t>
            </w:r>
          </w:p>
          <w:p>
            <w:pPr>
              <w:pStyle w:val="151"/>
              <w:widowControl w:val="false"/>
              <w:numPr>
                <w:ilvl w:val="0"/>
                <w:numId w:val="0"/>
              </w:numPr>
              <w:tabs>
                <w:tab w:val="left" w:pos="317" w:leader="none"/>
              </w:tabs>
              <w:suppressAutoHyphens w:val="true"/>
              <w:spacing w:before="0" w:after="0"/>
              <w:ind w:left="0" w:right="0" w:hanging="0"/>
              <w:contextualSpacing/>
              <w:rPr>
                <w:i w:val="false"/>
                <w:i w:val="false"/>
                <w:iCs w:val="false"/>
              </w:rPr>
            </w:pP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- Правила по охране труда при работе на высоте. </w:t>
            </w: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Утверждены приказом Минтруда России от 1</w:t>
            </w: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6.11.2020 № 782н;</w:t>
            </w:r>
          </w:p>
          <w:p>
            <w:pPr>
              <w:pStyle w:val="151"/>
              <w:widowControl w:val="false"/>
              <w:numPr>
                <w:ilvl w:val="0"/>
                <w:numId w:val="0"/>
              </w:numPr>
              <w:tabs>
                <w:tab w:val="left" w:pos="317" w:leader="none"/>
              </w:tabs>
              <w:suppressAutoHyphens w:val="true"/>
              <w:spacing w:before="0" w:after="0"/>
              <w:ind w:left="0" w:right="0" w:hanging="0"/>
              <w:contextualSpacing/>
              <w:rPr>
                <w:i w:val="false"/>
                <w:i w:val="false"/>
                <w:iCs w:val="false"/>
              </w:rPr>
            </w:pP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- </w:t>
            </w: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Правила по охране труда при работе с инструментом и приспособлениями. Утверждены приказом Минтруда России от 27.11.2020 № 835н</w:t>
            </w: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;</w:t>
            </w:r>
          </w:p>
          <w:p>
            <w:pPr>
              <w:pStyle w:val="151"/>
              <w:widowControl w:val="false"/>
              <w:numPr>
                <w:ilvl w:val="0"/>
                <w:numId w:val="0"/>
              </w:numPr>
              <w:tabs>
                <w:tab w:val="left" w:pos="317" w:leader="none"/>
              </w:tabs>
              <w:suppressAutoHyphens w:val="true"/>
              <w:spacing w:before="0" w:after="0"/>
              <w:ind w:left="0" w:right="0" w:hanging="0"/>
              <w:contextualSpacing/>
              <w:rPr>
                <w:i w:val="false"/>
                <w:i w:val="false"/>
                <w:iCs w:val="false"/>
              </w:rPr>
            </w:pP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- </w:t>
            </w: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Правила по охране труда при погрузочно-разгрузочных работах и размещении грузов. Утверждены приказом Минтруда России от 28.10.2020 № 753н</w:t>
            </w: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;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8192"/>
        </w:sectPr>
      </w:pP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Разработал:</w:t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Cs/>
          <w:sz w:val="24"/>
          <w:szCs w:val="24"/>
        </w:rPr>
        <w:t xml:space="preserve">Инженер II группы </w:t>
      </w:r>
    </w:p>
    <w:p>
      <w:pPr>
        <w:pStyle w:val="Normal"/>
        <w:rPr>
          <w:bCs/>
          <w:sz w:val="24"/>
          <w:szCs w:val="24"/>
        </w:rPr>
      </w:pPr>
      <w:r>
        <w:rPr>
          <w:sz w:val="24"/>
          <w:szCs w:val="24"/>
        </w:rPr>
        <w:t>ПТС ГТС и ПЗ                                          ____________________                  С.В. Матвеев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Согласовано:</w:t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Руководитель группы </w:t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  <w:t>ПТС ГТС и ПЗ                                          ____________________                  В.В. Василенко</w:t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rFonts w:eastAsia="Calibri"/>
          <w:b w:val="false"/>
          <w:bCs w:val="false"/>
          <w:iCs/>
          <w:lang w:eastAsia="x-none"/>
        </w:rPr>
      </w:pPr>
      <w:r>
        <w:rPr>
          <w:rFonts w:eastAsia="Calibri"/>
          <w:b w:val="false"/>
          <w:bCs w:val="false"/>
          <w:iCs/>
          <w:lang w:eastAsia="x-none"/>
        </w:rPr>
        <w:t xml:space="preserve">Заместитель главного инженера </w:t>
      </w:r>
    </w:p>
    <w:p>
      <w:pPr>
        <w:pStyle w:val="Normal"/>
        <w:rPr>
          <w:rFonts w:eastAsia="Calibri"/>
          <w:b w:val="false"/>
          <w:bCs w:val="false"/>
          <w:iCs/>
          <w:lang w:eastAsia="x-none"/>
        </w:rPr>
      </w:pPr>
      <w:r>
        <w:rPr>
          <w:rFonts w:eastAsia="Calibri"/>
          <w:b w:val="false"/>
          <w:bCs w:val="false"/>
          <w:iCs/>
          <w:lang w:eastAsia="x-none"/>
        </w:rPr>
        <w:t xml:space="preserve">по технической части                               </w:t>
      </w:r>
      <w:r>
        <w:rPr>
          <w:rFonts w:eastAsia="Calibri"/>
          <w:b w:val="false"/>
          <w:bCs w:val="false"/>
          <w:iCs/>
          <w:sz w:val="24"/>
          <w:szCs w:val="24"/>
          <w:lang w:eastAsia="x-none"/>
        </w:rPr>
        <w:t xml:space="preserve">____________________                  </w:t>
      </w:r>
      <w:r>
        <w:rPr>
          <w:rFonts w:eastAsia="Calibri"/>
          <w:b w:val="false"/>
          <w:bCs/>
          <w:iCs/>
          <w:sz w:val="24"/>
          <w:szCs w:val="24"/>
          <w:lang w:eastAsia="x-none"/>
        </w:rPr>
        <w:t>Е.В. Гомзин</w:t>
      </w:r>
      <w:r>
        <w:rPr>
          <w:rFonts w:eastAsia="Calibri"/>
          <w:b w:val="false"/>
          <w:bCs w:val="false"/>
          <w:iCs/>
          <w:lang w:eastAsia="x-none"/>
        </w:rPr>
        <w:t>С.А.</w:t>
      </w:r>
    </w:p>
    <w:p>
      <w:pPr>
        <w:pStyle w:val="Normal"/>
        <w:rPr>
          <w:rFonts w:eastAsia="Calibri"/>
          <w:b/>
          <w:iCs/>
          <w:lang w:eastAsia="x-none"/>
        </w:rPr>
      </w:pPr>
      <w:r>
        <w:rPr>
          <w:rFonts w:eastAsia="Calibri"/>
          <w:b/>
          <w:iCs/>
          <w:lang w:eastAsia="x-none"/>
        </w:rPr>
      </w:r>
    </w:p>
    <w:p>
      <w:pPr>
        <w:pStyle w:val="Normal"/>
        <w:rPr>
          <w:rFonts w:eastAsia="Calibri"/>
          <w:b/>
          <w:iCs/>
          <w:lang w:eastAsia="x-none"/>
        </w:rPr>
      </w:pPr>
      <w:r>
        <w:rPr>
          <w:rFonts w:eastAsia="Calibri"/>
          <w:b/>
          <w:iCs/>
          <w:lang w:eastAsia="x-none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  <w:t>Начальник службы</w:t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эксплуатации                                             </w:t>
      </w:r>
      <w:r>
        <w:rPr>
          <w:rFonts w:eastAsia="Calibri"/>
          <w:b w:val="false"/>
          <w:bCs w:val="false"/>
          <w:iCs/>
          <w:sz w:val="24"/>
          <w:szCs w:val="24"/>
          <w:lang w:eastAsia="x-none"/>
        </w:rPr>
        <w:t xml:space="preserve"> ____________________ </w:t>
      </w:r>
      <w:r>
        <w:rPr>
          <w:bCs/>
          <w:sz w:val="24"/>
          <w:szCs w:val="24"/>
        </w:rPr>
        <w:t xml:space="preserve">                Е.А. Степанов</w:t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Начальник  СПСР ТПиР                          </w:t>
      </w:r>
      <w:r>
        <w:rPr>
          <w:rFonts w:eastAsia="Calibri"/>
          <w:b w:val="false"/>
          <w:bCs w:val="false"/>
          <w:iCs/>
          <w:sz w:val="24"/>
          <w:szCs w:val="24"/>
          <w:lang w:eastAsia="x-none"/>
        </w:rPr>
        <w:t xml:space="preserve"> ____________________ </w:t>
      </w:r>
      <w:r>
        <w:rPr>
          <w:bCs/>
          <w:sz w:val="24"/>
          <w:szCs w:val="24"/>
        </w:rPr>
        <w:t xml:space="preserve">                И.А.Власенко</w:t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Начальник отдела закупок                       </w:t>
      </w:r>
      <w:r>
        <w:rPr>
          <w:rFonts w:eastAsia="Calibri"/>
          <w:b w:val="false"/>
          <w:bCs w:val="false"/>
          <w:iCs/>
          <w:sz w:val="24"/>
          <w:szCs w:val="24"/>
          <w:lang w:eastAsia="x-none"/>
        </w:rPr>
        <w:t xml:space="preserve"> ____________________ </w:t>
      </w:r>
      <w:r>
        <w:rPr>
          <w:bCs/>
          <w:sz w:val="24"/>
          <w:szCs w:val="24"/>
        </w:rPr>
        <w:t xml:space="preserve">                Е.А. Лысенко</w:t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19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679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122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2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679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122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color w:val="auto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w="http://schemas.openxmlformats.org/wordprocessingml/2006/main">
  <w:zoom w:percent="120"/>
  <w:revisionView w:insDel="0" w:formatting="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numPr>
        <w:ilvl w:val="0"/>
        <w:numId w:val="3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numPr>
        <w:ilvl w:val="0"/>
        <w:numId w:val="0"/>
      </w:numPr>
      <w:tabs>
        <w:tab w:val="clear" w:pos="708"/>
        <w:tab w:val="left" w:pos="0" w:leader="none"/>
      </w:tabs>
      <w:ind w:left="432" w:right="0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>
    <w:name w:val="Default Paragraph Font"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1">
    <w:name w:val="Strong1"/>
    <w:qFormat/>
    <w:rPr>
      <w:b/>
      <w:bCs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>
    <w:name w:val="Заголовок 3 Знак"/>
    <w:qFormat/>
    <w:rPr>
      <w:rFonts w:eastAsia="Calibri"/>
      <w:b/>
      <w:sz w:val="24"/>
      <w:szCs w:val="24"/>
      <w:lang w:val="x-none" w:eastAsia="x-none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Style1">
    <w:name w:val="Название Знак"/>
    <w:link w:val="16"/>
    <w:qFormat/>
    <w:rPr>
      <w:sz w:val="28"/>
    </w:rPr>
  </w:style>
  <w:style w:type="character" w:styleId="Style2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1">
    <w:name w:val="Подпункт Знак1"/>
    <w:link w:val="Style22"/>
    <w:qFormat/>
    <w:rPr>
      <w:sz w:val="28"/>
    </w:rPr>
  </w:style>
  <w:style w:type="character" w:styleId="Style5">
    <w:name w:val="Текст сноски Знак"/>
    <w:qFormat/>
    <w:rPr/>
  </w:style>
  <w:style w:type="character" w:styleId="Style6">
    <w:name w:val="Основной текст Знак"/>
    <w:qFormat/>
    <w:rPr>
      <w:sz w:val="28"/>
      <w:szCs w:val="28"/>
    </w:rPr>
  </w:style>
  <w:style w:type="character" w:styleId="Blk">
    <w:name w:val="blk"/>
    <w:qFormat/>
    <w:rPr/>
  </w:style>
  <w:style w:type="character" w:styleId="Style7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Подподпункт Знак"/>
    <w:link w:val="Style30"/>
    <w:qFormat/>
    <w:rPr>
      <w:sz w:val="26"/>
      <w:szCs w:val="26"/>
    </w:rPr>
  </w:style>
  <w:style w:type="character" w:styleId="31">
    <w:name w:val="УРОВЕНЬ_Абзац_тип3 Знак"/>
    <w:link w:val="35"/>
    <w:qFormat/>
    <w:rPr>
      <w:rFonts w:eastAsia="Calibri"/>
      <w:sz w:val="26"/>
      <w:szCs w:val="28"/>
      <w:lang w:eastAsia="en-US"/>
    </w:rPr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Style11">
    <w:name w:val="Текст примечания Знак"/>
    <w:link w:val="Annotationtext"/>
    <w:qFormat/>
    <w:rPr/>
  </w:style>
  <w:style w:type="character" w:styleId="Style12">
    <w:name w:val="Текст концевой сноски Знак"/>
    <w:basedOn w:val="DefaultParagraphFont"/>
    <w:qFormat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>
    <w:name w:val="Пункт2 Знак"/>
    <w:link w:val="24"/>
    <w:qFormat/>
    <w:rPr>
      <w:b/>
      <w:sz w:val="28"/>
    </w:rPr>
  </w:style>
  <w:style w:type="character" w:styleId="12">
    <w:name w:val="УРОВЕНЬ_1. Знак"/>
    <w:link w:val="110"/>
    <w:qFormat/>
    <w:rPr>
      <w:rFonts w:eastAsia="Calibri"/>
      <w:caps/>
      <w:sz w:val="28"/>
      <w:szCs w:val="28"/>
      <w:lang w:eastAsia="en-US"/>
    </w:rPr>
  </w:style>
  <w:style w:type="character" w:styleId="13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15">
    <w:name w:val="Стиль15 Знак"/>
    <w:link w:val="151"/>
    <w:qFormat/>
    <w:rPr>
      <w:rFonts w:eastAsia="Calibri"/>
      <w:sz w:val="24"/>
      <w:szCs w:val="24"/>
      <w:lang w:eastAsia="en-US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ConsPlusNormal">
    <w:name w:val="ConsPlusNormal Знак"/>
    <w:link w:val="ConsPlusNormal1"/>
    <w:qFormat/>
    <w:rPr>
      <w:rFonts w:ascii="Arial" w:hAnsi="Arial" w:cs="Arial"/>
    </w:rPr>
  </w:style>
  <w:style w:type="character" w:styleId="Style14">
    <w:name w:val="Ссылка указателя"/>
    <w:qFormat/>
    <w:rPr/>
  </w:style>
  <w:style w:type="character" w:styleId="WW8Num6z0">
    <w:name w:val="WW8Num6z0"/>
    <w:qFormat/>
    <w:rPr/>
  </w:style>
  <w:style w:type="character" w:styleId="WW8Num5z2">
    <w:name w:val="WW8Num5z2"/>
    <w:qFormat/>
    <w:rPr>
      <w:rFonts w:eastAsia="Times New Roman" w:cs="Times New Roman"/>
      <w:sz w:val="24"/>
    </w:rPr>
  </w:style>
  <w:style w:type="character" w:styleId="Strong2">
    <w:name w:val="Strong2"/>
    <w:qFormat/>
    <w:rPr>
      <w:b/>
      <w:bCs/>
    </w:rPr>
  </w:style>
  <w:style w:type="character" w:styleId="Strong3">
    <w:name w:val="Strong3"/>
    <w:qFormat/>
    <w:rPr>
      <w:b/>
      <w:bCs/>
    </w:rPr>
  </w:style>
  <w:style w:type="character" w:styleId="Strong4">
    <w:name w:val="Strong4"/>
    <w:qFormat/>
    <w:rPr>
      <w:b/>
      <w:bCs/>
    </w:rPr>
  </w:style>
  <w:style w:type="character" w:styleId="Strong5">
    <w:name w:val="Strong5"/>
    <w:qFormat/>
    <w:rPr>
      <w:b/>
      <w:bCs/>
    </w:rPr>
  </w:style>
  <w:style w:type="character" w:styleId="Strong6">
    <w:name w:val="Strong6"/>
    <w:qFormat/>
    <w:rPr>
      <w:b/>
      <w:bCs/>
    </w:rPr>
  </w:style>
  <w:style w:type="character" w:styleId="LineNumber">
    <w:name w:val="Line Number"/>
    <w:rPr/>
  </w:style>
  <w:style w:type="character" w:styleId="Strong7">
    <w:name w:val="Strong7"/>
    <w:qFormat/>
    <w:rPr>
      <w:b/>
      <w:bCs/>
    </w:rPr>
  </w:style>
  <w:style w:type="character" w:styleId="Style15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19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4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Cs w:val="24"/>
    </w:rPr>
  </w:style>
  <w:style w:type="paragraph" w:styleId="16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Cs w:val="24"/>
    </w:rPr>
  </w:style>
  <w:style w:type="paragraph" w:styleId="BodyTextIndent">
    <w:name w:val="Body Text Indent"/>
    <w:basedOn w:val="Normal"/>
    <w:pPr>
      <w:ind w:left="360" w:right="0" w:hanging="0"/>
    </w:pPr>
    <w:rPr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Cs w:val="20"/>
    </w:rPr>
  </w:style>
  <w:style w:type="paragraph" w:styleId="Style22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24">
    <w:name w:val="Пункт2"/>
    <w:basedOn w:val="Normal"/>
    <w:link w:val="22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cs="Calibri Light (Заголовки)"/>
      <w:b/>
      <w:bCs/>
      <w:szCs w:val="24"/>
    </w:rPr>
  </w:style>
  <w:style w:type="paragraph" w:styleId="TOC3">
    <w:name w:val="TOC 3"/>
    <w:basedOn w:val="Normal"/>
    <w:next w:val="Normal"/>
    <w:autoRedefine/>
    <w:pPr>
      <w:ind w:left="280" w:right="0" w:hanging="0"/>
    </w:pPr>
    <w:rPr>
      <w:rFonts w:cs="Calibri"/>
      <w:sz w:val="20"/>
      <w:szCs w:val="20"/>
    </w:rPr>
  </w:style>
  <w:style w:type="paragraph" w:styleId="Style23">
    <w:name w:val="Раздел регламента"/>
    <w:basedOn w:val="Normal"/>
    <w:qFormat/>
    <w:pPr/>
    <w:rPr/>
  </w:style>
  <w:style w:type="paragraph" w:styleId="Style24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7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Cs w:val="24"/>
    </w:rPr>
  </w:style>
  <w:style w:type="paragraph" w:styleId="TOC9">
    <w:name w:val="TOC 9"/>
    <w:basedOn w:val="Normal"/>
    <w:next w:val="Normal"/>
    <w:autoRedefine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ind w:left="560" w:right="0" w:hanging="0"/>
    </w:pPr>
    <w:rPr>
      <w:rFonts w:cs="Calibri"/>
      <w:sz w:val="20"/>
      <w:szCs w:val="20"/>
    </w:rPr>
  </w:style>
  <w:style w:type="paragraph" w:styleId="25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Style25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Cs w:val="24"/>
    </w:rPr>
  </w:style>
  <w:style w:type="paragraph" w:styleId="Caption11">
    <w:name w:val="caption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qFormat/>
    <w:pPr>
      <w:numPr>
        <w:ilvl w:val="0"/>
        <w:numId w:val="0"/>
      </w:numPr>
      <w:ind w:left="1066" w:right="0" w:firstLine="709"/>
    </w:pPr>
    <w:rPr>
      <w:rFonts w:ascii="Cambria" w:hAnsi="Cambria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right="0" w:hanging="0"/>
      <w:contextualSpacing/>
    </w:pPr>
    <w:rPr>
      <w:rFonts w:eastAsia="Calibri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Cs w:val="24"/>
      <w:lang w:val="x-none" w:eastAsia="x-none"/>
    </w:rPr>
  </w:style>
  <w:style w:type="paragraph" w:styleId="Style26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Cs w:val="20"/>
    </w:rPr>
  </w:style>
  <w:style w:type="paragraph" w:styleId="41">
    <w:name w:val="Маркированный список 4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Cs w:val="20"/>
    </w:rPr>
  </w:style>
  <w:style w:type="paragraph" w:styleId="26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Cs w:val="20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>
    <w:name w:val="ConsPlusNormal"/>
    <w:link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Cs w:val="24"/>
      <w:lang w:val="x-none" w:eastAsia="x-none"/>
    </w:rPr>
  </w:style>
  <w:style w:type="paragraph" w:styleId="Style29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>
    <w:name w:val="Подподпункт"/>
    <w:basedOn w:val="Style22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>
    <w:name w:val="Стиль Заголовок 1 + по ширине"/>
    <w:basedOn w:val="Heading1"/>
    <w:qFormat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Cs w:val="20"/>
      <w:lang w:eastAsia="x-none"/>
    </w:rPr>
  </w:style>
  <w:style w:type="paragraph" w:styleId="Style33">
    <w:name w:val="Таблица текст"/>
    <w:basedOn w:val="Normal"/>
    <w:qFormat/>
    <w:pPr>
      <w:spacing w:before="40" w:after="40"/>
      <w:ind w:left="57" w:right="57" w:hanging="0"/>
    </w:pPr>
    <w:rPr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Cs w:val="24"/>
    </w:rPr>
  </w:style>
  <w:style w:type="paragraph" w:styleId="110">
    <w:name w:val="УРОВЕНЬ_1."/>
    <w:basedOn w:val="ListParagraph"/>
    <w:link w:val="12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121">
    <w:name w:val="Стиль12"/>
    <w:basedOn w:val="Normal"/>
    <w:qFormat/>
    <w:pPr>
      <w:numPr>
        <w:ilvl w:val="0"/>
        <w:numId w:val="10"/>
      </w:numPr>
      <w:tabs>
        <w:tab w:val="clear" w:pos="708"/>
        <w:tab w:val="left" w:pos="1134" w:leader="none"/>
      </w:tabs>
      <w:spacing w:before="0" w:after="0"/>
      <w:ind w:left="1497" w:right="0" w:hanging="930"/>
      <w:contextualSpacing/>
      <w:jc w:val="both"/>
    </w:pPr>
    <w:rPr>
      <w:szCs w:val="24"/>
    </w:rPr>
  </w:style>
  <w:style w:type="paragraph" w:styleId="131">
    <w:name w:val="Стиль13"/>
    <w:basedOn w:val="Normal"/>
    <w:autoRedefine/>
    <w:qFormat/>
    <w:pPr>
      <w:numPr>
        <w:ilvl w:val="1"/>
        <w:numId w:val="10"/>
      </w:numPr>
      <w:tabs>
        <w:tab w:val="clear" w:pos="708"/>
        <w:tab w:val="left" w:pos="1134" w:leader="none"/>
      </w:tabs>
      <w:spacing w:before="0" w:after="0"/>
      <w:ind w:left="0" w:right="0" w:firstLine="709"/>
      <w:contextualSpacing/>
      <w:jc w:val="both"/>
    </w:pPr>
    <w:rPr>
      <w:szCs w:val="24"/>
    </w:rPr>
  </w:style>
  <w:style w:type="paragraph" w:styleId="141">
    <w:name w:val="Стиль14"/>
    <w:basedOn w:val="Normal"/>
    <w:qFormat/>
    <w:pPr>
      <w:numPr>
        <w:ilvl w:val="2"/>
        <w:numId w:val="10"/>
      </w:numPr>
      <w:tabs>
        <w:tab w:val="clear" w:pos="708"/>
        <w:tab w:val="left" w:pos="1134" w:leader="none"/>
        <w:tab w:val="left" w:pos="1276" w:leader="none"/>
      </w:tabs>
      <w:spacing w:before="0" w:after="0"/>
      <w:contextualSpacing/>
      <w:jc w:val="both"/>
    </w:pPr>
    <w:rPr>
      <w:szCs w:val="24"/>
    </w:rPr>
  </w:style>
  <w:style w:type="paragraph" w:styleId="151">
    <w:name w:val="Стиль15"/>
    <w:basedOn w:val="141"/>
    <w:link w:val="15"/>
    <w:qFormat/>
    <w:pPr>
      <w:tabs>
        <w:tab w:val="clear" w:pos="1134"/>
        <w:tab w:val="clear" w:pos="1276"/>
      </w:tabs>
      <w:ind w:left="0" w:right="0" w:hanging="0"/>
    </w:pPr>
    <w:rPr>
      <w:rFonts w:eastAsia="Calibri"/>
      <w:lang w:eastAsia="en-US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jc w:val="center"/>
    </w:pPr>
    <w:rPr>
      <w:b/>
      <w:bCs/>
    </w:rPr>
  </w:style>
  <w:style w:type="numbering" w:styleId="111">
    <w:name w:val="Стиль1"/>
    <w:qFormat/>
  </w:style>
  <w:style w:type="numbering" w:styleId="29">
    <w:name w:val="Стиль2"/>
    <w:qFormat/>
  </w:style>
  <w:style w:type="numbering" w:styleId="36">
    <w:name w:val="Стиль3"/>
    <w:qFormat/>
  </w:style>
  <w:style w:type="numbering" w:styleId="WW8Num6">
    <w:name w:val="WW8Num6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5062</TotalTime>
  <Application>AlterOffice/3.4.0.9$Linux_X86_64 LibreOffice_project/b8daf9e823b1a5463a2f48435ddc2e8696e7d4fc</Application>
  <AppVersion>15.0000</AppVersion>
  <Pages>8</Pages>
  <Words>1221</Words>
  <Characters>8559</Characters>
  <CharactersWithSpaces>10644</CharactersWithSpaces>
  <Paragraphs>193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2024-05-16T01:30:00Z</dcterms:created>
  <dc:creator>Быстров Олег Геннадьевич</dc:creator>
  <dc:description/>
  <dc:language>ru-RU</dc:language>
  <cp:lastModifiedBy>vasilenkovv@corp.gidroogk.com</cp:lastModifiedBy>
  <cp:lastPrinted>2026-06-18T10:00:48Z</cp:lastPrinted>
  <dcterms:modified xsi:type="dcterms:W3CDTF">2026-07-20T10:52:31Z</dcterms:modified>
  <cp:revision>87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