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 на выполнение работ</w:t>
      </w:r>
    </w:p>
    <w:p>
      <w:pPr>
        <w:pStyle w:val="Normal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jc w:val="center"/>
        <w:rPr>
          <w:sz w:val="28"/>
          <w:szCs w:val="28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Normal"/>
        <w:jc w:val="center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</w:r>
    </w:p>
    <w:p>
      <w:pPr>
        <w:pStyle w:val="Normal"/>
        <w:jc w:val="center"/>
        <w:rPr/>
      </w:pPr>
      <w:r>
        <w:rPr>
          <w:rFonts w:eastAsia="SimSun"/>
          <w:color w:val="000000"/>
          <w:sz w:val="28"/>
          <w:szCs w:val="28"/>
        </w:rPr>
        <w:t>ОКПД</w:t>
      </w:r>
      <w:r>
        <w:rPr>
          <w:rStyle w:val="Strong"/>
          <w:rFonts w:eastAsia="SimSun"/>
          <w:b w:val="false"/>
          <w:bCs w:val="false"/>
          <w:color w:val="000000"/>
          <w:sz w:val="28"/>
          <w:szCs w:val="28"/>
        </w:rPr>
        <w:t xml:space="preserve">2 26.20.14.100 </w:t>
      </w:r>
      <w:r>
        <w:rPr>
          <w:rFonts w:eastAsia="SimSun"/>
          <w:sz w:val="28"/>
          <w:szCs w:val="28"/>
        </w:rPr>
        <w:t>Разработка рабочей документации, поставка оборудования, СМР, ПНР по модернизации ПАК КЦОПЛ в части Системы предотвращения утечек информации </w:t>
      </w:r>
    </w:p>
    <w:p>
      <w:pPr>
        <w:pStyle w:val="Normal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jc w:val="center"/>
        <w:rPr>
          <w:sz w:val="28"/>
          <w:szCs w:val="28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8"/>
          <w:szCs w:val="28"/>
        </w:rPr>
        <w:t xml:space="preserve">Лот № </w:t>
      </w:r>
      <w:r>
        <w:rPr>
          <w:rStyle w:val="Style8"/>
          <w:sz w:val="28"/>
          <w:szCs w:val="28"/>
          <w:shd w:fill="auto" w:val="clear"/>
        </w:rPr>
        <w:t>[____________________]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widowControl/>
            <w:tabs>
              <w:tab w:val="clear" w:pos="708"/>
              <w:tab w:val="right" w:pos="9921" w:leader="dot"/>
            </w:tabs>
            <w:suppressAutoHyphens w:val="true"/>
            <w:bidi w:val="0"/>
            <w:spacing w:before="120" w:after="0"/>
            <w:jc w:val="left"/>
            <w:rPr>
              <w:rFonts w:ascii="Times New Roman" w:hAnsi="Times New Roman" w:eastAsia="Times New Roman" w:cs="Calibri Light (Заголовки)"/>
              <w:vanish w:val="false"/>
              <w:color w:val="auto"/>
              <w:kern w:val="0"/>
              <w:sz w:val="24"/>
              <w:szCs w:val="24"/>
              <w:lang w:val="ru-RU" w:eastAsia="ru-RU" w:bidi="ar-SA"/>
            </w:rPr>
          </w:pPr>
          <w:r>
            <w:fldChar w:fldCharType="begin"/>
          </w:r>
          <w:r>
            <w:rPr>
              <w:sz w:val="24"/>
              <w:kern w:val="0"/>
              <w:szCs w:val="24"/>
              <w:vanish w:val="false"/>
              <w:rFonts w:eastAsia="Times New Roman" w:cs="Calibri Light (Заголовки)"/>
              <w:color w:val="auto"/>
              <w:lang w:val="ru-RU" w:eastAsia="ru-RU" w:bidi="ar-SA"/>
            </w:rPr>
            <w:instrText xml:space="preserve"> TOC \z \o "1-4" \u \h</w:instrText>
          </w:r>
          <w:r>
            <w:rPr>
              <w:sz w:val="24"/>
              <w:kern w:val="0"/>
              <w:szCs w:val="24"/>
              <w:vanish w:val="false"/>
              <w:rFonts w:eastAsia="Times New Roman" w:cs="Calibri Light (Заголовки)"/>
              <w:color w:val="auto"/>
              <w:lang w:val="ru-RU" w:eastAsia="ru-RU" w:bidi="ar-SA"/>
            </w:rPr>
            <w:fldChar w:fldCharType="separate"/>
          </w:r>
          <w:r>
            <w:rPr>
              <w:rFonts w:eastAsia="Times New Roman" w:cs="Calibri Light (Заголовки)"/>
              <w:vanish w:val="false"/>
              <w:color w:val="auto"/>
              <w:kern w:val="0"/>
              <w:sz w:val="24"/>
              <w:szCs w:val="24"/>
              <w:lang w:val="ru-RU" w:eastAsia="ru-RU" w:bidi="ar-SA"/>
            </w:rPr>
            <w:t>1. Общие сведения</w:t>
            <w:tab/>
            <w:t>3</w:t>
          </w:r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76613_1820824432">
            <w:r>
              <w:rPr>
                <w:webHidden/>
                <w:rStyle w:val="Style14"/>
                <w:vanish w:val="false"/>
                <w:sz w:val="24"/>
                <w:szCs w:val="2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76615_1820824432">
            <w:r>
              <w:rPr>
                <w:webHidden/>
                <w:rStyle w:val="Style14"/>
                <w:vanish w:val="false"/>
                <w:sz w:val="24"/>
                <w:szCs w:val="24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76617_1820824432">
            <w:r>
              <w:rPr>
                <w:webHidden/>
                <w:rStyle w:val="Style14"/>
                <w:vanish w:val="false"/>
                <w:sz w:val="24"/>
                <w:szCs w:val="24"/>
              </w:rPr>
              <w:t>1.3. Цель выполнения работ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76623_1820824432">
            <w:r>
              <w:rPr>
                <w:webHidden/>
                <w:rStyle w:val="Style14"/>
                <w:vanish w:val="false"/>
                <w:sz w:val="24"/>
                <w:szCs w:val="24"/>
              </w:rPr>
              <w:t xml:space="preserve">1.4. </w:t>
            </w:r>
            <w:r>
              <w:rPr>
                <w:rStyle w:val="Style14"/>
                <w:sz w:val="24"/>
                <w:szCs w:val="24"/>
              </w:rPr>
              <w:t>С</w:t>
            </w:r>
          </w:hyperlink>
          <w:r>
            <w:rPr>
              <w:sz w:val="24"/>
              <w:szCs w:val="24"/>
            </w:rPr>
            <w:t>уществующее положение</w:t>
          </w:r>
          <w:hyperlink w:anchor="__RefHeading___Toc376617_1820824432">
            <w:bookmarkStart w:id="0" w:name="_Toc224659053_Копия_1"/>
            <w:bookmarkStart w:id="1" w:name="_Toc46743508_Копия_1"/>
            <w:r>
              <w:rPr>
                <w:webHidden/>
                <w:rStyle w:val="Style14"/>
                <w:rFonts w:eastAsia="Calibri" w:cs="Times New Roman"/>
                <w:vanish w:val="false"/>
                <w:sz w:val="24"/>
                <w:szCs w:val="24"/>
                <w:lang w:val="x-none" w:eastAsia="x-none"/>
              </w:rPr>
              <w:tab/>
            </w:r>
          </w:hyperlink>
          <w:hyperlink w:anchor="__RefHeading___Toc376617_1820824432">
            <w:r>
              <w:rPr>
                <w:webHidden/>
                <w:rStyle w:val="Style14"/>
                <w:rFonts w:eastAsia="Calibri" w:cs="Times New Roman"/>
                <w:vanish w:val="false"/>
                <w:sz w:val="24"/>
                <w:szCs w:val="24"/>
                <w:lang w:val="x-none" w:eastAsia="x-none"/>
              </w:rPr>
              <w:t>4</w:t>
            </w:r>
          </w:hyperlink>
          <w:bookmarkEnd w:id="0"/>
          <w:bookmarkEnd w:id="1"/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z w:val="24"/>
              <w:szCs w:val="24"/>
            </w:rPr>
            <w:t xml:space="preserve">1.5. </w:t>
          </w:r>
          <w:hyperlink w:anchor="__RefHeading___Toc376623_1820824432">
            <w:r>
              <w:rPr>
                <w:webHidden/>
                <w:rStyle w:val="Style14"/>
                <w:vanish w:val="false"/>
                <w:sz w:val="24"/>
                <w:szCs w:val="24"/>
              </w:rPr>
              <w:t>Информация в отношении исполнения договора, которая должна быть учтена при подготовке заявки (в том числе перечень ресурсов, работ и документов, предоставляемых заказчиком на этапе исполнения договора)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76627_1820824432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5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76629_1820824432">
            <w:r>
              <w:rPr>
                <w:webHidden/>
                <w:rStyle w:val="Style14"/>
                <w:vanish w:val="false"/>
                <w:sz w:val="24"/>
                <w:szCs w:val="24"/>
              </w:rPr>
              <w:t>2.1. Требования к объемам и срокам выполнения работ</w:t>
              <w:tab/>
            </w:r>
            <w:r>
              <w:rPr>
                <w:rStyle w:val="Style14"/>
                <w:sz w:val="24"/>
                <w:szCs w:val="24"/>
              </w:rPr>
              <w:t>5</w:t>
            </w:r>
          </w:hyperlink>
        </w:p>
        <w:p>
          <w:pPr>
            <w:pStyle w:val="TOC3"/>
            <w:rPr>
              <w:sz w:val="24"/>
              <w:szCs w:val="24"/>
            </w:rPr>
          </w:pPr>
          <w:r>
            <w:rPr>
              <w:sz w:val="24"/>
              <w:szCs w:val="24"/>
            </w:rPr>
            <w:t>2.1.1. Требования к перечню и объему работ</w:t>
            <w:tab/>
            <w:t>5</w:t>
          </w:r>
        </w:p>
        <w:p>
          <w:pPr>
            <w:pStyle w:val="TOC3"/>
            <w:rPr>
              <w:sz w:val="24"/>
              <w:szCs w:val="24"/>
            </w:rPr>
          </w:pPr>
          <w:r>
            <w:rPr>
              <w:sz w:val="24"/>
              <w:szCs w:val="24"/>
            </w:rPr>
            <w:t>2.1.1.1. Описание работ</w:t>
            <w:tab/>
            <w:t>8</w:t>
          </w:r>
        </w:p>
        <w:p>
          <w:pPr>
            <w:pStyle w:val="TOC3"/>
            <w:rPr/>
          </w:pPr>
          <w:hyperlink w:anchor="__RefHeading___Toc376635_1820824432">
            <w:r>
              <w:rPr>
                <w:webHidden/>
                <w:rStyle w:val="Style14"/>
                <w:vanish w:val="false"/>
                <w:sz w:val="24"/>
                <w:szCs w:val="24"/>
              </w:rPr>
              <w:t>2.1.2. Требования к срокам выполнения работ</w:t>
              <w:tab/>
              <w:t>8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76639_1820824432">
            <w:r>
              <w:rPr>
                <w:webHidden/>
                <w:rStyle w:val="Style14"/>
                <w:vanish w:val="false"/>
                <w:sz w:val="24"/>
                <w:szCs w:val="24"/>
              </w:rPr>
              <w:t>2.2. Требования к качеству продукции</w:t>
              <w:tab/>
              <w:t>1</w:t>
            </w:r>
            <w:r>
              <w:rPr>
                <w:rStyle w:val="Style14"/>
                <w:sz w:val="24"/>
                <w:szCs w:val="24"/>
              </w:rPr>
              <w:t>1</w:t>
            </w:r>
          </w:hyperlink>
        </w:p>
        <w:p>
          <w:pPr>
            <w:pStyle w:val="TOC3"/>
            <w:rPr/>
          </w:pPr>
          <w:hyperlink w:anchor="__RefHeading___Toc376643_1820824432">
            <w:r>
              <w:rPr>
                <w:webHidden/>
                <w:rStyle w:val="Style14"/>
                <w:vanish w:val="false"/>
                <w:sz w:val="24"/>
                <w:szCs w:val="24"/>
              </w:rPr>
              <w:t xml:space="preserve">2.2.1. </w:t>
            </w:r>
            <w:r>
              <w:rPr>
                <w:rStyle w:val="Style14"/>
                <w:i/>
                <w:sz w:val="24"/>
                <w:szCs w:val="24"/>
              </w:rPr>
              <w:t xml:space="preserve"> </w:t>
            </w:r>
            <w:r>
              <w:rPr>
                <w:rStyle w:val="Style14"/>
                <w:sz w:val="24"/>
                <w:szCs w:val="24"/>
              </w:rPr>
              <w:t>В составе заявки необходимо предоставить:</w:t>
              <w:tab/>
              <w:t>26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76645_1820824432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27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76647_1820824432">
            <w:r>
              <w:rPr>
                <w:webHidden/>
                <w:rStyle w:val="Style14"/>
                <w:vanish w:val="false"/>
              </w:rPr>
              <w:t>4. Требования к документации по ценообразованию на этапе заключения (исполнения) договора</w:t>
              <w:tab/>
              <w:t>28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76649_1820824432">
            <w:r>
              <w:rPr>
                <w:webHidden/>
                <w:rStyle w:val="Style14"/>
                <w:iCs/>
                <w:vanish w:val="false"/>
              </w:rPr>
              <w:t xml:space="preserve">Приложение1. </w:t>
            </w:r>
            <w:r>
              <w:rPr>
                <w:rStyle w:val="Style14"/>
                <w:rFonts w:eastAsia="Calibri"/>
                <w:b w:val="false"/>
                <w:bCs w:val="false"/>
                <w:i w:val="false"/>
                <w:iCs/>
                <w:sz w:val="24"/>
                <w:szCs w:val="24"/>
                <w:shd w:fill="auto" w:val="clear"/>
              </w:rPr>
              <w:t>Требования к Товару (индивидуальные требования по каждой позиции перечня Товара)</w:t>
            </w:r>
            <w:r>
              <w:rPr>
                <w:rStyle w:val="Style14"/>
              </w:rPr>
              <w:tab/>
              <w:t>2</w:t>
            </w:r>
          </w:hyperlink>
          <w:r>
            <w:rPr/>
            <w:t>9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76649_1820824432">
            <w:r>
              <w:rPr>
                <w:webHidden/>
                <w:rStyle w:val="Style14"/>
                <w:iCs/>
                <w:vanish w:val="false"/>
              </w:rPr>
              <w:t>Приложени</w:t>
            </w:r>
            <w:r>
              <w:rPr>
                <w:rStyle w:val="Style14"/>
                <w:iCs/>
              </w:rPr>
              <w:t>е 2. Форма спецификации поставляемого оборудования</w:t>
            </w:r>
            <w:r>
              <w:rPr>
                <w:rStyle w:val="Style14"/>
              </w:rPr>
              <w:tab/>
            </w:r>
          </w:hyperlink>
          <w:r>
            <w:rPr/>
            <w:t>67</w:t>
          </w:r>
          <w:r>
            <w:rPr/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spacing w:before="0" w:after="0"/>
        <w:rPr>
          <w:rFonts w:eastAsia="" w:cs="Times New Roman" w:eastAsiaTheme="minorEastAsia"/>
          <w:b w:val="false"/>
          <w:bCs w:val="false"/>
        </w:rPr>
      </w:pPr>
      <w:r>
        <w:rPr>
          <w:rFonts w:eastAsia="" w:cs="Times New Roman" w:eastAsiaTheme="minorEastAsia"/>
          <w:b w:val="false"/>
          <w:bCs w:val="false"/>
        </w:rPr>
      </w:r>
    </w:p>
    <w:p>
      <w:pPr>
        <w:pStyle w:val="Heading2"/>
        <w:keepLines/>
        <w:numPr>
          <w:ilvl w:val="0"/>
        </w:numPr>
        <w:ind w:left="432" w:hanging="432"/>
        <w:rPr>
          <w:i/>
          <w:i/>
        </w:rPr>
      </w:pPr>
      <w:r>
        <w:rPr>
          <w:i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0"/>
        <w:ind w:left="357" w:hanging="357"/>
        <w:jc w:val="center"/>
        <w:rPr>
          <w:caps/>
          <w:sz w:val="24"/>
          <w:szCs w:val="24"/>
          <w:lang w:val="ru-RU"/>
        </w:rPr>
      </w:pPr>
      <w:bookmarkStart w:id="2" w:name="__RefHeading___Toc376611_1820824432"/>
      <w:bookmarkStart w:id="3" w:name="_Toc224659049"/>
      <w:bookmarkEnd w:id="2"/>
      <w:r>
        <w:rPr>
          <w:sz w:val="24"/>
          <w:szCs w:val="24"/>
          <w:lang w:val="ru-RU"/>
        </w:rPr>
        <w:t>Общие сведения</w:t>
      </w:r>
      <w:bookmarkEnd w:id="3"/>
    </w:p>
    <w:p>
      <w:pPr>
        <w:pStyle w:val="Heading4"/>
        <w:numPr>
          <w:ilvl w:val="1"/>
          <w:numId w:val="3"/>
        </w:numPr>
        <w:spacing w:before="0" w:after="0"/>
        <w:rPr/>
      </w:pPr>
      <w:bookmarkStart w:id="4" w:name="__RefHeading___Toc376613_1820824432"/>
      <w:bookmarkStart w:id="5" w:name="_Toc224659050"/>
      <w:bookmarkStart w:id="6" w:name="_Toc46743505"/>
      <w:bookmarkEnd w:id="4"/>
      <w:r>
        <w:rPr/>
        <w:t>Обозначения и сокращения</w:t>
      </w:r>
      <w:bookmarkEnd w:id="5"/>
      <w:bookmarkEnd w:id="6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"/>
              <w:widowControl w:val="false"/>
              <w:numPr>
                <w:ilvl w:val="0"/>
                <w:numId w:val="0"/>
              </w:numPr>
              <w:ind w:left="0" w:hanging="0"/>
              <w:rPr/>
            </w:pPr>
            <w:r>
              <w:rPr>
                <w:lang w:val="en-US"/>
              </w:rPr>
              <w:t>GOD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"/>
              <w:widowControl w:val="false"/>
              <w:numPr>
                <w:ilvl w:val="0"/>
                <w:numId w:val="0"/>
              </w:numPr>
              <w:ind w:left="0" w:hanging="0"/>
              <w:rPr/>
            </w:pPr>
            <w:r>
              <w:rPr/>
              <w:t xml:space="preserve"> </w:t>
            </w:r>
            <w:r>
              <w:rPr/>
              <w:t>Модуль распознавания графических объектов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"/>
              <w:widowControl w:val="false"/>
              <w:numPr>
                <w:ilvl w:val="0"/>
                <w:numId w:val="0"/>
              </w:numPr>
              <w:ind w:left="0" w:hanging="0"/>
              <w:rPr/>
            </w:pPr>
            <w:r>
              <w:rPr/>
              <w:t>OCR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"/>
              <w:widowControl w:val="false"/>
              <w:numPr>
                <w:ilvl w:val="0"/>
                <w:numId w:val="0"/>
              </w:numPr>
              <w:ind w:left="0" w:hanging="0"/>
              <w:rPr/>
            </w:pPr>
            <w:r>
              <w:rPr/>
              <w:t>Optical Character Recognition, модуль для распознавания текста в графических файлах (сервер распознавания изображений)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Агент Системы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Компонент Системы, который устанавливается на рабочие станции сотрудников и контролирует их действия на устройстве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widowControl w:val="false"/>
              <w:spacing w:lineRule="auto" w:line="240" w:before="0" w:after="0"/>
              <w:ind w:left="0" w:hanging="0"/>
              <w:rPr/>
            </w:pPr>
            <w:r>
              <w:rPr>
                <w:iCs/>
                <w:lang w:eastAsia="x-none"/>
              </w:rPr>
              <w:t>Виртуальная среда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overflowPunct w:val="true"/>
              <w:jc w:val="both"/>
              <w:rPr/>
            </w:pPr>
            <w:r>
              <w:rPr>
                <w:rStyle w:val="Strong3"/>
                <w:b w:val="false"/>
                <w:bCs w:val="false"/>
                <w:sz w:val="24"/>
                <w:szCs w:val="24"/>
              </w:rPr>
              <w:t>Изолированное программное окружение</w:t>
            </w:r>
            <w:r>
              <w:rPr>
                <w:sz w:val="24"/>
                <w:szCs w:val="24"/>
              </w:rPr>
              <w:t>, развернутое на базе физических ресурсов (процессора, памяти, диска) с помощью технологии виртуализации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Виртуальные вычислительные ресурсы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Программные абстракции, которые имитируют физические вычислительные мощности (процессорное время, оперативную память, дисковое пространство, сетевые интерфейсы), но при этом отделены от конкретного аппаратного обеспечения.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«РусГидро»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аппарат ПАО «РусГидро»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безопасность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ЛНД (А)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Локально нормативные документы (Акты) Заказчика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 КЦОПЛ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Программно-аппаратный комплекс Корпоративного центра обнаружения, предупреждения и ликвидации последствий компьютерных атак ПАО «РусГидро»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Программно-аппаратный комплекс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‍</w:t>
            </w:r>
            <w:r>
              <w:rPr>
                <w:sz w:val="24"/>
                <w:szCs w:val="24"/>
              </w:rPr>
              <w:t>Площадка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Филиалы, ИА и ЦОД М9 ПАО «РусГидро»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ПНР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Пусконаладочные работы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ППР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производства работ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40"/>
              <w:widowControl w:val="false"/>
              <w:numPr>
                <w:ilvl w:val="0"/>
                <w:numId w:val="0"/>
              </w:numPr>
              <w:ind w:left="0" w:hanging="0"/>
              <w:rPr/>
            </w:pPr>
            <w:r>
              <w:rPr/>
              <w:t>ПСИ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>
                <w:rStyle w:val="Strong3"/>
                <w:rFonts w:eastAsia="Times New Roman"/>
                <w:b w:val="false"/>
                <w:bCs w:val="false"/>
                <w:color w:val="000000"/>
                <w:lang w:eastAsia="x-none"/>
              </w:rPr>
              <w:t>Приёмо - сдаточные испытания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Style w:val="Style8"/>
                <w:rFonts w:eastAsia="Calibri"/>
                <w:b w:val="false"/>
                <w:i w:val="false"/>
                <w:color w:val="000000"/>
                <w:sz w:val="24"/>
                <w:szCs w:val="24"/>
                <w:shd w:fill="auto" w:val="clear"/>
              </w:rPr>
              <w:t>Работа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Разработка рабочей документации, поставка оборудования, СМР, ПНР по модернизации ПАК КЦОПЛ в части Системы предотвращения утечек информации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СМР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Строительно-монтажные работы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Сервер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Специализированное физическое оборудование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Сервер Системы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Виртуальный сервер, на котором развёрнуты компоненты программного обеспечения Системы предотвращения утечек информации (DLP) 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предотвращения утечек конфиденциальной информации (DLP)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sz w:val="24"/>
                <w:szCs w:val="24"/>
              </w:rPr>
              <w:t>Универсально-передаточный документ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ФСБ России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служба безопасности Российской Федерации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spacing w:before="0" w:after="0"/>
        <w:jc w:val="both"/>
        <w:rPr/>
      </w:pPr>
      <w:bookmarkStart w:id="7" w:name="_Toc224659051"/>
      <w:bookmarkStart w:id="8" w:name="_Toc46743506"/>
      <w:r>
        <w:rPr/>
        <w:t>Наименование закупаемой продукци</w:t>
      </w:r>
      <w:bookmarkEnd w:id="7"/>
      <w:bookmarkEnd w:id="8"/>
      <w:r>
        <w:rPr/>
        <w:t>и</w:t>
      </w:r>
    </w:p>
    <w:p>
      <w:pPr>
        <w:pStyle w:val="Heading4"/>
        <w:numPr>
          <w:ilvl w:val="0"/>
        </w:numPr>
        <w:spacing w:before="0" w:after="0"/>
        <w:ind w:left="0" w:hanging="0"/>
        <w:rPr>
          <w:rFonts w:eastAsia="SimSun"/>
          <w:color w:val="000000"/>
          <w:shd w:fill="FFFF00" w:val="clear"/>
        </w:rPr>
      </w:pPr>
      <w:r>
        <w:rPr>
          <w:rFonts w:eastAsia="SimSun"/>
          <w:color w:val="000000"/>
          <w:shd w:fill="FFFF00" w:val="clear"/>
        </w:rPr>
      </w:r>
    </w:p>
    <w:p>
      <w:pPr>
        <w:pStyle w:val="Normal"/>
        <w:ind w:firstLine="567"/>
        <w:jc w:val="center"/>
        <w:rPr/>
      </w:pPr>
      <w:r>
        <w:rPr>
          <w:rStyle w:val="Strong"/>
          <w:rFonts w:eastAsia="SimSun"/>
          <w:b w:val="false"/>
          <w:bCs w:val="false"/>
          <w:color w:val="000000"/>
          <w:sz w:val="24"/>
          <w:szCs w:val="24"/>
        </w:rPr>
        <w:t xml:space="preserve">ОКПД2 26.20.14.100 </w:t>
      </w:r>
      <w:r>
        <w:rPr>
          <w:rFonts w:eastAsia="SimSun"/>
          <w:sz w:val="24"/>
          <w:szCs w:val="24"/>
        </w:rPr>
        <w:t>Разработка рабочей документации, поставка оборудования, СМР, ПНР по модернизации ПАК КЦОПЛ в части Системы предотвращения утечек информации</w:t>
      </w:r>
      <w:r>
        <w:rPr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jc w:val="both"/>
        <w:rPr/>
      </w:pPr>
      <w:bookmarkStart w:id="9" w:name="__RefHeading___Toc376617_1820824432"/>
      <w:bookmarkStart w:id="10" w:name="_Toc46743507"/>
      <w:bookmarkStart w:id="11" w:name="_Toc224659052"/>
      <w:bookmarkEnd w:id="9"/>
      <w:r>
        <w:rPr/>
        <w:t xml:space="preserve">Цель </w:t>
      </w:r>
      <w:bookmarkEnd w:id="10"/>
      <w:bookmarkEnd w:id="11"/>
      <w:r>
        <w:rPr/>
        <w:t>выполнения Работ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bidi w:val="0"/>
        <w:spacing w:before="0" w:after="0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выполнения Работ является Модернизация и создание распределенной Системы предотвращения утечек информации с единым центром управления, включающую в себя работы по актуализации ПД, разработке РД, поставку оборудования, СМР, ПНР и сдачу в эксплуатацию.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/>
      </w:pPr>
      <w:r>
        <w:rPr>
          <w:sz w:val="24"/>
          <w:szCs w:val="24"/>
        </w:rPr>
        <w:t>В рамках выполнения Работ должны быть решены следующие задачи:</w:t>
      </w:r>
    </w:p>
    <w:p>
      <w:pPr>
        <w:pStyle w:val="Normal"/>
        <w:ind w:firstLine="56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numPr>
          <w:ilvl w:val="0"/>
          <w:numId w:val="8"/>
        </w:numPr>
        <w:spacing w:lineRule="auto" w:line="276" w:before="0" w:after="0"/>
        <w:ind w:left="0" w:firstLine="567"/>
        <w:contextualSpacing/>
        <w:jc w:val="both"/>
        <w:rPr/>
      </w:pPr>
      <w:r>
        <w:rPr>
          <w:rFonts w:eastAsia="Calibri"/>
          <w:bCs/>
          <w:color w:val="000000"/>
          <w:sz w:val="24"/>
          <w:szCs w:val="24"/>
        </w:rPr>
        <w:t>обследование ИТ-инфраструктуры, актуализация технических характеристик оборудования и спецификации программного обеспечения и оборудования для каждой площадки ПАО «РусГидро»;</w:t>
      </w:r>
    </w:p>
    <w:p>
      <w:pPr>
        <w:pStyle w:val="19"/>
        <w:numPr>
          <w:ilvl w:val="0"/>
          <w:numId w:val="8"/>
        </w:numPr>
        <w:tabs>
          <w:tab w:val="clear" w:pos="1134"/>
          <w:tab w:val="left" w:pos="682" w:leader="none"/>
        </w:tabs>
        <w:spacing w:lineRule="auto" w:line="240"/>
        <w:ind w:left="0" w:firstLine="567"/>
        <w:jc w:val="both"/>
        <w:rPr/>
      </w:pPr>
      <w:r>
        <w:rPr>
          <w:rFonts w:eastAsia="Calibri"/>
          <w:bCs/>
          <w:color w:val="000000"/>
          <w:sz w:val="24"/>
          <w:szCs w:val="24"/>
        </w:rPr>
        <w:t>актуализация рабочей документации на Систему;</w:t>
      </w:r>
    </w:p>
    <w:p>
      <w:pPr>
        <w:pStyle w:val="-lst"/>
        <w:numPr>
          <w:ilvl w:val="0"/>
          <w:numId w:val="8"/>
        </w:numPr>
        <w:ind w:left="0" w:firstLine="567"/>
        <w:jc w:val="both"/>
        <w:rPr/>
      </w:pPr>
      <w:r>
        <w:rPr>
          <w:color w:val="000000"/>
        </w:rPr>
        <w:t>поставка оборудования, материально — технических ресурсов;</w:t>
      </w:r>
    </w:p>
    <w:p>
      <w:pPr>
        <w:pStyle w:val="19"/>
        <w:numPr>
          <w:ilvl w:val="0"/>
          <w:numId w:val="8"/>
        </w:numPr>
        <w:tabs>
          <w:tab w:val="clear" w:pos="1134"/>
          <w:tab w:val="left" w:pos="682" w:leader="none"/>
        </w:tabs>
        <w:spacing w:lineRule="auto" w:line="240"/>
        <w:ind w:left="0" w:firstLine="567"/>
        <w:jc w:val="both"/>
        <w:rPr/>
      </w:pPr>
      <w:r>
        <w:rPr>
          <w:color w:val="000000"/>
        </w:rPr>
        <w:t>создание не связанной с существующей распределённой, масштабируемой Системы с модулем централизованного управления;</w:t>
      </w:r>
    </w:p>
    <w:p>
      <w:pPr>
        <w:pStyle w:val="19"/>
        <w:numPr>
          <w:ilvl w:val="0"/>
          <w:numId w:val="8"/>
        </w:numPr>
        <w:tabs>
          <w:tab w:val="clear" w:pos="1134"/>
          <w:tab w:val="left" w:pos="682" w:leader="none"/>
        </w:tabs>
        <w:spacing w:lineRule="auto" w:line="240"/>
        <w:ind w:left="0" w:firstLine="567"/>
        <w:jc w:val="both"/>
        <w:rPr/>
      </w:pPr>
      <w:r>
        <w:rPr>
          <w:color w:val="000000"/>
        </w:rPr>
        <w:t>настройка резервного копирования Системы на имеющемся оборудовании в ИА и на Филиалах, а также на поставляемом оборудовании СХД Заказчика в ЦОД М9;</w:t>
      </w:r>
    </w:p>
    <w:p>
      <w:pPr>
        <w:pStyle w:val="19"/>
        <w:numPr>
          <w:ilvl w:val="0"/>
          <w:numId w:val="8"/>
        </w:numPr>
        <w:tabs>
          <w:tab w:val="clear" w:pos="1134"/>
          <w:tab w:val="left" w:pos="682" w:leader="none"/>
        </w:tabs>
        <w:spacing w:lineRule="auto" w:line="240"/>
        <w:ind w:left="0" w:firstLine="567"/>
        <w:jc w:val="both"/>
        <w:rPr/>
      </w:pPr>
      <w:r>
        <w:rPr>
          <w:color w:val="000000"/>
        </w:rPr>
        <w:t>разработка эксплуатационной и исполнительной документации на Систему;</w:t>
      </w:r>
    </w:p>
    <w:p>
      <w:pPr>
        <w:pStyle w:val="19"/>
        <w:numPr>
          <w:ilvl w:val="0"/>
          <w:numId w:val="8"/>
        </w:numPr>
        <w:tabs>
          <w:tab w:val="clear" w:pos="1134"/>
          <w:tab w:val="left" w:pos="682" w:leader="none"/>
        </w:tabs>
        <w:spacing w:lineRule="auto" w:line="240"/>
        <w:ind w:left="0" w:firstLine="567"/>
        <w:jc w:val="both"/>
        <w:rPr/>
      </w:pPr>
      <w:r>
        <w:rPr>
          <w:color w:val="000000"/>
        </w:rPr>
        <w:t>проведение приемо - сдаточных испытаний Системы с последующим вводом в опытную и в промышленную эксплуатацию.</w:t>
      </w:r>
    </w:p>
    <w:p>
      <w:pPr>
        <w:pStyle w:val="19"/>
        <w:widowControl/>
        <w:numPr>
          <w:ilvl w:val="0"/>
          <w:numId w:val="0"/>
        </w:numPr>
        <w:tabs>
          <w:tab w:val="clear" w:pos="1134"/>
          <w:tab w:val="left" w:pos="682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/>
      </w:r>
    </w:p>
    <w:p>
      <w:pPr>
        <w:pStyle w:val="Heading4"/>
        <w:numPr>
          <w:ilvl w:val="1"/>
          <w:numId w:val="3"/>
        </w:numPr>
        <w:spacing w:before="0" w:after="0"/>
        <w:jc w:val="both"/>
        <w:rPr/>
      </w:pPr>
      <w:bookmarkStart w:id="12" w:name="_Toc224659053"/>
      <w:bookmarkStart w:id="13" w:name="_Toc46743508"/>
      <w:r>
        <w:rPr/>
        <w:t>Существующее положение</w:t>
      </w:r>
      <w:bookmarkEnd w:id="12"/>
      <w:bookmarkEnd w:id="13"/>
    </w:p>
    <w:p>
      <w:pPr>
        <w:pStyle w:val="Normal"/>
        <w:widowControl/>
        <w:suppressAutoHyphens w:val="true"/>
        <w:bidi w:val="0"/>
        <w:spacing w:before="0" w:after="0"/>
        <w:ind w:left="0" w:right="0" w:firstLine="567"/>
        <w:jc w:val="left"/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</w:r>
    </w:p>
    <w:p>
      <w:pPr>
        <w:pStyle w:val="Normal"/>
        <w:ind w:firstLine="567"/>
        <w:jc w:val="both"/>
        <w:rPr/>
      </w:pPr>
      <w:r>
        <w:rPr>
          <w:sz w:val="24"/>
          <w:szCs w:val="24"/>
        </w:rPr>
        <w:t>В настоящее время у Заказчика развернута Система предотвращения утечек конфиденциальной информации и существуют следующие проблемы в эксплуатации:</w:t>
      </w:r>
    </w:p>
    <w:p>
      <w:pPr>
        <w:pStyle w:val="19"/>
        <w:numPr>
          <w:ilvl w:val="0"/>
          <w:numId w:val="8"/>
        </w:numPr>
        <w:tabs>
          <w:tab w:val="clear" w:pos="1134"/>
          <w:tab w:val="left" w:pos="682" w:leader="none"/>
        </w:tabs>
        <w:spacing w:lineRule="auto" w:line="240"/>
        <w:ind w:left="0" w:firstLine="567"/>
        <w:rPr/>
      </w:pPr>
      <w:r>
        <w:rPr/>
        <w:t>текущее состояние вычислительных ресурсов не позволяет в полной мере обеспечивать растущую нагрузку на инфраструктуру и объемы обрабатываемых данных, в том числе почтовый трафик ИА, Филиалов;</w:t>
      </w:r>
    </w:p>
    <w:p>
      <w:pPr>
        <w:pStyle w:val="19"/>
        <w:numPr>
          <w:ilvl w:val="0"/>
          <w:numId w:val="8"/>
        </w:numPr>
        <w:tabs>
          <w:tab w:val="clear" w:pos="1134"/>
          <w:tab w:val="left" w:pos="682" w:leader="none"/>
        </w:tabs>
        <w:spacing w:lineRule="auto" w:line="240"/>
        <w:ind w:left="0" w:firstLine="567"/>
        <w:rPr/>
      </w:pPr>
      <w:r>
        <w:rPr/>
        <w:t>текущих ресурсов файловых хранилищ недостаточно для хранения и обработки событий информационной безопасности с глубиной хранения полгода, что ограничивает возможность долгосрочного анализа инцидентов и их корреляции, а также нет возможности резервного копирования управляющего Сервера Системы в следствии большого объёма накапливаемых на нём данных;</w:t>
      </w:r>
    </w:p>
    <w:p>
      <w:pPr>
        <w:pStyle w:val="19"/>
        <w:numPr>
          <w:ilvl w:val="0"/>
          <w:numId w:val="8"/>
        </w:numPr>
        <w:tabs>
          <w:tab w:val="clear" w:pos="1134"/>
          <w:tab w:val="left" w:pos="682" w:leader="none"/>
        </w:tabs>
        <w:spacing w:lineRule="auto" w:line="240"/>
        <w:ind w:left="0" w:firstLine="567"/>
        <w:rPr/>
      </w:pPr>
      <w:r>
        <w:rPr/>
        <w:t>архитектура эксплуатируемого ПО Системы не учитывает пропускную способность каналов связи между ИА, Филиалами.</w:t>
      </w:r>
    </w:p>
    <w:p>
      <w:pPr>
        <w:pStyle w:val="19"/>
        <w:numPr>
          <w:ilvl w:val="0"/>
          <w:numId w:val="0"/>
        </w:numPr>
        <w:tabs>
          <w:tab w:val="clear" w:pos="1134"/>
          <w:tab w:val="left" w:pos="682" w:leader="none"/>
        </w:tabs>
        <w:spacing w:lineRule="auto" w:line="240"/>
        <w:ind w:left="0" w:firstLine="567"/>
        <w:rPr/>
      </w:pPr>
      <w:r>
        <w:rPr/>
        <w:t xml:space="preserve">В связи с данными проблемами необходимо актуализировать расчет ресурсов и  спецификацию (приложение №1), произвести поставку необходимого оборудования, </w:t>
      </w:r>
      <w:r>
        <w:rPr>
          <w:rFonts w:eastAsia="SimSun"/>
          <w:color w:val="000000"/>
        </w:rPr>
        <w:t>СМР, ПНР, разработку рабочей документации, провести ПСИ Системы с последующим ввод</w:t>
      </w:r>
      <w:r>
        <w:rPr>
          <w:rFonts w:eastAsia="SimSun"/>
        </w:rPr>
        <w:t>ом в опытную и промышленную эксплуатацию.</w:t>
      </w:r>
    </w:p>
    <w:p>
      <w:pPr>
        <w:pStyle w:val="19"/>
        <w:numPr>
          <w:ilvl w:val="0"/>
          <w:numId w:val="0"/>
        </w:numPr>
        <w:tabs>
          <w:tab w:val="clear" w:pos="1134"/>
          <w:tab w:val="left" w:pos="682" w:leader="none"/>
        </w:tabs>
        <w:spacing w:lineRule="auto" w:line="240"/>
        <w:ind w:left="0" w:firstLine="567"/>
        <w:rPr/>
      </w:pPr>
      <w:r>
        <w:rPr/>
        <w:t>Дополнительное оборудование выявленное на этапе обследования должно быть поставлено Подрядчиком в рамках договора без взимания дополнительной платы.</w:t>
      </w:r>
    </w:p>
    <w:p>
      <w:pPr>
        <w:pStyle w:val="Lst"/>
        <w:numPr>
          <w:ilvl w:val="0"/>
          <w:numId w:val="0"/>
        </w:numPr>
        <w:spacing w:before="0" w:after="0"/>
        <w:ind w:left="0" w:hanging="0"/>
        <w:contextualSpacing w:val="false"/>
        <w:rPr/>
      </w:pPr>
      <w:r>
        <w:rPr/>
      </w:r>
    </w:p>
    <w:p>
      <w:pPr>
        <w:pStyle w:val="Lst"/>
        <w:numPr>
          <w:ilvl w:val="0"/>
          <w:numId w:val="0"/>
        </w:numPr>
        <w:spacing w:before="0" w:after="0"/>
        <w:ind w:left="0" w:hanging="0"/>
        <w:contextualSpacing w:val="false"/>
        <w:rPr/>
      </w:pPr>
      <w:r>
        <w:rPr/>
      </w:r>
    </w:p>
    <w:p>
      <w:pPr>
        <w:pStyle w:val="Lst"/>
        <w:numPr>
          <w:ilvl w:val="0"/>
          <w:numId w:val="0"/>
        </w:numPr>
        <w:spacing w:before="0" w:after="0"/>
        <w:ind w:left="0" w:hanging="0"/>
        <w:contextualSpacing w:val="false"/>
        <w:rPr/>
      </w:pPr>
      <w:r>
        <w:rPr/>
      </w:r>
    </w:p>
    <w:p>
      <w:pPr>
        <w:pStyle w:val="Lst"/>
        <w:numPr>
          <w:ilvl w:val="0"/>
          <w:numId w:val="0"/>
        </w:numPr>
        <w:spacing w:before="0" w:after="0"/>
        <w:ind w:left="0" w:hanging="0"/>
        <w:contextualSpacing w:val="false"/>
        <w:rPr/>
      </w:pPr>
      <w:r>
        <w:rPr/>
      </w:r>
    </w:p>
    <w:p>
      <w:pPr>
        <w:pStyle w:val="Tn"/>
        <w:spacing w:lineRule="auto" w:line="276" w:before="0" w:after="0"/>
        <w:jc w:val="left"/>
        <w:rPr/>
      </w:pPr>
      <w:r>
        <w:rPr>
          <w:b/>
          <w:bCs/>
        </w:rPr>
        <w:t>Таблица 1. Перечень объектов заказчика</w:t>
      </w:r>
    </w:p>
    <w:tbl>
      <w:tblPr>
        <w:tblW w:w="992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93"/>
        <w:gridCol w:w="2614"/>
        <w:gridCol w:w="1975"/>
        <w:gridCol w:w="2822"/>
        <w:gridCol w:w="1721"/>
      </w:tblGrid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Расположение объекта </w:t>
            </w:r>
            <w:r>
              <w:rPr/>
              <w:br/>
            </w:r>
            <w:r>
              <w:rPr>
                <w:b/>
                <w:b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основного средства </w:t>
            </w:r>
            <w:r>
              <w:rPr/>
              <w:br/>
            </w:r>
            <w:r>
              <w:rPr>
                <w:b/>
                <w:bCs/>
                <w:sz w:val="24"/>
                <w:szCs w:val="24"/>
              </w:rPr>
              <w:t>(в отношении которого выполняются работы)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lineRule="auto" w:line="276"/>
              <w:rPr/>
            </w:pPr>
            <w:r>
              <w:rPr/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/>
              <w:ind w:left="360" w:hanging="0"/>
              <w:rPr/>
            </w:pPr>
            <w:r>
              <w:rPr/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Программно-аппаратный комплекс Корпоративного центра обнаружения, предупреждения и ликвидации последствий компьютерных атак Исполнительный аппарат ПАО «РусГидро»,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Центр обработки данных (ЦОД М9)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117485, Российская Федерация, г. Москва, ул. Бутлерова, д. 7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Программно-аппаратный комплекс Корпоративного центра обнаружения, предупреждения и ликвидации последствий компьютерных атак ПАО «РусГидро» (инв. 10104010000000850000)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0"/>
        </w:numPr>
        <w:spacing w:lineRule="auto" w:line="276" w:before="0" w:after="0"/>
        <w:ind w:left="0" w:hanging="0"/>
        <w:rPr>
          <w:rFonts w:eastAsia="SimSun"/>
          <w:lang w:val="ru-RU" w:eastAsia="ru-RU"/>
        </w:rPr>
      </w:pPr>
      <w:r>
        <w:rPr>
          <w:rFonts w:eastAsia="SimSun"/>
          <w:lang w:val="ru-RU" w:eastAsia="ru-RU"/>
        </w:rPr>
      </w:r>
    </w:p>
    <w:p>
      <w:pPr>
        <w:pStyle w:val="Heading4"/>
        <w:numPr>
          <w:ilvl w:val="1"/>
          <w:numId w:val="3"/>
        </w:numPr>
        <w:spacing w:before="0" w:after="0"/>
        <w:jc w:val="both"/>
        <w:rPr/>
      </w:pPr>
      <w:bookmarkStart w:id="14" w:name="__RefHeading___Toc376623_1820824432"/>
      <w:bookmarkStart w:id="15" w:name="_Toc224659145"/>
      <w:bookmarkStart w:id="16" w:name="_Hlk49857604"/>
      <w:bookmarkStart w:id="17" w:name="_Toc224659144_Копия_1"/>
      <w:bookmarkStart w:id="18" w:name="_Toc46743509"/>
      <w:bookmarkEnd w:id="14"/>
      <w:bookmarkEnd w:id="17"/>
      <w:r>
        <w:rPr/>
        <w:t xml:space="preserve">Информация в отношении исполнения договора, </w:t>
      </w:r>
      <w:bookmarkStart w:id="19" w:name="_Hlk46492347"/>
      <w:r>
        <w:rPr/>
        <w:t xml:space="preserve">которая должна быть учтена при подготовке заявки </w:t>
      </w:r>
      <w:bookmarkEnd w:id="19"/>
      <w:r>
        <w:rPr/>
        <w:t xml:space="preserve">(в том числе перечень ресурсов, Работ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5"/>
      <w:bookmarkEnd w:id="16"/>
      <w:bookmarkEnd w:id="18"/>
      <w:r>
        <w:rPr>
          <w:lang w:val="ru-RU"/>
        </w:rPr>
        <w:t xml:space="preserve">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567"/>
        <w:jc w:val="both"/>
        <w:rPr>
          <w:sz w:val="24"/>
          <w:szCs w:val="24"/>
        </w:rPr>
      </w:pPr>
      <w:r>
        <w:rPr>
          <w:iCs/>
          <w:sz w:val="24"/>
          <w:szCs w:val="24"/>
          <w:lang w:eastAsia="x-none"/>
        </w:rPr>
        <w:t>Заказчик обеспечивает рабочее место для сотрудников Подрядчика на площадках с возможностью подключения к КСПД ПАО «РусГидро» на период проведения работ.</w:t>
      </w:r>
    </w:p>
    <w:p>
      <w:pPr>
        <w:pStyle w:val="Style39"/>
        <w:spacing w:lineRule="auto" w:line="276" w:before="0" w:after="0"/>
        <w:ind w:left="0" w:firstLine="567"/>
        <w:rPr/>
      </w:pPr>
      <w:r>
        <w:rPr>
          <w:iCs/>
          <w:lang w:eastAsia="x-none"/>
        </w:rPr>
        <w:t>На площадках для специалиста Подрядчика организуется рабочее место. Рабочее место подключается к локальной вычислительной сети площадки, для проведения работ по созданию Системы. На рабочем месте должен быть организован выход в сеть Интернет.</w:t>
      </w:r>
    </w:p>
    <w:p>
      <w:pPr>
        <w:pStyle w:val="Style39"/>
        <w:spacing w:lineRule="auto" w:line="276" w:before="0" w:after="0"/>
        <w:ind w:left="0" w:firstLine="567"/>
        <w:rPr/>
      </w:pPr>
      <w:r>
        <w:rPr>
          <w:iCs/>
          <w:lang w:eastAsia="x-none"/>
        </w:rPr>
        <w:t xml:space="preserve">Сервера </w:t>
      </w:r>
      <w:r>
        <w:rPr>
          <w:iCs/>
          <w:spacing w:val="-2"/>
          <w:lang w:eastAsia="x-none"/>
        </w:rPr>
        <w:t xml:space="preserve">Системы </w:t>
      </w:r>
      <w:r>
        <w:rPr>
          <w:iCs/>
          <w:lang w:eastAsia="x-none"/>
        </w:rPr>
        <w:t>являются виртуальными. Размещение и подключение оборудования, обеспечивающего функционирование виртуальной среды, выполняется Подрядчиком.</w:t>
      </w:r>
    </w:p>
    <w:p>
      <w:pPr>
        <w:pStyle w:val="Style39"/>
        <w:spacing w:lineRule="auto" w:line="276" w:before="0" w:after="0"/>
        <w:ind w:left="0" w:firstLine="567"/>
        <w:rPr/>
      </w:pPr>
      <w:r>
        <w:rPr/>
        <w:t>ПО и лицензии необходимые для проведения Работ Подрядчиком предоставляются Заказчиком.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/>
      </w:pPr>
      <w:r>
        <w:rPr>
          <w:iCs/>
          <w:sz w:val="24"/>
          <w:szCs w:val="24"/>
        </w:rPr>
        <w:t>Заказчик в ходе исполнения обязательств по договору:</w:t>
      </w:r>
    </w:p>
    <w:p>
      <w:pPr>
        <w:pStyle w:val="ListParagraph"/>
        <w:widowControl w:val="false"/>
        <w:numPr>
          <w:ilvl w:val="0"/>
          <w:numId w:val="9"/>
        </w:numPr>
        <w:tabs>
          <w:tab w:val="clear" w:pos="708"/>
          <w:tab w:val="left" w:pos="426" w:leader="none"/>
        </w:tabs>
        <w:spacing w:before="0" w:after="0"/>
        <w:ind w:left="0" w:firstLine="567"/>
        <w:contextualSpacing w:val="false"/>
        <w:jc w:val="both"/>
        <w:rPr/>
      </w:pPr>
      <w:r>
        <w:rPr>
          <w:iCs/>
          <w:color w:val="000000"/>
        </w:rPr>
        <w:t xml:space="preserve">обязуется обеспечить своевременное предоставление полных и достоверных данных, сканированных копий документов, заполненных анкет, схем и конфигураций Системы по запросу </w:t>
      </w:r>
      <w:r>
        <w:rPr>
          <w:iCs/>
          <w:color w:val="000000"/>
          <w:lang w:eastAsia="x-none"/>
        </w:rPr>
        <w:t>Подрядчика</w:t>
      </w:r>
      <w:r>
        <w:rPr>
          <w:iCs/>
          <w:color w:val="000000"/>
        </w:rPr>
        <w:t>, а также организацию онлайн-интервью с ответственными сотрудниками.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ind w:left="778" w:hanging="0"/>
        <w:jc w:val="both"/>
        <w:rPr>
          <w:iCs/>
        </w:rPr>
      </w:pPr>
      <w:r>
        <w:rPr>
          <w:iCs/>
        </w:rPr>
      </w:r>
    </w:p>
    <w:p>
      <w:pPr>
        <w:pStyle w:val="Heading1"/>
        <w:keepLines/>
        <w:numPr>
          <w:ilvl w:val="0"/>
          <w:numId w:val="3"/>
        </w:numPr>
        <w:spacing w:before="0" w:after="0"/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20" w:name="__RefHeading___Toc376627_1820824432"/>
      <w:bookmarkStart w:id="21" w:name="_Toc224659147"/>
      <w:bookmarkStart w:id="22" w:name="_Toc51339693"/>
      <w:bookmarkEnd w:id="20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продукции</w:t>
      </w:r>
      <w:bookmarkEnd w:id="21"/>
      <w:bookmarkEnd w:id="22"/>
    </w:p>
    <w:p>
      <w:pPr>
        <w:pStyle w:val="Heading4"/>
        <w:numPr>
          <w:ilvl w:val="1"/>
          <w:numId w:val="3"/>
        </w:numPr>
        <w:spacing w:before="0" w:after="0"/>
        <w:ind w:left="0" w:hanging="0"/>
        <w:rPr/>
      </w:pPr>
      <w:bookmarkStart w:id="23" w:name="__RefHeading___Toc376629_1820824432"/>
      <w:bookmarkStart w:id="24" w:name="_Toc224659148"/>
      <w:bookmarkEnd w:id="23"/>
      <w:r>
        <w:rPr/>
        <w:t xml:space="preserve">Требования к объемам и срокам </w:t>
      </w:r>
      <w:bookmarkEnd w:id="24"/>
      <w:r>
        <w:rPr>
          <w:lang w:val="ru-RU"/>
        </w:rPr>
        <w:t>выполнения Работ</w:t>
      </w:r>
    </w:p>
    <w:p>
      <w:pPr>
        <w:pStyle w:val="Heading3"/>
        <w:numPr>
          <w:ilvl w:val="2"/>
          <w:numId w:val="3"/>
        </w:numPr>
        <w:spacing w:before="0" w:after="0"/>
        <w:ind w:left="0" w:hanging="0"/>
        <w:rPr/>
      </w:pPr>
      <w:bookmarkStart w:id="25" w:name="__RefHeading___Toc376631_1820824432"/>
      <w:bookmarkStart w:id="26" w:name="_Toc224659149"/>
      <w:bookmarkEnd w:id="25"/>
      <w:r>
        <w:rPr>
          <w:lang w:val="ru-RU"/>
        </w:rPr>
        <w:t xml:space="preserve">Требования к перечню и объему </w:t>
      </w:r>
      <w:bookmarkEnd w:id="26"/>
      <w:r>
        <w:rPr>
          <w:lang w:val="ru-RU"/>
        </w:rPr>
        <w:t>Работ</w:t>
      </w:r>
    </w:p>
    <w:p>
      <w:pPr>
        <w:pStyle w:val="Normal"/>
        <w:jc w:val="both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Работы оказываются в отношении территориально — распределенной инфраструктуры Заказчика, размещенной на 20 площадках, указанных в Таблице 2.</w:t>
      </w:r>
    </w:p>
    <w:p>
      <w:pPr>
        <w:pStyle w:val="Normal"/>
        <w:jc w:val="both"/>
        <w:rPr/>
      </w:pPr>
      <w:r>
        <w:rPr/>
      </w:r>
    </w:p>
    <w:p>
      <w:pPr>
        <w:pStyle w:val="Tn"/>
        <w:spacing w:before="0" w:after="0"/>
        <w:jc w:val="both"/>
        <w:rPr>
          <w:b/>
          <w:bCs/>
        </w:rPr>
      </w:pPr>
      <w:bookmarkStart w:id="27" w:name="_Ref229755129"/>
      <w:r>
        <w:rPr>
          <w:rFonts w:eastAsia="Calibri"/>
          <w:b/>
          <w:bCs/>
          <w:iCs/>
          <w:szCs w:val="24"/>
        </w:rPr>
        <w:t xml:space="preserve">Таблица </w:t>
      </w:r>
      <w:bookmarkEnd w:id="27"/>
      <w:r>
        <w:rPr>
          <w:rFonts w:eastAsia="Calibri"/>
          <w:b/>
          <w:bCs/>
          <w:iCs/>
          <w:szCs w:val="24"/>
        </w:rPr>
        <w:t>2. Площадки ПАО «РусГидро» в контуре работ</w:t>
      </w:r>
    </w:p>
    <w:tbl>
      <w:tblPr>
        <w:tblW w:w="9873" w:type="dxa"/>
        <w:jc w:val="left"/>
        <w:tblInd w:w="226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82"/>
        <w:gridCol w:w="3447"/>
        <w:gridCol w:w="5744"/>
      </w:tblGrid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h"/>
              <w:widowControl w:val="false"/>
              <w:spacing w:before="0" w:after="0"/>
              <w:ind w:right="113" w:hanging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eastAsia="en-US"/>
              </w:rPr>
              <w:t xml:space="preserve">№ </w:t>
            </w:r>
            <w:r>
              <w:rPr>
                <w:rFonts w:eastAsia="Aptos"/>
                <w:kern w:val="2"/>
                <w:lang w:eastAsia="en-US"/>
              </w:rPr>
              <w:t>п/п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h"/>
              <w:widowControl w:val="false"/>
              <w:spacing w:before="0" w:after="0"/>
              <w:ind w:left="170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Подразделения Заказчика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h"/>
              <w:widowControl w:val="false"/>
              <w:spacing w:before="0" w:after="0"/>
              <w:ind w:left="170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Место размещения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h"/>
              <w:widowControl w:val="false"/>
              <w:spacing w:before="0" w:after="0"/>
              <w:ind w:right="113" w:hanging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eastAsia="en-US"/>
              </w:rPr>
              <w:t>1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h"/>
              <w:widowControl w:val="false"/>
              <w:spacing w:before="0" w:after="0"/>
              <w:ind w:left="778" w:hanging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eastAsia="en-US"/>
              </w:rPr>
              <w:t>2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h"/>
              <w:widowControl w:val="false"/>
              <w:spacing w:before="0" w:after="0"/>
              <w:ind w:left="778" w:hanging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eastAsia="en-US"/>
              </w:rPr>
              <w:t>3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110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91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h"/>
              <w:widowControl w:val="false"/>
              <w:spacing w:before="0" w:after="0"/>
              <w:ind w:left="57" w:right="227" w:hanging="0"/>
              <w:contextualSpacing/>
              <w:rPr>
                <w:rFonts w:eastAsia="Aptos"/>
              </w:rPr>
            </w:pPr>
            <w:r>
              <w:rPr>
                <w:rFonts w:eastAsia="Aptos"/>
                <w:kern w:val="2"/>
                <w:lang w:eastAsia="en-US"/>
              </w:rPr>
              <w:t>ПАО «РусГидро»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1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Исполнительный аппарат ПАО «РусГидро»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660049, г. Красноярск, ул. Перенсона, д. 2а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2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Центр обработки данных M9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117485, г. Москва, ул. Бутлерова, д.7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110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rPr>
                <w:rFonts w:eastAsia="Aptos"/>
              </w:rPr>
            </w:pPr>
            <w:r>
              <w:rPr>
                <w:rFonts w:eastAsia="Aptos"/>
              </w:rPr>
            </w:r>
          </w:p>
        </w:tc>
        <w:tc>
          <w:tcPr>
            <w:tcW w:w="91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Th"/>
              <w:widowControl w:val="false"/>
              <w:spacing w:before="0" w:after="0"/>
              <w:ind w:left="57" w:right="227" w:hanging="0"/>
              <w:contextualSpacing/>
              <w:rPr>
                <w:b w:val="false"/>
              </w:rPr>
            </w:pPr>
            <w:r>
              <w:rPr>
                <w:rFonts w:eastAsia="Aptos"/>
                <w:kern w:val="2"/>
                <w:lang w:eastAsia="en-US"/>
              </w:rPr>
              <w:t>Филиалы ПАО «РусГидро»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3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Филиал ПАО «РусГидро» - «Бурейская ГЭС»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righ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676730, Российская Федерация, Амурская область, Бурейский район, п. Талакан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4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Филиал ПАО «РусГидро» - «Воткинская ГЭС»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righ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617760, Российская Федерация, Пермский край, г.о. Чайковский, г. Чайковский, тер. Воткинской ГЭС д. 1/2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5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Филиал ПАО «РусГидро» - «Дагестанский филиал»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righ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368300, Российская Федерация, Республика Дагестан, г. Каспийск, ул. М. Халилова, д. 5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6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Филиал ПАО «РусГидро» - «Жигулевская ГЭС»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righ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445350, Российская Федерация, Самарская область, г. Жигулевск, Московское шоссе, 2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7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Филиал ПАО «РусГидро» - «Загорская ГАЭС»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righ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141342, Российская Федерация, Московская область, Сергиево-Посадский городской округ, рп. Богородское, д. 100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8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Филиал ПАО «РусГидро» - «Зейская ГЭС»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righ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676244, Российская Федерация, Амурская область, г. Зея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9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Филиал ПАО  «РусГидро» - «Камская ГЭС»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righ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614030, Российская Федерация, г. Пермь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10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Филиал ПАО «РусГидро» - «Каскад Верхневолжских ГЭС»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righ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152917, Российская Федерация, Ярославская область, г. Рыбинск, ул. Вяземского, 31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11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Филиал ПАО «РусГидро» - «Каскад Кубанских ГЭС»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righ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357115, Российская Федерация, Ставропольский край, г. Невинномысск, ул. Водопроводная, д. 360а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12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Филиал ПАО  «РусГидро» - «Нижегородская ГЭС»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righ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606520, Российская Федерация, Нижегородская область, г. Заволжье, ул. Привокзальная, д. 14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13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Филиал ПАО «РусГидро» - «Новосибирская ГЭС»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righ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630056, Российская Федерация, г. Новосибирск, ул. Новоморская, д. 4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14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Филиал ПАО «РусГидро» - «Чебоксарская ГЭС»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righ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429954, Российская Федерация, Чувашская Республика, г. Новочебоксарск, ул. Набережная, д. 34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15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Филиал ПАО «РусГидро» - «Волжская ГЭС»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righ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404130, Российская Федерация, Волгоградская область, г. Волжский, пр-т Ленина, д. 1а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16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Филиал ПАО «РусГидро» - «Карачаево-Черкесский филиал»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righ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369244, Российская Федерация, Карачаево-Черкесская Республика, Карачаевский район п. Правокубанский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17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Филиал ПАО «РусГидро» - «Северо-Осетинский филиал»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righ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362049, Российская Федерация, Республика Северная Осетия-Алания, г. Владикавказ, ул. Васо Абаева, д. 63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18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Филиал ПАО «РусГидро» - «Кабардино-Балкарский филиал»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righ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360024, Российская Федерация, Кабардино-Балкарская Республика, г. Нальчик, а/я 9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19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Филиал ПАО «РусГидро» - «Саратовская ГЭС»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righ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413865, Российская Федерация, Саратовская область, г. Балаково-25, а/я 21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111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rPr>
                <w:rFonts w:eastAsia="Aptos"/>
              </w:rPr>
            </w:pPr>
            <w:r>
              <w:rPr>
                <w:rFonts w:eastAsia="Aptos"/>
              </w:rPr>
              <w:t>20</w:t>
            </w: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Филиал ПАО «РусГидро» - «Саяно-Шушенская ГЭС им. П.С. Непорожнего»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l"/>
              <w:widowControl w:val="false"/>
              <w:spacing w:before="0" w:after="0"/>
              <w:ind w:left="57" w:right="57" w:hanging="0"/>
              <w:contextualSpacing/>
              <w:rPr/>
            </w:pPr>
            <w:r>
              <w:rPr>
                <w:rFonts w:eastAsia="Aptos"/>
                <w:kern w:val="2"/>
                <w:lang w:eastAsia="en-US"/>
              </w:rPr>
              <w:t>655619, Российская Федерация, Республика Хакасия, г. Саяногорск, п. Черемушки</w:t>
            </w:r>
          </w:p>
        </w:tc>
      </w:tr>
    </w:tbl>
    <w:p>
      <w:pPr>
        <w:pStyle w:val="Style39"/>
        <w:spacing w:lineRule="auto" w:line="240"/>
        <w:ind w:left="0" w:firstLine="624"/>
        <w:rPr/>
      </w:pPr>
      <w:r>
        <w:rPr/>
        <w:t>На площадке «Обособленное подразделение Нижне - Бурейская ГЭС» не требуется размещение серверных компонентов.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/>
      </w:pPr>
      <w:bookmarkStart w:id="28" w:name="__RefHeading___Toc376633_1820824432_Копи"/>
      <w:bookmarkStart w:id="29" w:name="_Toc224659150_Копия_1"/>
      <w:bookmarkStart w:id="30" w:name="_Toc51339695_Копия_1"/>
      <w:bookmarkEnd w:id="28"/>
      <w:r>
        <w:rPr>
          <w:sz w:val="24"/>
          <w:szCs w:val="24"/>
        </w:rPr>
        <w:t>Таблица 3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0"/>
      <w:r>
        <w:rPr>
          <w:sz w:val="24"/>
          <w:szCs w:val="24"/>
          <w:lang w:val="ru-RU"/>
        </w:rPr>
        <w:t xml:space="preserve">и объем </w:t>
      </w:r>
      <w:bookmarkEnd w:id="29"/>
      <w:r>
        <w:rPr>
          <w:sz w:val="24"/>
          <w:szCs w:val="24"/>
          <w:lang w:val="ru-RU"/>
        </w:rPr>
        <w:t>выполняемых Работ</w:t>
      </w:r>
    </w:p>
    <w:tbl>
      <w:tblPr>
        <w:tblW w:w="9938" w:type="dxa"/>
        <w:jc w:val="left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62"/>
        <w:gridCol w:w="4926"/>
        <w:gridCol w:w="1999"/>
        <w:gridCol w:w="2050"/>
      </w:tblGrid>
      <w:tr>
        <w:trPr>
          <w:tblHeader w:val="true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4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Обследование ИТ - инфраструктуры, актуализация технических характеристик и спецификации программного обеспечения и оборудования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Площадки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4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 w:val="false"/>
              <w:rPr/>
            </w:pPr>
            <w:r>
              <w:rPr>
                <w:rFonts w:eastAsia="Times New Roman"/>
              </w:rPr>
              <w:t>Актуализация плана производства работ по модернизации ПАК КЦОПЛ в части Системы предотвращения утечек конфиденциальной информации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4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 w:val="false"/>
              <w:rPr/>
            </w:pPr>
            <w:r>
              <w:rPr/>
              <w:t>Поставка оборудования на площадки Заказчика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Площадки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4</w:t>
            </w:r>
          </w:p>
        </w:tc>
        <w:tc>
          <w:tcPr>
            <w:tcW w:w="4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модернизации ПАК КЦОПЛ в части Системы предотвращения утечек конфиденциальной информации 1 (первой) очереди (п.2.1.3 таблицы 6)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Площадки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5</w:t>
            </w:r>
          </w:p>
        </w:tc>
        <w:tc>
          <w:tcPr>
            <w:tcW w:w="4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модернизации ПАК КЦОПЛ в части Системы предотвращения утечек конфиденциальной информации 2 (второй) очереди (п.2.1.3 таблицы 6)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 w:bidi="ar-SA"/>
              </w:rPr>
              <w:t>Площадки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6</w:t>
            </w:r>
          </w:p>
        </w:tc>
        <w:tc>
          <w:tcPr>
            <w:tcW w:w="4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Fonts w:eastAsia="Calibri"/>
                <w:sz w:val="24"/>
                <w:szCs w:val="24"/>
              </w:rPr>
              <w:t>Разработка рабочей, эксплуатационной и исполнительной документации на</w:t>
            </w:r>
            <w:r>
              <w:rPr>
                <w:rFonts w:eastAsia="SimSun"/>
                <w:color w:val="000000"/>
                <w:sz w:val="24"/>
                <w:szCs w:val="24"/>
              </w:rPr>
              <w:t xml:space="preserve"> Систему предотвращения утечек конфиденциальной информации 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7</w:t>
            </w:r>
          </w:p>
        </w:tc>
        <w:tc>
          <w:tcPr>
            <w:tcW w:w="4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 w:val="false"/>
              <w:rPr/>
            </w:pPr>
            <w:r>
              <w:rPr>
                <w:rFonts w:eastAsia="SimSun"/>
              </w:rPr>
              <w:t>ПСИ Системы с последующим вводом в опытную и промышленную эксплуатацию модернизируемого ПАК КЦОПЛ в части системы предотвращения утечек конфиденциальной информации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1"/>
        <w:numPr>
          <w:ilvl w:val="0"/>
          <w:numId w:val="0"/>
        </w:numPr>
        <w:spacing w:before="0" w:after="0"/>
        <w:ind w:left="0" w:hanging="0"/>
        <w:rPr>
          <w:sz w:val="24"/>
          <w:szCs w:val="24"/>
          <w:lang w:val="ru-RU"/>
        </w:rPr>
      </w:pPr>
      <w:bookmarkStart w:id="31" w:name="__RefHeading___Toc376637_1820824432_Копи"/>
      <w:bookmarkEnd w:id="31"/>
      <w:r>
        <w:rPr>
          <w:color w:val="000000"/>
          <w:sz w:val="24"/>
          <w:szCs w:val="24"/>
        </w:rPr>
        <w:t xml:space="preserve">Таблица </w:t>
      </w:r>
      <w:r>
        <w:rPr>
          <w:color w:val="000000"/>
          <w:sz w:val="24"/>
          <w:szCs w:val="24"/>
          <w:lang w:val="ru-RU"/>
        </w:rPr>
        <w:t>4</w:t>
      </w:r>
      <w:r>
        <w:rPr>
          <w:color w:val="000000"/>
          <w:sz w:val="24"/>
          <w:szCs w:val="24"/>
        </w:rPr>
        <w:t xml:space="preserve">. </w:t>
      </w:r>
      <w:r>
        <w:rPr>
          <w:bCs/>
          <w:color w:val="000000"/>
          <w:sz w:val="24"/>
          <w:szCs w:val="24"/>
        </w:rPr>
        <w:t>Перечень и объем закупаемых МТР</w:t>
      </w:r>
    </w:p>
    <w:tbl>
      <w:tblPr>
        <w:tblW w:w="9923" w:type="dxa"/>
        <w:jc w:val="left"/>
        <w:tblInd w:w="221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4a0" w:noHBand="0" w:noVBand="1" w:firstColumn="1" w:lastRow="0" w:lastColumn="0" w:firstRow="1"/>
      </w:tblPr>
      <w:tblGrid>
        <w:gridCol w:w="854"/>
        <w:gridCol w:w="6160"/>
        <w:gridCol w:w="1399"/>
        <w:gridCol w:w="1509"/>
      </w:tblGrid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b/>
                <w:bCs/>
                <w:color w:val="000000"/>
              </w:rPr>
              <w:t xml:space="preserve">№ </w:t>
            </w:r>
            <w:r>
              <w:rPr>
                <w:b/>
                <w:color w:val="000000"/>
                <w:sz w:val="24"/>
              </w:rPr>
              <w:t>п/п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Наименование работ / этапа работ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Единица измерения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Количество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both"/>
              <w:rPr/>
            </w:pPr>
            <w:r>
              <w:rPr/>
              <w:t>Сервер №1 для виртуальных вычислительных ресурсов серверов Системы</w:t>
            </w:r>
            <w:r>
              <w:rPr>
                <w:rFonts w:eastAsia="Calibri"/>
              </w:rPr>
              <w:t xml:space="preserve"> с графическим ядром в ЦОД М9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both"/>
              <w:rPr/>
            </w:pPr>
            <w:r>
              <w:rPr/>
              <w:t>Сервер №2 для виртуальных вычислительных ресурсов серверов Системы</w:t>
            </w:r>
            <w:r>
              <w:rPr>
                <w:rFonts w:eastAsia="Calibri"/>
              </w:rPr>
              <w:t xml:space="preserve"> в ЦОД М9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rPr/>
            </w:pPr>
            <w:r>
              <w:rPr>
                <w:rFonts w:eastAsia="Calibri"/>
                <w:lang w:eastAsia="ru-RU"/>
              </w:rPr>
              <w:t>Система хранения данных №1 в ЦОД М9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rPr/>
            </w:pPr>
            <w:r>
              <w:rPr>
                <w:rFonts w:eastAsia="Calibri"/>
                <w:lang w:eastAsia="ru-RU"/>
              </w:rPr>
              <w:t>Система хранения данных №2 в ЦОД М9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jc w:val="both"/>
              <w:rPr/>
            </w:pPr>
            <w:r>
              <w:rPr/>
              <w:t>Сервер №3 для виртуальных вычислительных ресурсов серверов Системы</w:t>
            </w:r>
            <w:r>
              <w:rPr>
                <w:rFonts w:eastAsia="Calibri"/>
              </w:rPr>
              <w:t xml:space="preserve"> с графическим ядром в ИА Красноярск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652" w:hRule="atLeast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numPr>
                <w:ilvl w:val="0"/>
                <w:numId w:val="0"/>
              </w:numPr>
              <w:spacing w:lineRule="auto" w:line="240"/>
              <w:ind w:left="0" w:hanging="0"/>
              <w:rPr/>
            </w:pPr>
            <w:r>
              <w:rPr/>
              <w:t>Сервер №4 для виртуальных вычислительных ресурсов серверов Системы</w:t>
            </w:r>
            <w:r>
              <w:rPr>
                <w:rFonts w:eastAsia="Calibri"/>
              </w:rPr>
              <w:t xml:space="preserve"> с графическим ядром в Филиалы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</w:tr>
    </w:tbl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3"/>
          <w:numId w:val="3"/>
        </w:numPr>
        <w:ind w:left="0" w:hanging="0"/>
        <w:rPr>
          <w:sz w:val="24"/>
          <w:szCs w:val="24"/>
        </w:rPr>
      </w:pPr>
      <w:r>
        <w:rPr>
          <w:b/>
          <w:sz w:val="24"/>
          <w:szCs w:val="24"/>
          <w:lang w:eastAsia="x-none"/>
        </w:rPr>
        <w:t>Описание работ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color w:val="000000"/>
          <w:sz w:val="24"/>
          <w:szCs w:val="24"/>
          <w:lang w:eastAsia="x-none"/>
        </w:rPr>
        <w:t>В рамках</w:t>
      </w:r>
      <w:r>
        <w:rPr>
          <w:sz w:val="24"/>
          <w:szCs w:val="24"/>
          <w:lang w:eastAsia="x-none"/>
        </w:rPr>
        <w:t xml:space="preserve"> выполнения Работ по договору</w:t>
      </w:r>
      <w:r>
        <w:rPr>
          <w:color w:val="000000"/>
          <w:sz w:val="24"/>
          <w:szCs w:val="24"/>
          <w:lang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>Подрядчик</w:t>
      </w:r>
      <w:r>
        <w:rPr>
          <w:color w:val="000000"/>
          <w:sz w:val="24"/>
          <w:szCs w:val="24"/>
          <w:lang w:eastAsia="x-none"/>
        </w:rPr>
        <w:t xml:space="preserve"> выполняет комплекс мероприятий отраженный в таблице 3.</w:t>
      </w:r>
    </w:p>
    <w:p>
      <w:pPr>
        <w:pStyle w:val="Lst"/>
        <w:numPr>
          <w:ilvl w:val="0"/>
          <w:numId w:val="8"/>
        </w:numPr>
        <w:spacing w:before="0" w:after="0"/>
        <w:ind w:left="0" w:firstLine="567"/>
        <w:contextualSpacing/>
        <w:rPr>
          <w:rFonts w:eastAsia="SimSun"/>
        </w:rPr>
      </w:pPr>
      <w:r>
        <w:rPr>
          <w:rFonts w:eastAsia="SimSun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lineRule="auto" w:line="240" w:before="0" w:after="0"/>
        <w:ind w:left="0" w:firstLine="567"/>
        <w:jc w:val="both"/>
        <w:rPr>
          <w:color w:val="000000"/>
          <w:sz w:val="24"/>
          <w:szCs w:val="24"/>
          <w:lang w:eastAsia="x-none"/>
        </w:rPr>
      </w:pPr>
      <w:r>
        <w:rPr>
          <w:color w:val="000000"/>
          <w:sz w:val="24"/>
          <w:szCs w:val="24"/>
          <w:lang w:eastAsia="x-none"/>
        </w:rPr>
        <w:t>Ориентировочный план работ, который необходимо актуализировать, приведен в документе План производства работ на модернизацию Системы РДЦС.28.99.39.190.201.ППР</w:t>
      </w:r>
    </w:p>
    <w:p>
      <w:pPr>
        <w:pStyle w:val="Style40"/>
        <w:numPr>
          <w:ilvl w:val="0"/>
          <w:numId w:val="0"/>
        </w:numPr>
        <w:spacing w:lineRule="auto" w:line="240"/>
        <w:ind w:left="0" w:firstLine="567"/>
        <w:jc w:val="both"/>
        <w:rPr/>
      </w:pPr>
      <w:r>
        <w:rPr/>
      </w:r>
    </w:p>
    <w:p>
      <w:pPr>
        <w:pStyle w:val="Heading3"/>
        <w:numPr>
          <w:ilvl w:val="2"/>
          <w:numId w:val="3"/>
        </w:numPr>
        <w:spacing w:before="0" w:after="0"/>
        <w:ind w:left="0" w:hanging="0"/>
        <w:rPr>
          <w:lang w:val="ru-RU"/>
        </w:rPr>
      </w:pPr>
      <w:bookmarkStart w:id="32" w:name="__RefHeading___Toc376635_1820824432"/>
      <w:bookmarkStart w:id="33" w:name="_Toc224659151"/>
      <w:bookmarkStart w:id="34" w:name="_Toc51339696"/>
      <w:bookmarkEnd w:id="32"/>
      <w:r>
        <w:rPr>
          <w:lang w:val="ru-RU"/>
        </w:rPr>
        <w:t xml:space="preserve">Требования </w:t>
      </w:r>
      <w:bookmarkEnd w:id="34"/>
      <w:r>
        <w:rPr>
          <w:lang w:val="ru-RU"/>
        </w:rPr>
        <w:t xml:space="preserve">к срокам </w:t>
      </w:r>
      <w:bookmarkEnd w:id="33"/>
      <w:r>
        <w:rPr>
          <w:lang w:val="ru-RU"/>
        </w:rPr>
        <w:t>выполнения Работ</w:t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sz w:val="24"/>
          <w:szCs w:val="24"/>
          <w:lang w:val="ru-RU"/>
        </w:rPr>
      </w:pPr>
      <w:bookmarkStart w:id="35" w:name="__RefHeading___Toc376637_1820824432"/>
      <w:bookmarkStart w:id="36" w:name="_Toc224659152"/>
      <w:bookmarkStart w:id="37" w:name="_Toc50125126"/>
      <w:bookmarkStart w:id="38" w:name="_Toc51339697"/>
      <w:bookmarkStart w:id="39" w:name="_Toc50125127"/>
      <w:bookmarkEnd w:id="35"/>
      <w:bookmarkEnd w:id="3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. </w:t>
      </w:r>
      <w:bookmarkStart w:id="40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6"/>
      <w:bookmarkEnd w:id="38"/>
      <w:bookmarkEnd w:id="39"/>
      <w:bookmarkEnd w:id="40"/>
      <w:r>
        <w:rPr>
          <w:sz w:val="24"/>
          <w:szCs w:val="24"/>
          <w:lang w:val="ru-RU"/>
        </w:rPr>
        <w:t>выполнения Работ</w:t>
      </w:r>
    </w:p>
    <w:tbl>
      <w:tblPr>
        <w:tblW w:w="978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2"/>
        <w:gridCol w:w="4017"/>
        <w:gridCol w:w="2212"/>
        <w:gridCol w:w="2873"/>
      </w:tblGrid>
      <w:tr>
        <w:trPr>
          <w:tblHeader w:val="true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-57" w:right="57" w:hanging="0"/>
              <w:jc w:val="center"/>
              <w:rPr/>
            </w:pPr>
            <w:r>
              <w:rPr/>
              <w:t>1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Обследование ИТ - инфраструктуры, актуализация технических характеристик и спецификации программного обеспечения и оборудования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3 месяца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 w:val="false"/>
              <w:rPr/>
            </w:pPr>
            <w:r>
              <w:rPr>
                <w:rFonts w:eastAsia="Times New Roman"/>
              </w:rPr>
              <w:t>Актуализация плана производства работ по модернизации ПАК КЦОПЛ в части системы предотвращения утечек конфиденциальной информации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3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 w:val="false"/>
              <w:rPr/>
            </w:pPr>
            <w:r>
              <w:rPr/>
              <w:t>Поставка оборудования на площадки Заказчика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3.1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Поставка оборудования 1 партии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>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3.2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Поставка оборудования 2 партии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3.3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Поставка оборудования 3 партии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3.4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Поставка оборудования 4 партии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3.5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Поставка оборудования 5 партии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3.6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Поставка оборудования 6 партии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3.7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Поставка оборудования 7 партии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3.8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Поставка оборудования 8 партии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3.9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Поставка оборудования 9 партии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3.10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Поставка оборудования 10 партии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3.11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Поставка оборудования 11 партии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3.12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Поставка оборудования 12 партии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3.13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Поставка оборудования 13 партии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3.14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Поставка оборудования 14 партии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3.15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Поставка оборудования 15 партии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3.16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Поставка оборудования 16 партии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3.17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Поставка оборудования 17 партии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3.18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Поставка оборудования 18 партии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3.19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Поставка оборудования 19 партии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3.20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Поставка оборудования 20 партии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4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Работы по модернизации ПАК КЦОПЛ в части системы предотвращения утечек конфиденциальной информации 1 (первой) очереди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12 месяцев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5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модернизации ПАК КЦОПЛ в части системы предотвращения утечек конфиденциальной информации 2 (второй) очереди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22 месяца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6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Fonts w:eastAsia="Calibri"/>
                <w:color w:val="000000"/>
                <w:sz w:val="24"/>
                <w:szCs w:val="24"/>
              </w:rPr>
              <w:t>Разработка рабочей, эксплуатационной и исполнительной документации на</w:t>
            </w:r>
            <w:r>
              <w:rPr>
                <w:rFonts w:eastAsia="SimSun"/>
                <w:color w:val="000000"/>
                <w:sz w:val="24"/>
                <w:szCs w:val="24"/>
              </w:rPr>
              <w:t xml:space="preserve"> Систему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22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24 месяца с даты заключения договора</w:t>
            </w:r>
          </w:p>
        </w:tc>
      </w:tr>
      <w:tr>
        <w:trPr/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r>
              <w:rPr/>
              <w:t>7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pacing w:lineRule="auto" w:line="276" w:before="0" w:after="0"/>
              <w:ind w:left="0" w:hanging="0"/>
              <w:contextualSpacing/>
              <w:rPr/>
            </w:pPr>
            <w:r>
              <w:rPr/>
              <w:t>Приемо — сдаточные испытания с последующим вводом в опытную и промышленную эксплуатацию модернизируемого ПАК КЦОПЛ в части системы предотвращения утечек конфиденциальной информации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24 месяца с даты заключения договора</w:t>
            </w:r>
          </w:p>
        </w:tc>
        <w:tc>
          <w:tcPr>
            <w:tcW w:w="2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color w:val="000000"/>
                <w:sz w:val="24"/>
                <w:szCs w:val="24"/>
              </w:rPr>
              <w:t>26 месяцев с даты заключения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680" w:top="737" w:footer="992" w:bottom="155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spacing w:before="0" w:after="0"/>
        <w:rPr/>
      </w:pPr>
      <w:bookmarkStart w:id="41" w:name="__RefHeading___Toc376639_1820824432"/>
      <w:bookmarkStart w:id="42" w:name="_Toc46743511"/>
      <w:bookmarkStart w:id="43" w:name="_Toc224659153"/>
      <w:bookmarkEnd w:id="41"/>
      <w:r>
        <w:rPr/>
        <w:t xml:space="preserve">Требования к </w:t>
      </w:r>
      <w:bookmarkEnd w:id="42"/>
      <w:r>
        <w:rPr>
          <w:lang w:val="ru-RU"/>
        </w:rPr>
        <w:t>качеству продукции</w:t>
      </w:r>
      <w:bookmarkEnd w:id="43"/>
    </w:p>
    <w:p>
      <w:pPr>
        <w:pStyle w:val="Normal"/>
        <w:rPr/>
      </w:pPr>
      <w:r>
        <w:rPr/>
      </w:r>
    </w:p>
    <w:p>
      <w:pPr>
        <w:pStyle w:val="Normal"/>
        <w:ind w:firstLine="567"/>
        <w:rPr/>
      </w:pPr>
      <w:r>
        <w:rPr>
          <w:b/>
          <w:bCs/>
          <w:sz w:val="24"/>
          <w:szCs w:val="24"/>
        </w:rPr>
        <w:t xml:space="preserve">Наименование Работ/этапа Работ: </w:t>
      </w:r>
    </w:p>
    <w:p>
      <w:pPr>
        <w:pStyle w:val="Normal"/>
        <w:ind w:firstLine="567"/>
        <w:rPr/>
      </w:pPr>
      <w:r>
        <w:rPr>
          <w:rFonts w:eastAsia="SimSun"/>
          <w:color w:val="000000"/>
          <w:sz w:val="24"/>
          <w:szCs w:val="24"/>
        </w:rPr>
        <w:t xml:space="preserve">ОКПД2 </w:t>
      </w:r>
      <w:r>
        <w:rPr>
          <w:rStyle w:val="Strong"/>
          <w:rFonts w:eastAsia="SimSun"/>
          <w:b w:val="false"/>
          <w:bCs w:val="false"/>
          <w:color w:val="000000"/>
          <w:sz w:val="24"/>
          <w:szCs w:val="24"/>
        </w:rPr>
        <w:t xml:space="preserve">26.20.14.100 </w:t>
      </w:r>
      <w:r>
        <w:rPr>
          <w:rFonts w:eastAsia="SimSun"/>
          <w:bCs/>
          <w:sz w:val="24"/>
          <w:szCs w:val="24"/>
        </w:rPr>
        <w:t xml:space="preserve">Разработка рабочей документации, поставка оборудования, СМР, ПНР по модернизации ПАК КЦОПЛ в части Системы предотвращения утечек информации 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bookmarkStart w:id="44" w:name="__RefHeading___Toc376641_1820824432"/>
      <w:bookmarkStart w:id="45" w:name="_Toc224659154"/>
      <w:bookmarkStart w:id="46" w:name="_Toc51339698"/>
      <w:bookmarkEnd w:id="44"/>
      <w:r>
        <w:rPr>
          <w:sz w:val="24"/>
          <w:szCs w:val="24"/>
        </w:rPr>
        <w:t xml:space="preserve">Таблица 6. Требования к </w:t>
      </w:r>
      <w:bookmarkEnd w:id="46"/>
      <w:r>
        <w:rPr>
          <w:sz w:val="24"/>
          <w:szCs w:val="24"/>
          <w:lang w:val="ru-RU"/>
        </w:rPr>
        <w:t>качеству продукции</w:t>
      </w:r>
      <w:bookmarkEnd w:id="45"/>
    </w:p>
    <w:tbl>
      <w:tblPr>
        <w:tblStyle w:val="afffff5"/>
        <w:tblW w:w="148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57"/>
        <w:gridCol w:w="9"/>
        <w:gridCol w:w="5041"/>
        <w:gridCol w:w="1763"/>
        <w:gridCol w:w="2977"/>
        <w:gridCol w:w="1989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226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0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47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8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226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50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bookmarkStart w:id="47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</w:t>
            </w:r>
            <w:bookmarkEnd w:id="47"/>
          </w:p>
        </w:tc>
        <w:tc>
          <w:tcPr>
            <w:tcW w:w="22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50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9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выполнению Работ</w:t>
            </w:r>
          </w:p>
        </w:tc>
        <w:tc>
          <w:tcPr>
            <w:tcW w:w="17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9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730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17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9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перечню и объему выполняемых Работ</w:t>
            </w:r>
          </w:p>
        </w:tc>
        <w:tc>
          <w:tcPr>
            <w:tcW w:w="50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Перечень и объём выполняемых Работ указан в таблице 3 настоящих ТТ.</w:t>
            </w:r>
          </w:p>
        </w:tc>
        <w:tc>
          <w:tcPr>
            <w:tcW w:w="17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19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организации Работ</w:t>
            </w:r>
          </w:p>
        </w:tc>
        <w:tc>
          <w:tcPr>
            <w:tcW w:w="176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9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‍</w:t>
            </w:r>
          </w:p>
        </w:tc>
        <w:tc>
          <w:tcPr>
            <w:tcW w:w="226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Организационно-технические мероприятия при выполнении работ</w:t>
            </w:r>
          </w:p>
        </w:tc>
        <w:tc>
          <w:tcPr>
            <w:tcW w:w="504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 выполнении работ Подрядчик должен соблюдать требования в отношении соблюдения конфиденциальности, правил пропускного и внутриобъектового режима заказчика, техники безопасности, пожарной и промышленной и информационной безопасности, охраны окружающей среды при выполнении работ.</w:t>
            </w:r>
          </w:p>
        </w:tc>
        <w:tc>
          <w:tcPr>
            <w:tcW w:w="17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9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‍</w:t>
            </w:r>
          </w:p>
        </w:tc>
        <w:tc>
          <w:tcPr>
            <w:tcW w:w="226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504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pacing w:val="-4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Допуск персонала подрядчика для выполнения работ должен осуществляется в соответствии с «Временным положением о допуске персонала строительно-монтажных организаций и командированного персонала к выполнению работ на объектах ПАО «РусГидро».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Подготовку рабочих мест и допуск к выполнению работ выполняет персонал Заказчика.</w:t>
            </w:r>
          </w:p>
        </w:tc>
        <w:tc>
          <w:tcPr>
            <w:tcW w:w="176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98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способам выполнения Работ</w:t>
            </w:r>
          </w:p>
        </w:tc>
        <w:tc>
          <w:tcPr>
            <w:tcW w:w="5041" w:type="dxa"/>
            <w:tcBorders>
              <w:top w:val="nil"/>
            </w:tcBorders>
            <w:shd w:color="auto" w:fill="auto" w:val="clear"/>
          </w:tcPr>
          <w:p>
            <w:pPr>
              <w:pStyle w:val="Style39"/>
              <w:widowControl w:val="false"/>
              <w:suppressAutoHyphens w:val="true"/>
              <w:spacing w:lineRule="auto" w:line="276" w:before="120" w:after="0"/>
              <w:ind w:left="0" w:hanging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На площадке для специалиста Подрядчика организуется рабочее место. Рабочее место подключается к локальной вычислительной сети на площадке, для проведения работ по модернизации Системы. На рабочем месте должен быть организован выход в сеть Интернет.</w:t>
            </w:r>
          </w:p>
        </w:tc>
        <w:tc>
          <w:tcPr>
            <w:tcW w:w="176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98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контролю за выполнением Работ</w:t>
            </w:r>
          </w:p>
        </w:tc>
        <w:tc>
          <w:tcPr>
            <w:tcW w:w="504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Предоставляет по запросу Заказчика необходимые материалы, относящиеся к Работам, и создает условия для проверки хода выполнения Работ.</w:t>
            </w:r>
          </w:p>
        </w:tc>
        <w:tc>
          <w:tcPr>
            <w:tcW w:w="17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9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коммуникации</w:t>
            </w:r>
          </w:p>
        </w:tc>
        <w:tc>
          <w:tcPr>
            <w:tcW w:w="50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Назначаются ответственные лица от Подрядчика и Заказчика для оперативного взаимодействия. Определяются каналы и периодичность совещаний.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Для обмена с Заказчиком документами/сообщениями в цифровом (электронном) виде Подрядчик обязан использовать только корпоративные адреса электронной почты и корпоративные файлообменные сервисы, Подрядчиком должно быть исключено использование личных и/или общедоступных адресов электронной почты и/или файлообменных сервисов сотрудников Подрядчика.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Передача документации для согласования через открытые каналы связи без шифрования – запрещена.</w:t>
            </w:r>
          </w:p>
        </w:tc>
        <w:tc>
          <w:tcPr>
            <w:tcW w:w="17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98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highlight w:val="none"/>
                <w:shd w:fill="auto" w:val="clear"/>
                <w:lang w:val="en-US"/>
              </w:rPr>
            </w:pPr>
            <w:r>
              <w:rPr>
                <w:shd w:fill="auto" w:val="clear"/>
                <w:lang w:val="en-US"/>
              </w:rPr>
            </w:r>
          </w:p>
        </w:tc>
        <w:tc>
          <w:tcPr>
            <w:tcW w:w="730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процедурам выполнения Работ</w:t>
            </w:r>
          </w:p>
        </w:tc>
        <w:tc>
          <w:tcPr>
            <w:tcW w:w="17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в отношении соблюдения конфиденциальности</w:t>
            </w:r>
          </w:p>
        </w:tc>
        <w:tc>
          <w:tcPr>
            <w:tcW w:w="50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 Подрядчиком в обязательном порядке должно быть заключено Соглашение о конфиденциальности.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рамках данного соглашения Подрядчик должен обеспечить режим конфиденциальности информации в отношении всей предоставленной и полученной во время выполнения Работ информации, в том числе не допускать ее разглашения третьим лицам и не использовать во вред Заказчику. Данное требование распространяется на любую конфиденциальную информацию, независимо от вида носителя, на котором она зафиксирована. Подрядчик и его работники обязаны обеспечивать специальные меры охраны при обработке конфиденциальной информации Заказчика, а также при передаче её по каналам связи.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требуется</w:t>
            </w:r>
          </w:p>
        </w:tc>
      </w:tr>
      <w:tr>
        <w:trPr>
          <w:trHeight w:val="5550" w:hRule="atLeast"/>
        </w:trPr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60" w:after="24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504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lineRule="auto" w:line="276" w:before="60" w:after="24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Работы должны осуществляться в соответствии с национальными, отраслевыми и корпоративными (ПАО «РусГидро») нормативно-техническими документами (НТД) и нормативно-правовыми актами (НПА):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lineRule="auto" w:line="276" w:before="60" w:after="24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Политика информационной безопасности ПАО «РусГидро», утвержденная Приказом ПАО РусГидро от 06.06.2024 №366 «Об актуализации политики информационной безопасности»;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lineRule="auto" w:line="276" w:before="60" w:after="24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приказ ПАО «РусГидро» от 28.04.2023 №300 (Регламент процесса «Допуска персонала подрядных организаций на объекты ПАО «РусГидро»);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lineRule="auto" w:line="276" w:before="60" w:after="24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Инструкция по оформлению заявок в 2026 году на допуск посетителей, автотранспортных средств, внос, вынос, ввоз, вывоз товарно-материальных ценностей на территорию/ с территории АО «ММТС-9» (г. Москва, ул. Бутлерова, д.7)(опубликованная по адресу: https://mmts9.ru/documents/);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lineRule="auto" w:line="276" w:before="60" w:after="24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 Федеральный закон от 27.07.2006 № 149-ФЗ (ред. от 26.06.2026) «Об информации, информационных технологиях и о защите информации»;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lineRule="auto" w:line="276" w:before="60" w:after="24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 Федеральный закон от 27.07.2006 № 152-ФЗ «О персональных данных»;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lineRule="auto" w:line="276" w:before="60" w:after="24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Федеральный закон от 26 июля 2017 г. № 187-ФЗ «О безопасности критической информационной инфраструктуры Российской Федерации»;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lineRule="auto" w:line="276" w:before="60" w:after="24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Федеральный закон от 29.07.2004 № 98-ФЗ (ред. от 08.08.2024) «О коммерческой тайне»;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lineRule="auto" w:line="276" w:before="60" w:after="24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Указ Президента РФ от 16.03.1997 №188 (ред. От 13.07.2015) «Об утверждении перечня конфиденциального характера».</w:t>
            </w:r>
          </w:p>
        </w:tc>
        <w:tc>
          <w:tcPr>
            <w:tcW w:w="17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24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информационной безопасности</w:t>
            </w:r>
          </w:p>
        </w:tc>
        <w:tc>
          <w:tcPr>
            <w:tcW w:w="5041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lineRule="auto" w:line="276" w:before="60" w:after="240"/>
              <w:ind w:left="0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lineRule="auto" w:line="276" w:before="60" w:after="24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информационной безопасности должны обеспечиваться с учетом всех сторон, вовлеченных в процессы жизненного цикла (разработчиков, заказчиков, поставщиков продуктов и услуг, эксплуатирующих и надзорных подразделений Общества).</w:t>
            </w:r>
          </w:p>
        </w:tc>
        <w:tc>
          <w:tcPr>
            <w:tcW w:w="17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применяемым при выполнении работ оборудованию и материалам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left="57" w:hanging="0"/>
              <w:contextualSpacing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i w:val="false"/>
                <w:color w:val="000000"/>
                <w:kern w:val="0"/>
                <w:shd w:fill="auto" w:val="clear"/>
                <w:lang w:val="ru-RU" w:eastAsia="ru-RU" w:bidi="ar-SA"/>
              </w:rPr>
              <w:t>Характеристики оборудования и материалов, которые должны быть использованы при выполнении Работ указаны в Приложении 1</w:t>
            </w:r>
          </w:p>
        </w:tc>
        <w:tc>
          <w:tcPr>
            <w:tcW w:w="17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оборудованию и программному обеспечению, используемому для выполнения Работ</w:t>
            </w:r>
          </w:p>
        </w:tc>
        <w:tc>
          <w:tcPr>
            <w:tcW w:w="5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Для выполнения Работ и разработки документации в ходе выполнения Работ Подрядчик должен использовать оборудование, принадлежащее ему на законном основании 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Подрядчиком должно быть исключено применение личного оборудования и программного обеспечения принадлежащего работникам Подрядчика.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60" w:after="24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используемым запасным частям и материалам</w:t>
            </w:r>
          </w:p>
        </w:tc>
        <w:tc>
          <w:tcPr>
            <w:tcW w:w="50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60"/>
              <w:ind w:left="34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Запасные части и материалы, необходимые для выполнения работ приобретаются подрядчиком самостоятельно согласно разработанным спецификациям (при необходимости).</w:t>
              <w:br/>
              <w:t>Все поставляемые и применяемые запасные части, и материалы должны быть новыми и не использованными ранее</w:t>
            </w:r>
          </w:p>
        </w:tc>
        <w:tc>
          <w:tcPr>
            <w:tcW w:w="17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24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bidi w:val="0"/>
              <w:ind w:left="1224" w:hanging="1199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1.4.3</w:t>
            </w:r>
          </w:p>
        </w:tc>
        <w:tc>
          <w:tcPr>
            <w:tcW w:w="225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электробезопасности</w:t>
            </w:r>
          </w:p>
        </w:tc>
        <w:tc>
          <w:tcPr>
            <w:tcW w:w="5050" w:type="dxa"/>
            <w:gridSpan w:val="2"/>
            <w:tcBorders/>
          </w:tcPr>
          <w:p>
            <w:pPr>
              <w:pStyle w:val="Normal"/>
              <w:widowControl w:val="false"/>
              <w:spacing w:lineRule="auto" w:line="276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Товар, подлежащий обязательной сертификации, должен соответствовать требованиям технического регламента Таможенного союза ТР ТС 004/2011 «О безопасности низковольтного оборудования» утв. Решением КТС от 16.08.2011 г. №768 и/или требованиям технического регламента Таможенного союза ТР ТС 020/2011 «Электромагнитная совместимость технических средств» утв. Решением КТС от 09.12.2011 г. № 879.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4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bidi w:val="0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eastAsia="Calibri" w:cs="Times New Roman"/>
                <w:b w:val="false"/>
                <w:bCs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76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7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24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bidi w:val="0"/>
              <w:spacing w:before="0" w:after="0"/>
              <w:ind w:left="0" w:right="170" w:hanging="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5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Тара</w:t>
            </w:r>
          </w:p>
        </w:tc>
        <w:tc>
          <w:tcPr>
            <w:tcW w:w="50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Товар должен поставляться упакованным в тару, обеспечивающую его полную сохранность от всякого рода повреждений и порчи, с учетом возможной перевозки и длительного хранения. Тара и упаковка входят в цену поставляемого товара, за исключением случаев, специально оговоренных Поставщиком и Покупателем.</w:t>
            </w:r>
          </w:p>
        </w:tc>
        <w:tc>
          <w:tcPr>
            <w:tcW w:w="176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bidi w:val="0"/>
              <w:ind w:left="0" w:right="170" w:hanging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25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Упаковка</w:t>
            </w:r>
          </w:p>
        </w:tc>
        <w:tc>
          <w:tcPr>
            <w:tcW w:w="50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Товар должен поставляться в фирменной упаковке, защищающей от повреждений и воздействия внешней среды. Упаковка товара должна соответствовать требованиям ГОСТа Р71784-2024. Каждая единица поставляемого товара должна быть упакована в стандартную оригинальную заводскую упаковку.</w:t>
            </w:r>
          </w:p>
        </w:tc>
        <w:tc>
          <w:tcPr>
            <w:tcW w:w="176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bidi w:val="0"/>
              <w:ind w:left="0" w:right="170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5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Маркировка</w:t>
            </w:r>
          </w:p>
        </w:tc>
        <w:tc>
          <w:tcPr>
            <w:tcW w:w="50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Каждая единица поставляемого товара должна иметь на заводской упаковке четкое указание наименования, производителя и другой предусмотренной производителем информации.</w:t>
            </w:r>
          </w:p>
        </w:tc>
        <w:tc>
          <w:tcPr>
            <w:tcW w:w="176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bidi w:val="0"/>
              <w:ind w:left="0" w:right="170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2257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Доставка</w:t>
            </w:r>
          </w:p>
        </w:tc>
        <w:tc>
          <w:tcPr>
            <w:tcW w:w="50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Доставка осуществляется до адреса Заказчика, согласно п.2.1.1 настоящих Технических требований, собственными силами Поставщика (включая подъём на этаж)</w:t>
            </w:r>
          </w:p>
        </w:tc>
        <w:tc>
          <w:tcPr>
            <w:tcW w:w="176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Подрядчику/ Персоналу Подрядчика</w:t>
            </w:r>
          </w:p>
        </w:tc>
        <w:tc>
          <w:tcPr>
            <w:tcW w:w="1763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Подрядику</w:t>
            </w:r>
          </w:p>
        </w:tc>
        <w:tc>
          <w:tcPr>
            <w:tcW w:w="50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1.</w:t>
              <w:tab/>
              <w:t>Деятельность по защите информации должна быть определена в Уставе (учредительных документах) Подрядчика как один из основных видов деятельности организации.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2.</w:t>
              <w:tab/>
              <w:t>Срок деятельности Подрядчика в области выполнения Работ по ИБ должен быть не менее 10 лет.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3.</w:t>
              <w:tab/>
              <w:t>Подрядчик должен обладать сертификатом соответствия системы менеджмента качества стандарту ИСО 9001:2015 (подтверждается предоставлением заверенной копии потенциальным поставщиком).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4.</w:t>
              <w:tab/>
              <w:t>Подрядчик должен иметь все необходимые действующие лицензии на выполнение предлагаемых Работ, в том числе: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•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ab/>
              <w:t>лицензию ФСТЭК России на деятельность по технической защите конфиденциальной информации;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5.</w:t>
              <w:tab/>
              <w:t>Подрядчик должен обладать партнерским статусом производителя модернизируемой Системы</w:t>
            </w: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.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4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Квалификация персонала Подрядчика, привлекаемого к выполнению Работ</w:t>
            </w:r>
          </w:p>
        </w:tc>
        <w:tc>
          <w:tcPr>
            <w:tcW w:w="50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Наличие у Подрядчика квалифицированных специалистов в области информационной безопасности.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jc w:val="left"/>
              <w:rPr>
                <w:rFonts w:eastAsia="Calibri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Наличие у Подрядчика сертифицированных специалистов по проектированию, внедрению и эксплуатации систем информационной безопасности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течение 5 дней после заключения договора Подрядчик должен предоставить копии документов, подтверждающие наличие сертифицированных специалистов, обладающих статусом: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ind w:left="0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en-US" w:eastAsia="ru-RU" w:bidi="ar-SA"/>
              </w:rPr>
              <w:t xml:space="preserve">Certified Information Systems Security Professional (CISSP) </w:t>
            </w:r>
            <w:r>
              <w:rPr>
                <w:rFonts w:cs="Times New Roman"/>
                <w:kern w:val="0"/>
                <w:shd w:fill="auto" w:val="clear"/>
                <w:lang w:val="en-US" w:eastAsia="ru-RU" w:bidi="ar-SA"/>
              </w:rPr>
              <w:t xml:space="preserve">или аналогичным </w:t>
            </w: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не</w:t>
            </w:r>
            <w:r>
              <w:rPr>
                <w:rFonts w:cs="Times New Roman"/>
                <w:kern w:val="0"/>
                <w:shd w:fill="auto" w:val="clear"/>
                <w:lang w:val="en-US" w:eastAsia="ru-RU" w:bidi="ar-SA"/>
              </w:rPr>
              <w:t xml:space="preserve"> </w:t>
            </w: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менее</w:t>
            </w:r>
            <w:r>
              <w:rPr>
                <w:rFonts w:cs="Times New Roman"/>
                <w:kern w:val="0"/>
                <w:shd w:fill="auto" w:val="clear"/>
                <w:lang w:val="en-US" w:eastAsia="ru-RU" w:bidi="ar-SA"/>
              </w:rPr>
              <w:t xml:space="preserve"> 5 (</w:t>
            </w: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пяти</w:t>
            </w:r>
            <w:r>
              <w:rPr>
                <w:rFonts w:cs="Times New Roman"/>
                <w:kern w:val="0"/>
                <w:shd w:fill="auto" w:val="clear"/>
                <w:lang w:val="en-US" w:eastAsia="ru-RU" w:bidi="ar-SA"/>
              </w:rPr>
              <w:t>);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ind w:left="0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en-US" w:eastAsia="ru-RU" w:bidi="ar-SA"/>
              </w:rPr>
              <w:t xml:space="preserve"> </w:t>
            </w:r>
            <w:r>
              <w:rPr>
                <w:rFonts w:cs="Times New Roman"/>
                <w:kern w:val="0"/>
                <w:shd w:fill="auto" w:val="clear"/>
                <w:lang w:val="en-US" w:eastAsia="ru-RU" w:bidi="ar-SA"/>
              </w:rPr>
              <w:t xml:space="preserve">Certified Information Systems Auditor (CISA) </w:t>
            </w:r>
            <w:r>
              <w:rPr>
                <w:rFonts w:cs="Times New Roman"/>
                <w:kern w:val="0"/>
                <w:shd w:fill="auto" w:val="clear"/>
                <w:lang w:val="en-US" w:eastAsia="ru-RU" w:bidi="ar-SA"/>
              </w:rPr>
              <w:t xml:space="preserve">или аналогичным </w:t>
            </w: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не</w:t>
            </w:r>
            <w:r>
              <w:rPr>
                <w:rFonts w:cs="Times New Roman"/>
                <w:kern w:val="0"/>
                <w:shd w:fill="auto" w:val="clear"/>
                <w:lang w:val="en-US" w:eastAsia="ru-RU" w:bidi="ar-SA"/>
              </w:rPr>
              <w:t xml:space="preserve"> </w:t>
            </w: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менее</w:t>
            </w:r>
            <w:r>
              <w:rPr>
                <w:rFonts w:cs="Times New Roman"/>
                <w:kern w:val="0"/>
                <w:shd w:fill="auto" w:val="clear"/>
                <w:lang w:val="en-US" w:eastAsia="ru-RU" w:bidi="ar-SA"/>
              </w:rPr>
              <w:t xml:space="preserve"> 7 (</w:t>
            </w: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семи</w:t>
            </w:r>
            <w:r>
              <w:rPr>
                <w:rFonts w:cs="Times New Roman"/>
                <w:kern w:val="0"/>
                <w:shd w:fill="auto" w:val="clear"/>
                <w:lang w:val="en-US" w:eastAsia="ru-RU" w:bidi="ar-SA"/>
              </w:rPr>
              <w:t>);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ind w:left="0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en-US" w:eastAsia="ru-RU" w:bidi="ar-SA"/>
              </w:rPr>
              <w:t xml:space="preserve">Certified Information Security Manager (CISM) </w:t>
            </w:r>
            <w:r>
              <w:rPr>
                <w:rFonts w:eastAsia="Times New Roman" w:cs="Times New Roman"/>
                <w:kern w:val="0"/>
                <w:shd w:fill="auto" w:val="clear"/>
                <w:lang w:val="en-US" w:eastAsia="ru-RU" w:bidi="ar-SA"/>
              </w:rPr>
              <w:t xml:space="preserve">или аналогичным </w:t>
            </w: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kern w:val="0"/>
                <w:shd w:fill="auto" w:val="clear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менее</w:t>
            </w:r>
            <w:r>
              <w:rPr>
                <w:rFonts w:eastAsia="Times New Roman" w:cs="Times New Roman"/>
                <w:kern w:val="0"/>
                <w:shd w:fill="auto" w:val="clear"/>
                <w:lang w:val="en-US" w:eastAsia="ru-RU" w:bidi="ar-SA"/>
              </w:rPr>
              <w:t xml:space="preserve"> 5 (</w:t>
            </w: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пяти</w:t>
            </w:r>
            <w:r>
              <w:rPr>
                <w:rFonts w:eastAsia="Times New Roman" w:cs="Times New Roman"/>
                <w:kern w:val="0"/>
                <w:shd w:fill="auto" w:val="clear"/>
                <w:lang w:val="en-US" w:eastAsia="ru-RU" w:bidi="ar-SA"/>
              </w:rPr>
              <w:t>).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ind w:left="0" w:hanging="0"/>
              <w:contextualSpacing/>
              <w:jc w:val="both"/>
              <w:rPr>
                <w:rFonts w:eastAsia="Times New Roman"/>
                <w:highlight w:val="none"/>
                <w:shd w:fill="auto" w:val="clear"/>
                <w:lang w:val="en-US"/>
              </w:rPr>
            </w:pPr>
            <w:r>
              <w:rPr>
                <w:rFonts w:eastAsia="Times New Roman"/>
                <w:shd w:fill="auto" w:val="clear"/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76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течение 5 дней после заключения договора Подрядчик должен предоставить копии документов, подтверждающие наличие квалифицированных специалистов с высшим профессиональным образованием в области информационной безопасности (в количестве не менее 5-ти (пяти) человек).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4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результатам Работ</w:t>
            </w:r>
          </w:p>
        </w:tc>
        <w:tc>
          <w:tcPr>
            <w:tcW w:w="17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Общие требования к результатам Работ</w:t>
            </w:r>
          </w:p>
        </w:tc>
        <w:tc>
          <w:tcPr>
            <w:tcW w:w="17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Результат выполнения Работ в целом</w:t>
            </w:r>
          </w:p>
        </w:tc>
        <w:tc>
          <w:tcPr>
            <w:tcW w:w="5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Результат выполнения всех работ фиксируется посредством подписанного Акта о готовности Системы к вводу в промышленную эксплуатацию и УПД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>
              <w:top w:val="nil"/>
            </w:tcBorders>
          </w:tcPr>
          <w:p>
            <w:pPr>
              <w:pStyle w:val="Lst"/>
              <w:widowControl w:val="false"/>
              <w:numPr>
                <w:ilvl w:val="0"/>
                <w:numId w:val="0"/>
              </w:numPr>
              <w:suppressAutoHyphens w:val="true"/>
              <w:spacing w:lineRule="auto" w:line="276" w:before="0" w:after="0"/>
              <w:ind w:left="0" w:hanging="0"/>
              <w:contextualSpacing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Требование к результатам выполнения Работ в части п</w:t>
            </w: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оставки оборудования на</w:t>
            </w:r>
            <w:r>
              <w:rPr>
                <w:rFonts w:cs="Times New Roman"/>
                <w:color w:val="000000"/>
                <w:kern w:val="0"/>
                <w:shd w:fill="auto" w:val="clear"/>
                <w:lang w:val="ru-RU" w:eastAsia="ru-RU" w:bidi="ar-SA"/>
              </w:rPr>
              <w:t xml:space="preserve"> площадки Заказчика</w:t>
            </w:r>
          </w:p>
        </w:tc>
        <w:tc>
          <w:tcPr>
            <w:tcW w:w="50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ходе Работ на данном этапе Подрядчиком должно быть обеспечено выполнение Работ по поставке оборудования на следующие площадки Заказчика в следующем порядке: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 партия — ЦОД М9;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 партия - Исполнительный аппарат ПАО «РусГидро»;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 партия - Филиал ПАО «РусГидро» - «Бурейская ГЭС»;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4 партия - Филиал ПАО «РусГидро» - «Воткинская ГЭС»;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 партия - Филиал ПАО «РусГидро» - «Дагестанский филиал»;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6 партия - Филиал ПАО «РусГидро» - «Жигулевская ГЭС»;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7 партия - Филиал ПАО «РусГидро» - «Загорская ГАЭС»;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8 партия - Филиал ПАО «РусГидро» - «Зейская ГЭС»;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9 партия - Филиал ПАО  «РусГидро» - «Камская ГЭС»;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 партия - Филиал ПАО «РусГидро» - «Каскад Верхневолжских ГЭС»;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11 партия - Филиал ПАО «РусГидро» - «Каскад Кубанских ГЭС»;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12 партия - Филиал ПАО  «РусГидро» - «Нижегородская ГЭС»;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13 партия - Филиал ПАО «РусГидро» - «Новосибирская ГЭС»;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14 партия - Филиал ПАО «РусГидро» - «Чебоксарская ГЭС»;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15 партия - Филиал ПАО «РусГидро» - «Волжская ГЭС»;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16 партия - Филиал ПАО «РусГидро» - «Карачаево-Черкесский филиал»;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17 партия - Филиал ПАО «РусГидро» - «Северо-Осетинский филиал»;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18 партия - Филиал ПАО «РусГидро» - «Кабардино-Балкарский филиал»;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19 партия - Филиал ПАО «РусГидро» - «Саратовская ГЭС»;</w:t>
            </w:r>
          </w:p>
          <w:p>
            <w:pPr>
              <w:pStyle w:val="Normal"/>
              <w:widowControl w:val="false"/>
              <w:numPr>
                <w:ilvl w:val="0"/>
                <w:numId w:val="18"/>
              </w:numPr>
              <w:suppressAutoHyphens w:val="true"/>
              <w:spacing w:before="0" w:after="0"/>
              <w:ind w:lef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20 партия - Филиал ПАО «РусГидро» - «Саяно-Шушенская ГЭС им. П.С. Непорожнего».</w:t>
            </w:r>
          </w:p>
        </w:tc>
        <w:tc>
          <w:tcPr>
            <w:tcW w:w="17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Требование к результатам выполнения работы по модернизации ПАК КЦОПЛ в части системы предотвращения утечек конфиденциальной информации </w:t>
            </w:r>
          </w:p>
        </w:tc>
        <w:tc>
          <w:tcPr>
            <w:tcW w:w="50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Работы по модернизации ПАК КЦОПЛ в части системы предотвращения утечек конфиденциальной информации включают следующие виды Работ: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ind w:left="113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Создание виртуальных вычислительных ресурсов для Серверов Системы;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ind w:left="113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Установка операционной системы Linux Astra Linux SE 1.7 на виртуальные вычислительные ресурсы для Серверов Системы;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ind w:left="113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Установка и настройка Серверов Системы;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ind w:left="113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Установка и настройка Агентов Системы;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ind w:left="113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Настройка интеграций Системы с сервисом IRP;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ind w:left="113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Настройка интеграций Системы с сервисом ИС Филин;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ind w:left="113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Установка и настройка модуля централизованного управления Системы;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ind w:left="113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Настройка резервного копирования и восстановление. Увеличение объёма дискового пространства имеющихся систем хранения данных в целях резервного копирования накопленных данных.</w:t>
            </w:r>
          </w:p>
        </w:tc>
        <w:tc>
          <w:tcPr>
            <w:tcW w:w="17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к результатам выполнения Работ в части р</w:t>
            </w: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азработки рабочей, эксплуатационной и исполнительной документации на</w:t>
            </w:r>
            <w:r>
              <w:rPr>
                <w:rFonts w:eastAsia="SimSu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Систему</w:t>
            </w:r>
          </w:p>
        </w:tc>
        <w:tc>
          <w:tcPr>
            <w:tcW w:w="5041" w:type="dxa"/>
            <w:tcBorders>
              <w:top w:val="nil"/>
            </w:tcBorders>
          </w:tcPr>
          <w:p>
            <w:pPr>
              <w:pStyle w:val="Tl"/>
              <w:widowControl w:val="fals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ptos" w:cs="Times New Roman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>По результатам выполнения работ данного этапа Подрядчик должен разработать:</w:t>
            </w:r>
          </w:p>
          <w:p>
            <w:pPr>
              <w:pStyle w:val="Tl"/>
              <w:widowControl w:val="false"/>
              <w:numPr>
                <w:ilvl w:val="0"/>
                <w:numId w:val="20"/>
              </w:numPr>
              <w:suppressAutoHyphens w:val="false"/>
              <w:bidi w:val="0"/>
              <w:spacing w:before="0" w:after="0"/>
              <w:ind w:left="57" w:right="0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Рабочую документацию:</w:t>
            </w:r>
          </w:p>
          <w:p>
            <w:pPr>
              <w:pStyle w:val="Tl"/>
              <w:widowControl w:val="false"/>
              <w:numPr>
                <w:ilvl w:val="0"/>
                <w:numId w:val="19"/>
              </w:numPr>
              <w:suppressAutoHyphens w:val="false"/>
              <w:bidi w:val="0"/>
              <w:spacing w:before="0" w:after="0"/>
              <w:ind w:left="227" w:right="0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ptos" w:cs="Times New Roman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>Программа и методика предварительных испытаний на модернизацию Системы;</w:t>
            </w:r>
          </w:p>
          <w:p>
            <w:pPr>
              <w:pStyle w:val="Tl"/>
              <w:widowControl w:val="false"/>
              <w:numPr>
                <w:ilvl w:val="0"/>
                <w:numId w:val="19"/>
              </w:numPr>
              <w:suppressAutoHyphens w:val="false"/>
              <w:bidi w:val="0"/>
              <w:spacing w:before="0" w:after="0"/>
              <w:ind w:left="227" w:right="0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ptos" w:cs="Times New Roman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>Структурные схемы.</w:t>
            </w:r>
          </w:p>
          <w:p>
            <w:pPr>
              <w:pStyle w:val="Tl"/>
              <w:widowControl w:val="false"/>
              <w:numPr>
                <w:ilvl w:val="0"/>
                <w:numId w:val="20"/>
              </w:numPr>
              <w:suppressAutoHyphens w:val="false"/>
              <w:bidi w:val="0"/>
              <w:spacing w:before="0" w:after="0"/>
              <w:ind w:left="57" w:right="0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Эксплуатационную документацию:</w:t>
            </w:r>
          </w:p>
          <w:p>
            <w:pPr>
              <w:pStyle w:val="Tl"/>
              <w:widowControl w:val="false"/>
              <w:numPr>
                <w:ilvl w:val="0"/>
                <w:numId w:val="19"/>
              </w:numPr>
              <w:suppressAutoHyphens w:val="false"/>
              <w:bidi w:val="0"/>
              <w:spacing w:before="0" w:after="0"/>
              <w:ind w:left="227" w:right="0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ptos" w:cs="Times New Roman"/>
                <w:kern w:val="2"/>
                <w:sz w:val="24"/>
                <w:szCs w:val="24"/>
                <w:shd w:fill="auto" w:val="clear"/>
                <w:lang w:val="ru-RU" w:eastAsia="en-US" w:bidi="ar-SA"/>
              </w:rPr>
              <w:t>Технический паспорт Системы, включающий: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suppressAutoHyphens w:val="false"/>
              <w:bidi w:val="0"/>
              <w:spacing w:before="0" w:after="0"/>
              <w:ind w:left="454" w:right="0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Общие сведения;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suppressAutoHyphens w:val="false"/>
              <w:bidi w:val="0"/>
              <w:spacing w:before="0" w:after="0"/>
              <w:ind w:left="454" w:right="0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Условия эксплуатации;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suppressAutoHyphens w:val="false"/>
              <w:bidi w:val="0"/>
              <w:spacing w:before="0" w:after="0"/>
              <w:ind w:left="454" w:right="0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Состав системы;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suppressAutoHyphens w:val="false"/>
              <w:bidi w:val="0"/>
              <w:spacing w:before="0" w:after="0"/>
              <w:ind w:left="454" w:right="0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Сведения о соответствии требованиям по защите информации;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suppressAutoHyphens w:val="false"/>
              <w:bidi w:val="0"/>
              <w:spacing w:before="0" w:after="0"/>
              <w:ind w:left="454" w:right="0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Сведения о контроле;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suppressAutoHyphens w:val="false"/>
              <w:bidi w:val="0"/>
              <w:spacing w:before="0" w:after="0"/>
              <w:ind w:left="454" w:right="0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Сведения об изменениях;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suppressAutoHyphens w:val="false"/>
              <w:bidi w:val="0"/>
              <w:spacing w:before="0" w:after="0"/>
              <w:ind w:left="454" w:right="0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Приложения;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suppressAutoHyphens w:val="false"/>
              <w:bidi w:val="0"/>
              <w:spacing w:before="0" w:after="0"/>
              <w:ind w:left="283" w:right="0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администратора Системы;</w:t>
            </w:r>
          </w:p>
          <w:p>
            <w:pPr>
              <w:pStyle w:val="Tl"/>
              <w:widowControl w:val="false"/>
              <w:numPr>
                <w:ilvl w:val="0"/>
                <w:numId w:val="19"/>
              </w:numPr>
              <w:suppressAutoHyphens w:val="false"/>
              <w:bidi w:val="0"/>
              <w:spacing w:before="0" w:after="0"/>
              <w:ind w:left="283" w:right="0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пользователя Системы;</w:t>
            </w:r>
          </w:p>
          <w:p>
            <w:pPr>
              <w:pStyle w:val="Tl"/>
              <w:widowControl w:val="false"/>
              <w:numPr>
                <w:ilvl w:val="0"/>
                <w:numId w:val="19"/>
              </w:numPr>
              <w:suppressAutoHyphens w:val="false"/>
              <w:bidi w:val="0"/>
              <w:spacing w:before="0" w:after="0"/>
              <w:ind w:left="283" w:right="0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 Системы;</w:t>
            </w:r>
          </w:p>
          <w:p>
            <w:pPr>
              <w:pStyle w:val="Tl"/>
              <w:widowControl w:val="false"/>
              <w:numPr>
                <w:ilvl w:val="0"/>
                <w:numId w:val="20"/>
              </w:numPr>
              <w:suppressAutoHyphens w:val="false"/>
              <w:bidi w:val="0"/>
              <w:spacing w:before="0" w:after="0"/>
              <w:ind w:left="57" w:right="0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Исполнительную документацию по результатам ПНР в составе: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suppressAutoHyphens w:val="false"/>
              <w:bidi w:val="0"/>
              <w:spacing w:before="0" w:after="0"/>
              <w:ind w:left="283" w:right="0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Акт готовности оборудования к ПНР;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suppressAutoHyphens w:val="false"/>
              <w:bidi w:val="0"/>
              <w:spacing w:before="0" w:after="0"/>
              <w:ind w:left="283" w:right="0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Акт об окончании ПНР;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suppressAutoHyphens w:val="false"/>
              <w:bidi w:val="0"/>
              <w:spacing w:before="0" w:after="0"/>
              <w:ind w:left="283" w:right="0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Протоколы испытаний и измерений;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suppressAutoHyphens w:val="false"/>
              <w:bidi w:val="0"/>
              <w:spacing w:before="0" w:after="0"/>
              <w:ind w:left="283" w:right="0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Ведомость настроек;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suppressAutoHyphens w:val="false"/>
              <w:bidi w:val="0"/>
              <w:spacing w:before="0" w:after="0"/>
              <w:ind w:left="283" w:right="0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Технический отчет;</w:t>
            </w:r>
          </w:p>
          <w:p>
            <w:pPr>
              <w:pStyle w:val="Normal"/>
              <w:widowControl w:val="false"/>
              <w:numPr>
                <w:ilvl w:val="0"/>
                <w:numId w:val="19"/>
              </w:numPr>
              <w:suppressAutoHyphens w:val="false"/>
              <w:bidi w:val="0"/>
              <w:spacing w:before="0" w:after="0"/>
              <w:ind w:left="283" w:right="0" w:hanging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Исполнительные схемы.</w:t>
            </w:r>
          </w:p>
        </w:tc>
        <w:tc>
          <w:tcPr>
            <w:tcW w:w="17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730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безопасности использования результата выполнения Работ</w:t>
            </w:r>
          </w:p>
        </w:tc>
        <w:tc>
          <w:tcPr>
            <w:tcW w:w="17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информационной безопасности результата выполнения Работ</w:t>
            </w:r>
          </w:p>
        </w:tc>
        <w:tc>
          <w:tcPr>
            <w:tcW w:w="504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60"/>
              <w:ind w:left="57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Требования информационной безопасности должны обеспечиваться на всех стадиях жизненного цикла Системы с учетом всех сторон, вовлеченных в процессы жизненного цикла (разработчиков, заказчиков, поставщиков продуктов и услуг, эксплуатирующих и надзорных подразделений Общества).</w:t>
            </w:r>
          </w:p>
          <w:p>
            <w:pPr>
              <w:pStyle w:val="ListParagraph"/>
              <w:widowControl w:val="false"/>
              <w:suppressAutoHyphens w:val="true"/>
              <w:spacing w:before="0" w:after="60"/>
              <w:ind w:left="57" w:hanging="0"/>
              <w:contextualSpacing/>
              <w:jc w:val="both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suppressAutoHyphens w:val="true"/>
              <w:spacing w:before="0" w:after="60"/>
              <w:ind w:left="57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Система должна быть разработана и внедрена в соответствии с Федеральными законами №152 от 27.07.2006 «О персональных данных» и № 98 от 29.07.2004 «О коммерческой тайне».</w:t>
            </w:r>
          </w:p>
          <w:p>
            <w:pPr>
              <w:pStyle w:val="Normal"/>
              <w:widowControl w:val="false"/>
              <w:suppressAutoHyphens w:val="true"/>
              <w:spacing w:before="0" w:after="6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системе должна быть выделена роль и разработано руководство Администратора информационной безопасности (АИБ). В руководстве АИБ должны быть описаны: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suppressAutoHyphens w:val="true"/>
              <w:spacing w:before="0" w:after="6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обязанности АИБ и связанные с ними операции;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suppressAutoHyphens w:val="true"/>
              <w:spacing w:before="0" w:after="6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обязательность, регулярность и очередность выполнения всех операций в зоне ответственности АИБ;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suppressAutoHyphens w:val="true"/>
              <w:spacing w:before="0" w:after="6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порядок выполнения каждой операции;</w:t>
            </w:r>
          </w:p>
          <w:p>
            <w:pPr>
              <w:pStyle w:val="Normal"/>
              <w:widowControl w:val="false"/>
              <w:numPr>
                <w:ilvl w:val="0"/>
                <w:numId w:val="21"/>
              </w:numPr>
              <w:suppressAutoHyphens w:val="true"/>
              <w:spacing w:before="0" w:after="6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проблемы в работе системы, связанные с обеспечением информационной безопасности и способы их решения.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приемке результата выполнения Работ</w:t>
            </w:r>
          </w:p>
        </w:tc>
        <w:tc>
          <w:tcPr>
            <w:tcW w:w="17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Порядок согласования промежуточных документов</w:t>
            </w:r>
          </w:p>
        </w:tc>
        <w:tc>
          <w:tcPr>
            <w:tcW w:w="50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Документы, разработанные Подрядчиком по результатам выполнения Работ, должны быть согласованы с Заказчиком (Заказчик оценивает полноту отраженных в отчете сведений).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Проведение испытаний</w:t>
            </w:r>
          </w:p>
        </w:tc>
        <w:tc>
          <w:tcPr>
            <w:tcW w:w="504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Перед передачей заказчику результатов работ Подрядчик должен провести испытания.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Документ «Протокол испытаний» должен содержать (в соответствии с ГОСТ Р 59795 - 2021):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наименование объекта испытаний;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список должностных лиц, проводивших испытания;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цель испытаний;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сведения о продолжительности испытаний;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перечень пунктов ТЗ на АС, на соответствие которым проведены испытания;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перечень пунктов программы и методики испытаний, по которым проведены испытания;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сведения о результатах наблюдений за правильностью функционирования АС;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сведения об отказах, сбоях и аварийных ситуациях, возникающих при испытаниях;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сведения о корректировках параметров объекта испытания и технической документации.</w:t>
            </w:r>
          </w:p>
        </w:tc>
        <w:tc>
          <w:tcPr>
            <w:tcW w:w="176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документации, описывающей результат выполнения Работ</w:t>
            </w:r>
          </w:p>
        </w:tc>
        <w:tc>
          <w:tcPr>
            <w:tcW w:w="17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приемке результатов Работ</w:t>
            </w:r>
          </w:p>
        </w:tc>
        <w:tc>
          <w:tcPr>
            <w:tcW w:w="50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Вся разрабатываемая документация должна быть выполнена на русском языке.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Разработанные Подрядчиком документы по результатам выполнения Работ должны быть предварительно согласованы с Заказчиком для оценки полноты предоставленной информации, все замечания на момент приемки результатов Работ должны быть устранены.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Документация подписывается со стороны Заказчика руководителем Департамента информационных технологий и цифрового развития.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Также Подрядчик передает заказчику акт приемки-сдачи выполненных Работ в двух экземплярах по предварительно согласованной форме.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Документы, передаваемые Заказчику по результатам выполняемых Работ</w:t>
            </w:r>
          </w:p>
        </w:tc>
        <w:tc>
          <w:tcPr>
            <w:tcW w:w="504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результате выполнения работ Подрядчик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должен быть передан Заказчику разработанный комплект эксплуатационной и исполнительной документации, отраженный в п. 2.1.4 таблицы 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Документы предоставляются в электронном виде (формат *.odt, *.ods или аналогичный формат) Заказчику.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ТТ)</w:t>
            </w:r>
          </w:p>
        </w:tc>
        <w:tc>
          <w:tcPr>
            <w:tcW w:w="17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Соблюдение требований при выполнении Работ</w:t>
            </w:r>
          </w:p>
        </w:tc>
        <w:tc>
          <w:tcPr>
            <w:tcW w:w="5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При разработке исполнительной и эксплуатационной документации Подрядчик должен руководствоваться требованиями ГОСТ 34.201-2020. Межгосударственный стандарт. Информационные технологии. Комплекс стандартов на автоматизированные системы. Виды, комплектность и обозначение документов при создании автоматизированных систем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(введен в действие Приказом Росстандарта от 19.11.2021 N 1521-ст)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и ГОСТ 59795-2021. Национальный стандарт Российской Федерации. Информационные технологии. Комплекс стандартов на автоматизированные системы. Автоматизированные системы. Требования к содержанию документов"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(утв. и введен в действие Приказом Росстандарта от 25.10.2021 N 1297-ст)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ответственности и гарантиям Подрядчика</w:t>
            </w:r>
          </w:p>
        </w:tc>
        <w:tc>
          <w:tcPr>
            <w:tcW w:w="17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Гарантии качества</w:t>
            </w:r>
          </w:p>
        </w:tc>
        <w:tc>
          <w:tcPr>
            <w:tcW w:w="5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Подрядчик гарантирует выполнение всех работ в соответствии с таблицей 2 в сроки указанные в таблице 4.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</w:t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Гарантийный срок на результат Работ</w:t>
            </w:r>
          </w:p>
        </w:tc>
        <w:tc>
          <w:tcPr>
            <w:tcW w:w="50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24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Гарантийный срок на результат работ должен составлять 12 месяцев с даты подписания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Акта о приемке выполненных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Гарантийный срок на результат Работ должен составлять не менее 12 месяцев с даты подписания Акта о приемке выполненных работ КС-2.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</w:t>
            </w:r>
          </w:p>
        </w:tc>
        <w:tc>
          <w:tcPr>
            <w:tcW w:w="1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требуется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‍</w:t>
            </w:r>
          </w:p>
        </w:tc>
        <w:tc>
          <w:tcPr>
            <w:tcW w:w="730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Требования к происхождению поставляемого оборудования</w:t>
            </w:r>
          </w:p>
        </w:tc>
        <w:tc>
          <w:tcPr>
            <w:tcW w:w="17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19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b w:val="false"/>
                <w:bCs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225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Страна происхождения</w:t>
            </w:r>
          </w:p>
        </w:tc>
        <w:tc>
          <w:tcPr>
            <w:tcW w:w="505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Поставляемоое оборудование, указанное в Таблице № 4 "Перечень и объем закупаемых МТР" должно быть включено в реестры, предусмотренные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1875.</w:t>
            </w:r>
          </w:p>
        </w:tc>
        <w:tc>
          <w:tcPr>
            <w:tcW w:w="176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b w:val="false"/>
                <w:bCs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225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Наличие в реестре российской промышленной продукции</w:t>
            </w:r>
          </w:p>
        </w:tc>
        <w:tc>
          <w:tcPr>
            <w:tcW w:w="505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Поставляемое оборудование должно быть внесено в реестр российской промышленной продукции, расположенный на сайте https://gisp.gov.ru/pp719v2/pub/prod и единый реестр российской радиоэлектронной продукции, расположенный на сайте https://gisp.gov.ru/pp719v2/pub/prod/rep/ на основании требования: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ПП РФ № 719 от 17 июля 2015 г. "О подтверждении производства российской промышленной продукции" (при этом совокупное количество баллов за выполнение (освоение) на территории Российской Федерации производственных и технологических операций для каждой единицы продукции должно составлять не менее 150 баллов)</w:t>
            </w:r>
          </w:p>
        </w:tc>
        <w:tc>
          <w:tcPr>
            <w:tcW w:w="176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iCs/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jc w:val="center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730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обязательствам Подрядчика, влияющим на исполнение договора</w:t>
            </w:r>
          </w:p>
        </w:tc>
        <w:tc>
          <w:tcPr>
            <w:tcW w:w="1763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989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соисполнителям, привлекаемым к выполнению Работ</w:t>
            </w:r>
          </w:p>
        </w:tc>
        <w:tc>
          <w:tcPr>
            <w:tcW w:w="5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 случае привлечения к выполнению Работ соисполнителей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</w:t>
            </w:r>
          </w:p>
        </w:tc>
        <w:tc>
          <w:tcPr>
            <w:tcW w:w="176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  <w:t>-</w:t>
            </w:r>
          </w:p>
        </w:tc>
        <w:tc>
          <w:tcPr>
            <w:tcW w:w="198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‍</w:t>
            </w:r>
          </w:p>
        </w:tc>
        <w:tc>
          <w:tcPr>
            <w:tcW w:w="2266" w:type="dxa"/>
            <w:gridSpan w:val="2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5041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1763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  <w:tc>
          <w:tcPr>
            <w:tcW w:w="198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gutter="0" w:header="0" w:top="680" w:footer="851" w:bottom="1410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uppressAutoHyphens w:val="true"/>
        <w:bidi w:val="0"/>
        <w:spacing w:before="0" w:after="0"/>
        <w:jc w:val="both"/>
        <w:rPr>
          <w:rStyle w:val="Style8"/>
          <w:lang w:val="ru-RU"/>
        </w:rPr>
      </w:pPr>
      <w:r>
        <w:rPr/>
      </w:r>
    </w:p>
    <w:p>
      <w:pPr>
        <w:pStyle w:val="Heading1"/>
        <w:keepLines/>
        <w:numPr>
          <w:ilvl w:val="0"/>
          <w:numId w:val="3"/>
        </w:numPr>
        <w:spacing w:before="0" w:after="0"/>
        <w:ind w:left="357" w:hanging="357"/>
        <w:jc w:val="center"/>
        <w:rPr>
          <w:sz w:val="24"/>
          <w:szCs w:val="24"/>
          <w:lang w:val="ru-RU"/>
        </w:rPr>
      </w:pPr>
      <w:bookmarkStart w:id="48" w:name="__RefHeading___Toc376645_1820824432"/>
      <w:bookmarkStart w:id="49" w:name="_Toc53395937"/>
      <w:bookmarkStart w:id="50" w:name="_Toc224659156"/>
      <w:bookmarkStart w:id="51" w:name="_Toc53393312"/>
      <w:bookmarkEnd w:id="48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49"/>
      <w:bookmarkEnd w:id="51"/>
      <w:r>
        <w:rPr>
          <w:sz w:val="24"/>
          <w:szCs w:val="24"/>
          <w:lang w:val="ru-RU"/>
        </w:rPr>
        <w:t xml:space="preserve"> на этапе закупки</w:t>
      </w:r>
      <w:bookmarkEnd w:id="5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>
          <w:rStyle w:val="Style8"/>
          <w:b w:val="false"/>
          <w:bCs/>
          <w:iCs/>
          <w:sz w:val="24"/>
          <w:szCs w:val="24"/>
          <w:shd w:fill="auto" w:val="clear"/>
        </w:rPr>
        <w:t>[заполнить при необходимости]</w:t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0"/>
        <w:ind w:left="357" w:hanging="357"/>
        <w:jc w:val="center"/>
        <w:rPr>
          <w:sz w:val="24"/>
          <w:szCs w:val="24"/>
          <w:lang w:val="ru-RU"/>
        </w:rPr>
      </w:pPr>
      <w:bookmarkStart w:id="52" w:name="__RefHeading___Toc376647_1820824432"/>
      <w:bookmarkStart w:id="53" w:name="_Toc54281228"/>
      <w:bookmarkStart w:id="54" w:name="_Toc224659157"/>
      <w:bookmarkEnd w:id="52"/>
      <w:r>
        <w:rPr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53"/>
      <w:bookmarkEnd w:id="54"/>
    </w:p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w="11906" w:h="16838"/>
          <w:pgMar w:left="1134" w:right="851" w:gutter="0" w:header="0" w:top="680" w:footer="992" w:bottom="15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widowControl w:val="false"/>
        <w:tabs>
          <w:tab w:val="clear" w:pos="708"/>
          <w:tab w:val="left" w:pos="426" w:leader="none"/>
        </w:tabs>
        <w:jc w:val="both"/>
        <w:rPr/>
      </w:pPr>
      <w:r>
        <w:rPr>
          <w:rStyle w:val="Style8"/>
          <w:b w:val="false"/>
          <w:bCs/>
          <w:iCs/>
          <w:sz w:val="24"/>
          <w:szCs w:val="24"/>
          <w:shd w:fill="auto" w:val="clear"/>
        </w:rPr>
        <w:t>[заполнить при необходимости]</w:t>
      </w:r>
      <w:r>
        <w:br w:type="page"/>
      </w:r>
    </w:p>
    <w:p>
      <w:pPr>
        <w:pStyle w:val="Normal"/>
        <w:jc w:val="right"/>
        <w:rPr>
          <w:rFonts w:eastAsia="Calibri"/>
          <w:b/>
          <w:bCs/>
        </w:rPr>
      </w:pPr>
      <w:bookmarkStart w:id="55" w:name="_64f6mn3tvztm_Копия_1"/>
      <w:bookmarkEnd w:id="55"/>
      <w:r>
        <w:rPr>
          <w:rFonts w:eastAsia="Calibri"/>
          <w:b/>
          <w:bCs/>
          <w:szCs w:val="24"/>
        </w:rPr>
        <w:t xml:space="preserve">Приложение № 1 </w:t>
      </w:r>
    </w:p>
    <w:p>
      <w:pPr>
        <w:pStyle w:val="Normal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jc w:val="both"/>
        <w:rPr>
          <w:rFonts w:eastAsia="Calibri"/>
          <w:b/>
          <w:bCs/>
          <w:sz w:val="24"/>
          <w:szCs w:val="24"/>
        </w:rPr>
      </w:pPr>
      <w:r>
        <w:rPr>
          <w:rStyle w:val="Style8"/>
          <w:rFonts w:eastAsia="Calibri"/>
          <w:bCs/>
          <w:i w:val="false"/>
          <w:iCs/>
          <w:sz w:val="24"/>
          <w:szCs w:val="24"/>
          <w:shd w:fill="auto" w:val="clear"/>
        </w:rPr>
        <w:t>Таблица 7 – Требования к Товару (индивидуальные требования по каждой позиции перечня Товара)</w:t>
      </w:r>
    </w:p>
    <w:tbl>
      <w:tblPr>
        <w:tblW w:w="14741" w:type="dxa"/>
        <w:jc w:val="left"/>
        <w:tblInd w:w="2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7"/>
        <w:gridCol w:w="1788"/>
        <w:gridCol w:w="55"/>
        <w:gridCol w:w="6521"/>
        <w:gridCol w:w="2126"/>
        <w:gridCol w:w="3544"/>
      </w:tblGrid>
      <w:tr>
        <w:trPr>
          <w:trHeight w:val="311" w:hRule="atLeast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Требования Покупателя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726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Тип Товара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ind w:right="412" w:hanging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(параметры эквивалентности), не хуже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5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5</w:t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1.</w:t>
            </w:r>
          </w:p>
        </w:tc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Позиция 1</w:t>
            </w:r>
            <w:r>
              <w:rPr>
                <w:i w:val="false"/>
                <w:iCs w:val="false"/>
                <w:sz w:val="24"/>
                <w:szCs w:val="24"/>
              </w:rPr>
              <w:t xml:space="preserve"> Сервер (ДЛП ЦОД М9)</w:t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1.1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Производительность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2х установленных процессоров;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4,1ГГц базовая частота каждого установленного процессора (без учета технологии динамического изменения частоты);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16х ядер каждого установленного процессора;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32х потоков каждого установленного процессора;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256МБ кэш память третьего уровня (L3) каждого установленного процессора;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тип установленной оперативной памяти: Не менее RDIMM DDR5 6400MHz;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16ГБ объем каждого установленного модуля оперативной памяти;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24х слотов для модулей оперативной памяти;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64ГБ объем установленной оперативной памяти;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поддержка функции обнаружения и коррекции ошибок в оперативной памяти.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TDP процессоров до 320 Вт каждый</w:t>
            </w:r>
          </w:p>
          <w:p>
            <w:pPr>
              <w:pStyle w:val="Normal"/>
              <w:widowControl w:val="false"/>
              <w:suppressAutoHyphens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1.2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Накопители и дисковый контроллер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Аппаратный RAID-контроллер, не менее 2ГБ кэш, не менее 16i портов, BBU (CacheVault)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поддерживаемые дисковым (аппаратным) контроллером типы RAID: 0,1,5,10,50 вне зависимости от типов дисковых накопителей и их интерфейсов SATA/SAS/SSD/NVMe и т.д.;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поддерживаемые интерфейсы подключения накопителей информации к дисковому контроллеру: SAS, SATA, NVMe;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интерфейс поддерживаемых накопителей: SATA, SAS, PCIe, SSD, NVMe, M.2, USB;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2ГБ объем кэп-памяти дискового контроллера;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3х интерфейсных кабелей MINI SAS HD (SFF-8643) - MINI SAS HD (SFF-8643) длиной 800 мм;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1-го интерфейсного кабеля SFF8643-SATASB, длиной  не менее 750 мм;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2х твердотельных накопителя с интерфейсом SSD SATA 6Gb/s объемом не менее 960ГБ и количество перезаписей диска в день Disk Writes Per Day (DWPD) не менее 1;</w:t>
            </w:r>
          </w:p>
          <w:p>
            <w:pPr>
              <w:pStyle w:val="Normal"/>
              <w:widowControl w:val="false"/>
              <w:suppressAutoHyphens w:val="false"/>
              <w:ind w:left="57" w:hanging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1.3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Видеокарты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менее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1x GPU-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ускорителя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PCIe 3.0 x16 (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например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, NVIDIA NVIDIA Tesla T4 Graphics Cards with accessory (ATX installed, LP included), 16GB, 70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Вт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TDP );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Техпроцесс 12нм;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2560 шейдерных процессоров CUDA;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16Гб объем видеопамяти;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Тип видеопамяти GDDR6;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Комплект кабелей питания 16-pin (12+4) для GPU;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Поддержка до 70 Вт на GPU-слот с достаточным охлаждением.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1.4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Слоты, интерфейсы, контроллеры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2x PCIe 5.0 x16 Full-Height слотов для GPU;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 OCP 3.0 PCIe 5.0 x16 слот для сетевой карты 4x10GbE SFP+;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встроенный контроллер удаленного управления с поддержкой IPMI 2.0 выделенным сетевым портом RJ-45;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1х дискретного сетевого контроллера ​ 10 Гбит/с SFP+ OCP 3.0 в комплекте с 4 трансиверами 10Gb SR(4х10Gb, SFP+, Duplex LC, 850 nm, MMF);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1х дискретного сетевого контроллера ​ 10/25 Гбит/с SFP28 PCIe 5.0 в комплекте с 4 трансиверами 25Gb SR(4х25Gb, SFP+, Duplex LC, 850 nm, MMF);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2х слотов расширения M.2 M-key PCIe/SATA;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2x MCIO Slimline x2 портов для SATA;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1x USB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3.2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front panel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>1x USB 2.0 front panel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>1x VGA front panel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16x DIMM слота DDR5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1.5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Технические характеристики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форм-фактор корпуса: Rack, монтаж в коммутационном шкафу;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занимаемое место в шкафу/стойке не менее 2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 xml:space="preserve"> (юнит);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наличие запираемой фронтальной панели;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глубина корпуса, не более 770 мм.;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12х отсек для накопителей 3,5" с возможностью установки 2,5" накопителей (8 × SATA/SAS/NVMe + 4 × SATA/SAS), с функцией «горячей» замены на передней панели корпуса;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 xml:space="preserve">2х блок питания с поддержкой функции горячей замены мощностью 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1600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Вт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каждый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(2x1600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Вт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80+ Platinum hot swap);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1х порт ввода-вывода USB 3.2 на передней панели корпуса;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1х порт ввода-вывода USB 2.0 на передней панели корпуса;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1х порт VGA на передней панели корпуса;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кнопка на передней панели корпуса аппаратного Включения/Выключения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6x 60мм вентиляторы охлаждения с возможностью горячей замены.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Индикатор UID на фронт/реар для идентификации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2х кабеля питания IEC-320-C13-IEC-320-C14, 1.8 м.</w:t>
            </w:r>
          </w:p>
          <w:p>
            <w:pPr>
              <w:pStyle w:val="Normal"/>
              <w:widowControl w:val="false"/>
              <w:ind w:left="57" w:hanging="360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3" w:hanging="0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1.6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Крепление для монтажа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Наличие крепления для монтажа в 19" стойку.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3" w:hanging="0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1.7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Материалы для подключения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4х трансивер 10Gb SR(4х10Gb, SFP+, Duplex LC, 850 nm, MMF);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1х трансивер SFP RJ45(10/100/1000 Base-T, 100m);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4х шнур оптический duplex LC-LC 50/125 mm OM4 LSZH, 3m;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1х шнур коммутационный F/UTP, категория 5е, 2xRJ45/8p8c, экранированный, серый, LSZH, 3м;</w:t>
            </w:r>
          </w:p>
          <w:p>
            <w:pPr>
              <w:pStyle w:val="Normal"/>
              <w:widowControl w:val="false"/>
              <w:ind w:left="57" w:hanging="0"/>
              <w:jc w:val="both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443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1.8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Нахождение в едином реестре российской радиоэлектронной Продукции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Входит в единый реестр российской радиоэлектронной Продукции (реестр, предусмотренный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1875).</w:t>
            </w:r>
          </w:p>
          <w:p>
            <w:pPr>
              <w:pStyle w:val="Normal"/>
              <w:widowControl w:val="false"/>
              <w:ind w:left="57" w:hanging="0"/>
              <w:jc w:val="both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1.9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Наличие документации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Наличие документации на русском языке, включающей документы: паспорт на сервер, ТУ на серверы, Руководство эксплуатации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1.10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Техническая поддержка и гарантия от производителя на все компоненты, включая управляющее ПО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Наличие технической поддержки и стандартной (ремонт в сервисном центре) гарантии от производителя на все компоненты, включая управляющее ПО, сроком на 3 (три) года. Регистрация обращений 24 часа в сутки 7 дней в неделю, по электронной почте и телефону, включая выходные и праздничные дни.</w:t>
            </w:r>
          </w:p>
          <w:p>
            <w:pPr>
              <w:pStyle w:val="Normal"/>
              <w:widowControl w:val="false"/>
              <w:ind w:left="57" w:hanging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83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Доставка неисправного оборудования до авторизованного сервисного центра и доставка исправного оборудования до Заказчика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Доставка неисправного оборудования до авторизованного сервисного центра и доставка исправного оборудования до Заказчика должна осущест</w:t>
            </w:r>
            <w:bookmarkStart w:id="56" w:name="_GoBack"/>
            <w:bookmarkEnd w:id="56"/>
            <w:r>
              <w:rPr>
                <w:i w:val="false"/>
                <w:iCs w:val="false"/>
                <w:sz w:val="24"/>
                <w:szCs w:val="24"/>
              </w:rPr>
              <w:t>вляться силами Поставщика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09" w:hanging="284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Выдача и отправка отремонтированного оборудования Заказчику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Выдача и отправка отремонтированного оборудования Заказчику должна осуществляться не позднее 10 (десяти) рабочих дней с момента передачи оборудования в авторизованный сервисный центр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2.</w:t>
            </w:r>
          </w:p>
        </w:tc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Позиция 2</w:t>
            </w:r>
            <w:r>
              <w:rPr>
                <w:i w:val="false"/>
                <w:iCs w:val="false"/>
                <w:sz w:val="24"/>
                <w:szCs w:val="24"/>
              </w:rPr>
              <w:t xml:space="preserve"> Сервер под вычислительные ресурсы (ЦОД М9)</w:t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2.1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Производительность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2х установленных процессоров;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2,0ГГц базовая частота каждого установленного процессора (без учета технологии динамического изменения частоты);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64х ядер каждого установленного процессора;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128х потоков каждого установленного процессора;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256МБ кэш память третьего уровня (L3) каждого установленного процессора;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тип установленной оперативной памяти: Не менее RDIMM DDR4 3200MHz;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64ГБ объем каждого установленного модуля оперативной памяти;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16х слотов для модулей оперативной памяти;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1024ГБ объем установленной оперативной памяти;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поддержка функции обнаружения и коррекции ошибок в оперативной памяти.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TDP процессоров до 225 Вт каждый</w:t>
            </w:r>
          </w:p>
          <w:p>
            <w:pPr>
              <w:pStyle w:val="Normal"/>
              <w:widowControl w:val="false"/>
              <w:suppressAutoHyphens w:val="false"/>
              <w:ind w:left="57" w:hanging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2.2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Накопители и дисковый контроллер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Аппаратный RAID-контроллер, не менее 2ГБ кэш, не менее 16i портов, BBU (CacheVault)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поддерживаемые дисковым (аппаратным) контроллером типы RAID: 0,1,5,10,50 вне зависимости от типов дисковых накопителей и их интерфейсов SATA/SAS/SSD/NVMe и т.д.;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поддерживаемые интерфейсы подключения накопителей информации к дисковому контроллеру: SAS, SATA, NVMe;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интерфейс поддерживаемых накопителей: SATA, SAS, PCIe, SSD, NVMe, M.2, USB;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2ГБ объем кэп-памяти дискового контроллера;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3х интерфейсных кабелей MINI SAS HD (SFF-8643) - MINI SAS HD (SFF-8643), длиной не менее 800 мм;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1-го интерфейсного кабеля SFF8643-SATASB, длиной  не менее 750 мм;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2х твердотельных накопителя с интерфейсом SSD SATA 6Gb/s объемом не менее 480ГБ и количество перезаписей диска в день Disk Writes Per Day (DWPD) не менее 1;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2.3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Слоты, интерфейсы, контроллеры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5x PCIe 4.0 x16 низкопрофильных;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1х PCIe 4.0 x8 низкопрофильных;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встроенный контроллер удаленного управления с поддержкой IPMI 2.0 выделенным сетевым портом RJ-45;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1х дискретного сетевого контроллера ​ 10 Гбит/с SFP+ в комплекте с 4 трансиверами 10Gb SR(4х10Gb, SFP+, Duplex LC, 850 nm, MMF);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1х дискретного адаптера главной шины FiberChannel 32Gb SFP28 в комплекте с 2 трансиверами 32Gb SR(2х32Gb, SFP28, Duplex LC, 850 nm, MMF);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2х слотов расширения M.2 PCIe/SATA;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2x USB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3.0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front panel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>2x USB 2.0 rear panel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>1x VGA rear panel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16x DIMM слота DDR4</w:t>
            </w:r>
          </w:p>
          <w:p>
            <w:pPr>
              <w:pStyle w:val="Normal"/>
              <w:widowControl w:val="false"/>
              <w:ind w:left="57" w:hanging="0"/>
              <w:jc w:val="both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2.4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Технические характеристики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форм-фактор корпуса: Rack, монтаж в коммутационном шкафу;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занимаемое место в шкафу/стойке не менее 2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 xml:space="preserve"> (юнит);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наличие запираемой фронтальной панели;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глубина корпуса, не более 659 мм.;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12х отсек для накопителей 3,5" с возможностью установки 2,5" накопителей SATA/SAS, с функцией «горячей» замены на передней панели корпуса;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2х блок питания с поддержкой функции горячей замены мощностью 1600 Вт каждый;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2х порта ввода-вывода USB 3.0 на передней панели корпуса;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2х порта ввода-вывода USB 2.0 на задней панели корпуса;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1х порт VGA на задней панели корпуса;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кнопка на передней панели корпуса аппаратного Включения/Выключения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4x 80мм вентиляторы охлаждения с возможностью горячей замены;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Индикатор UID на фронт/реар для идентификации</w:t>
            </w:r>
          </w:p>
          <w:p>
            <w:pPr>
              <w:pStyle w:val="Normal"/>
              <w:widowControl w:val="false"/>
              <w:numPr>
                <w:ilvl w:val="0"/>
                <w:numId w:val="13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2х кабеля питания IEC-320-C13-IEC-320-C14, 1.8 м.</w:t>
            </w:r>
          </w:p>
          <w:p>
            <w:pPr>
              <w:pStyle w:val="Normal"/>
              <w:widowControl w:val="false"/>
              <w:ind w:left="57" w:hanging="360"/>
              <w:jc w:val="both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3" w:hanging="0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2.5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Крепление для монтажа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Наличие крепления для монтажа в 19" стойку.</w:t>
            </w:r>
          </w:p>
          <w:p>
            <w:pPr>
              <w:pStyle w:val="Normal"/>
              <w:widowControl w:val="false"/>
              <w:ind w:left="57" w:hanging="0"/>
              <w:jc w:val="both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443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2.6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Нахождение в едином реестре российской радиоэлектронной Продукции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Входит в единый реестр российской радиоэлектронной Продукции (реестр, предусмотренный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1875).</w:t>
            </w:r>
          </w:p>
          <w:p>
            <w:pPr>
              <w:pStyle w:val="Normal"/>
              <w:widowControl w:val="false"/>
              <w:ind w:left="57" w:hanging="0"/>
              <w:jc w:val="both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2.7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Наличие документации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Наличие документации на русском языке, включающей документы: паспорт на сервер, ТУ на серверы, Руководство эксплуатации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2.8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Техническая поддержка и гарантия от производителя на все компоненты, включая управляющее ПО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Наличие технической поддержки и стандартной (ремонт в сервисном центре) гарантии от производителя на все компоненты, включая управляющее ПО, сроком на 3 (три) года. Регистрация обращений 24 часа в сутки 7 дней в неделю, по электронной почте и телефону, включая выходные и праздничные дни.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83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Доставка неисправного оборудования до авторизованного сервисного центра и доставка исправного оборудования до Заказчика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Доставка неисправного оборудования до авторизованного сервисного центра и доставка исправного оборудования до Заказчика должна осуществляться силами Поставщика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09" w:hanging="284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Выдача и отправка отремонтированного оборудования Заказчику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Выдача и отправка отремонтированного оборудования Заказчику должна осуществляться не позднее 10 (десяти) рабочих дней с момента передачи оборудования в авторизованный сервисный центр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3.</w:t>
            </w:r>
          </w:p>
        </w:tc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Позиция 3</w:t>
            </w:r>
            <w:r>
              <w:rPr>
                <w:i w:val="false"/>
                <w:iCs w:val="false"/>
                <w:sz w:val="24"/>
                <w:szCs w:val="24"/>
              </w:rPr>
              <w:t xml:space="preserve"> Сервер (ИА Красноярск)</w:t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3.1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Производительность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2х установленных процессоров;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4,1ГГц базовая частота каждого установленного процессора (без учета технологии динамического изменения частоты);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16х ядер каждого установленного процессора;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32х потоков каждого установленного процессора;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256МБ кэш память третьего уровня (L3) каждого установленного процессора;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тип установленной оперативной памяти: Не менее RDIMM DDR5 6400MHz;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16ГБ объем каждого установленного модуля оперативной памяти;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24х слотов для модулей оперативной памяти;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64ГБ объем установленной оперативной памяти;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поддержка функции обнаружения и коррекции ошибок в оперативной памяти;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TDP процессора до 320 Вт каждого установленного процессора.</w:t>
            </w:r>
          </w:p>
          <w:p>
            <w:pPr>
              <w:pStyle w:val="Normal"/>
              <w:widowControl w:val="false"/>
              <w:suppressAutoHyphens w:val="false"/>
              <w:ind w:left="57" w:hanging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3.2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Накопители и дисковый контроллер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Аппаратный RAID-контроллер, не менее 2ГБ кэш, не менее 16i портов, BBU (CacheVault);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поддерживаемые дисковым (аппаратным) контроллером типы RAID: 0,1,5,10,50 вне зависимости от типов дисковых накопителей и их интерфейсов SATA/SAS/SSD/NVMe и т.д.;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поддерживаемые интерфейсы подключения накопителей информации к дисковому контроллеру: SAS, SATA, NVMe;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интерфейс поддерживаемых накопителей: SATA, SAS, PCIe, SSD, NVMe, M.2, USB;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2ГБ объем кэп-памяти дискового контроллера;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3х интерфейсных кабелей MINI SAS HD (SFF-8643) - MINI SAS HD (SFF-8643) длиной 800 мм;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1-го интерфейсного кабеля SFF8643-SATASB, длиной  не менее 750 мм;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2х твердотельных накопителя с интерфейсом SSD SATA 6Gb/s объемом не менее 960ГБ и количество перезаписей диска в день Disk Writes Per Day (DWPD) не менее 1.</w:t>
            </w:r>
          </w:p>
          <w:p>
            <w:pPr>
              <w:pStyle w:val="Normal"/>
              <w:widowControl w:val="false"/>
              <w:suppressAutoHyphens w:val="false"/>
              <w:ind w:left="57" w:hanging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3.3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Видеокарты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менее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1x GPU-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ускорителя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PCIe 3.0 x16 (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например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, NVIDIA NVIDIA Tesla T4 Graphics Cards with accessory (ATX installed, LP included), 16GB, 70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Вт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TDP );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Техпроцесс 12нм;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2560 шейдерных процессоров CUDA;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16Гб объем видеопамяти;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Тип видеопамяти GDDR6;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Комплект кабелей питания 16-pin (12+4) для GPU;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Поддержка до 70 Вт на GPU-слот с достаточным охлаждением.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3.4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Слоты, интерфейсы, контроллеры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2x PCIe 5.0 x16 Full-Height слотов для GPU;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 OCP 3.0 PCIe 5.0 x16 слот для сетевой карты 4x10GbE SFP+;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встроенный контроллер удаленного управления с поддержкой IPMI 2.0 выделенным сетевым портом RJ-45;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1х дискретного сетевого контроллера​ 10 Гбит/с SFP+ OCP 3.0 в комплекте с 4 трансиверами 10Gb SR(4х10Gb, SFP+, Duplex LC, 850 nm, MMF);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2х слотов расширения M.2 M-key PCIe/SATA;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2x MCIO Slimline x2 портов для SATA;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1x USB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3.2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front panel;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>1x USB 2.0 front panel;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>1x VGA front panel;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16x DIMM слота DDR5.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3.5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Технические характеристики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форм-фактор корпуса: Rack, монтаж в коммутационном шкафу;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занимаемое место в шкафу/стойке не менее 2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 xml:space="preserve"> (юнит);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наличие запираемой фронтальной панели;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глубина корпуса, не более 770 мм;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12х отсек для накопителей 3,5" с возможностью установки 2,5" накопителей (8 × SATA/SAS/NVMe + 4 × SATA/SAS), с функцией «горячей» замены на передней панели корпуса;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 xml:space="preserve">2х блок питания с поддержкой функции горячей замены мощностью 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1600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Вт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каждый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(2x1600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Вт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80+ Platinum hot swap);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1х порт ввода-вывода USB 3.2 на передней панели корпуса;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1х порт ввода-вывода USB 2.0 на передней панели корпуса;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1х порт VGA на передней панели корпуса;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кнопка на передней панели корпуса аппаратного Включения/Выключения;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6x 60мм вентиляторы охлаждения с возможностью горячей замены;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Индикатор UID на фронт/реар для идентификации;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2х кабеля питания IEC-320-C13-IEC-320-C14, 1.8 м.</w:t>
            </w:r>
          </w:p>
          <w:p>
            <w:pPr>
              <w:pStyle w:val="Normal"/>
              <w:widowControl w:val="false"/>
              <w:ind w:left="57" w:hanging="360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3" w:hanging="0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3.6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Крепление для монтажа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Наличие крепления для монтажа в 19" стойку.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3" w:hanging="0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3.7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Материалы для подключения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4х трансивер 10Gb SR(4х10Gb, SFP+, Duplex LC, 850 nm, MMF);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1х трансивер SFP RJ45(10/100/1000 Base-T, 100m);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4х шнур оптический duplex LC-LC 50/125 mm OM4 LSZH, 3m;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1х шнур коммутационный F/UTP, категория 5е, 2xRJ45/8p8c, экранированный, серый, LSZH, 3м.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443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3.8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Нахождение в едином реестре российской радиоэлектронной Продукции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Входит в единый реестр российской радиоэлектронной Продукции (реестр, предусмотренный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1875).</w:t>
            </w:r>
          </w:p>
          <w:p>
            <w:pPr>
              <w:pStyle w:val="Normal"/>
              <w:widowControl w:val="false"/>
              <w:ind w:left="57" w:hanging="0"/>
              <w:jc w:val="both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3.9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Наличие документации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Наличие документации на русском языке, включающей документы: паспорт на сервер, ТУ на серверы, Руководство эксплуатации.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3.10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Техническая поддержка и гарантия от производителя на все компоненты, включая управляющее ПО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Наличие технической поддержки и стандартной (ремонт в сервисном центре) гарантии от производителя на все компоненты, включая управляющее ПО, сроком на 3 (три) года. Регистрация обращений 24 часа в сутки 7 дней в неделю, по электронной почте и телефону, включая выходные и праздничные дни.</w:t>
            </w:r>
          </w:p>
          <w:p>
            <w:pPr>
              <w:pStyle w:val="Normal"/>
              <w:widowControl w:val="false"/>
              <w:ind w:left="57" w:hanging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83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Доставка неисправного оборудования до авторизованного сервисного центра и доставка исправного оборудования до Заказчика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Доставка неисправного оборудования до авторизованного сервисного центра и доставка исправного оборудования до площадки Заказчика должна осуществляться силами Поставщика.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09" w:hanging="284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Выдача и отправка отремонтированного оборудования Заказчику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Выдача и отправка отремонтированного оборудования Заказчику должна осуществляться не позднее 10 (десяти) рабочих дней с момента передачи оборудования в авторизованный сервисный центр.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4.</w:t>
            </w:r>
          </w:p>
        </w:tc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Позиция 4</w:t>
            </w:r>
            <w:r>
              <w:rPr>
                <w:i w:val="false"/>
                <w:iCs w:val="false"/>
                <w:sz w:val="24"/>
                <w:szCs w:val="24"/>
              </w:rPr>
              <w:t xml:space="preserve"> Сервер в филиалы (ДЛП Филиалы)</w:t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4.1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Производительность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2х установленных процессоров;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4,1ГГц базовая частота каждого установленного процессора (без учета технологии динамического изменения частоты);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16х ядер каждого установленного процессора;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32х потоков каждого установленного процессора;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256МБ кэш память третьего уровня (L3) каждого установленного процессора;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тип установленной оперативной памяти: Не менее RDIMM DDR5 6400MHz;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16ГБ объем каждого установленного модуля оперативной памяти;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24х слотов для модулей оперативной памяти;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64ГБ объем установленной оперативной памяти;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поддержка функции обнаружения и коррекции ошибок в оперативной памяти.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TDP процессора до 320 Вт каждого установленного процессора.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4.2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Накопители и дисковый контроллер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Аппаратный RAID-контроллер, не менее 2ГБ кэш, не менее 16i портов, BBU (CacheVault);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Поддерживаемые дисковым (аппаратным) контроллером типы RAID: 0,1,5,10,50 вне зависимости от типов дисковых накопителей и их интерфейсов SATA/SAS/SSD/NVMe и т.д.;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Поддерживаемые интерфейсы подключения накопителей информации к дисковому контроллеру: SAS, SATA, NVMe;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Интерфейс поддерживаемых накопителей: SATA, SAS, PCIe, SSD, NVMe, M.2, USB;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2ГБ объем кэп-памяти дискового контроллера;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3х интерфейсных кабелей MINI SAS HD (SFF-8643) - MINI SAS HD (SFF-8643) длиной 800 мм;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1-го интерфейсного кабеля SFF8643-SATASB, длиной  не менее 750 мм;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2х твердотельных накопителя с интерфейсом SSD SATA 6Gb/s объемом не менее 960ГБ и количество перезаписей диска в день Disk Writes Per Day (DWPD) не менее 1.</w:t>
            </w:r>
          </w:p>
          <w:p>
            <w:pPr>
              <w:pStyle w:val="Normal"/>
              <w:widowControl w:val="false"/>
              <w:suppressAutoHyphens w:val="false"/>
              <w:ind w:left="57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4.3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Видеокарты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менее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1x GPU-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ускорителя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PCIe 3.0 x16 (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например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, NVIDIA NVIDIA Tesla T4 Graphics Cards with accessory (ATX installed, LP included), 16GB, 70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Вт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TDP );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Техпроцесс 12нм;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2560 шейдерных процессоров CUDA;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16Гб объем видеопамяти;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Тип видеопамяти GDDR6;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Комплект кабелей питания 16-pin (12+4) для GPU;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Поддержка до 70 Вт на GPU-слот с достаточным охлаждением.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4.4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Слоты, интерфейсы, контроллеры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2x PCIe 5.0 x16 Full-Height слотов для GPU;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 OCP 3.0 PCIe 5.0 x16 слот для сетевой карты 4x10GbE SFP+;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встроенный контроллер удаленного управления с поддержкой IPMI 2.0 выделенным сетевым портом RJ-45;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1х дискретного сетевого контроллера ​ 10 Гбит/с SFP+ OCP 3.0 в комплекте с 4 трансиверами 10Gb SR(4х10Gb, SFP+, Duplex LC, 850 nm, MMF);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2х слотов расширения M.2 M-key PCIe/SATA;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Не менее 2x MCIO Slimline x2 портов для SATA;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1x USB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3.2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front panel;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>1x USB 2.0 front panel;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>1x VGA front panel;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16x DIMM слота DDR5.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4.5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Технические характеристики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форм-фактор корпуса: Rack, монтаж в коммутационном шкафу;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занимаемое место в шкафу/стойке не менее 2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 xml:space="preserve"> (юнит);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наличие запираемой фронтальной панели;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глубина корпуса, не более 770 мм;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12х отсек для накопителей 3,5" с возможностью установки 2,5" накопителей (8 × SATA/SAS/NVMe + 4 × SATA/SAS), с функцией «горячей» замены на передней панели корпуса;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 xml:space="preserve">2х блок питания с поддержкой функции горячей замены мощностью 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1600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Вт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каждый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(2x1600 </w:t>
            </w:r>
            <w:r>
              <w:rPr>
                <w:i w:val="false"/>
                <w:iCs w:val="false"/>
                <w:color w:val="000000"/>
                <w:sz w:val="24"/>
                <w:szCs w:val="24"/>
              </w:rPr>
              <w:t>Вт</w:t>
            </w:r>
            <w:r>
              <w:rPr>
                <w:i w:val="false"/>
                <w:iCs w:val="false"/>
                <w:color w:val="000000"/>
                <w:sz w:val="24"/>
                <w:szCs w:val="24"/>
                <w:lang w:val="en-US"/>
              </w:rPr>
              <w:t xml:space="preserve"> 80+ Platinum hot swap);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1х порт ввода-вывода USB 3.2 на передней панели корпуса;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1х порт ввода-вывода USB 2.0 на передней панели корпуса;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1х порт VGA на передней панели корпуса;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Кнопка на передней панели корпуса аппаратного Включения/Выключения;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6x 60мм вентиляторы охлаждения с возможностью горячей замены.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Индикатор UID на фронт/реар для идентификации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2х кабеля питания IEC-320-C13-IEC-320-C14, 1.8 м.</w:t>
            </w:r>
          </w:p>
          <w:p>
            <w:pPr>
              <w:pStyle w:val="Normal"/>
              <w:widowControl w:val="false"/>
              <w:ind w:left="57" w:hanging="360"/>
              <w:jc w:val="both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3" w:hanging="0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4.6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Крепление для монтажа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Наличие крепления для монтажа в 19" стойку.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3" w:hanging="0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4.7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Материалы для подключения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4х трансивер 10Gb SR(4х10Gb, SFP+, Duplex LC, 850 nm, MMF);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1х трансивер SFP RJ45(10/100/1000 Base-T, 100m);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4х шнур оптический duplex LC-LC 50/125 mm OM4 LSZH, 3m;</w:t>
            </w:r>
          </w:p>
          <w:p>
            <w:pPr>
              <w:pStyle w:val="Normal"/>
              <w:widowControl w:val="false"/>
              <w:numPr>
                <w:ilvl w:val="0"/>
                <w:numId w:val="15"/>
              </w:numPr>
              <w:suppressAutoHyphens w:val="false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1х шнур коммутационный F/UTP, категория 5е, 2xRJ45/8p8c, экранированный, серый, LSZH, 3м.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443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4.8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Нахождение в едином реестре российской радиоэлектронной Продукции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Входит в единый реестр российской радиоэлектронной Продукции (реестр, предусмотренный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4.9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Наличие документации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Наличие документации на русском языке, включающей документы: паспорт на сервер, ТУ на серверы, Руководство эксплуатации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4.10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left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Техническая поддержка и гарантия от производителя на все компоненты, включая управляющее ПО</w:t>
            </w:r>
          </w:p>
          <w:p>
            <w:pPr>
              <w:pStyle w:val="Normal"/>
              <w:widowControl w:val="false"/>
              <w:ind w:left="57" w:hanging="0"/>
              <w:jc w:val="left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Наличие технической поддержки и стандартной (ремонт в сервисном центре) гарантии от производителя на все компоненты, включая управляющее ПО, сроком на 3 (три) года. Регистрация обращений 24 часа в сутки 7 дней в неделю, по электронной почте и телефону, включая выходные и праздничные дни.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83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left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Доставка неисправного оборудования до авторизованного сервисного центра и доставка исправного оборудования до Заказчика</w:t>
            </w:r>
          </w:p>
          <w:p>
            <w:pPr>
              <w:pStyle w:val="Normal"/>
              <w:widowControl w:val="false"/>
              <w:ind w:left="57" w:hanging="0"/>
              <w:jc w:val="left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Доставка неисправного оборудования до авторизованного сервисного центра и доставка исправного оборудования до площадки Заказчика должна осуществляться силами Поставщика.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09" w:hanging="284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left"/>
              <w:rPr/>
            </w:pPr>
            <w:r>
              <w:rPr>
                <w:i w:val="false"/>
                <w:iCs w:val="false"/>
                <w:sz w:val="24"/>
                <w:szCs w:val="24"/>
              </w:rPr>
              <w:t>Выдача и отправка отремонтированного оборудования Заказчику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Выдача и отправка отремонтированного оборудования Заказчику должна осуществляться не позднее 10 (десяти) рабочих дней с момента передачи оборудования в авторизованный сервисный центр.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5.</w:t>
            </w:r>
          </w:p>
        </w:tc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Позиция 5</w:t>
            </w:r>
            <w:r>
              <w:rPr>
                <w:i w:val="false"/>
                <w:iCs w:val="false"/>
                <w:sz w:val="24"/>
                <w:szCs w:val="24"/>
              </w:rPr>
              <w:t xml:space="preserve"> Система хранения данных №1 (ЦОД M9)</w:t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5.1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Производительность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Количество контроллеров дискового массива в контроллерном шасси не менее 2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Тип подключаемых накопителей: твердотельный, шпиндельный;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Кэш память не менее 512 ГБ;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Объем каждого установленного модуля оперативной памяти не менее 64 ГБ;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  <w:spacing w:val="-8"/>
              </w:rPr>
              <w:t>Количество установленных модулей оперативной памяти не менее 8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Количество слотов для установки накопителей в контроллерном шасси не менее 32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Количество установленных процессоров не менее 4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  <w:spacing w:val="-6"/>
              </w:rPr>
              <w:t>Количество ядер каждого установленного процессора не менее 24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  <w:spacing w:val="-10"/>
              </w:rPr>
              <w:t>Количество потоков каждого установленного процессора не менее 48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Базовая частота каждого установленного процессора (без учета технологии динамического изменения частоты) не менее 2,2 ГГц;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</w:rPr>
              <w:t>Объем кэш памяти третьего уровня (L3) каждого установленного процессора не менее 35,75 МБ.</w:t>
            </w:r>
          </w:p>
          <w:p>
            <w:pPr>
              <w:pStyle w:val="Normal"/>
              <w:widowControl w:val="false"/>
              <w:suppressAutoHyphens w:val="false"/>
              <w:ind w:left="57" w:hanging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5.2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Накопители и дисковый контроллер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Количество накопителей типа 1 с поддержкой «горячей» замены, установленных в контроллерном шасси - не менее 4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Вид накопителей типа 1, установленных в контроллерном шасси, - твердотельный;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Объем накопителей типа 1, установленных в контроллерном шасси, - не менее 480 ГБ;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Интерфейс подключения накопителя типа 1, установленных в контроллерном шасси, - SATA;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Ресурс на запись дисков типа 1 - количество перезаписей всего объема накопителя в день (DWPD) - не менее 1;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Количество накопителей типа 2 с поддержкой горячей замены, установленных в контроллерном шасси, - не менее 22;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Вид накопителей типа 2, установленных в контроллерном шасси, - твердотельный;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Объем накопителей типа 2, установленных в контроллерном шасси, - не менее 7680 ГБ;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Интерфейс подключения накопителя типа 2, установленных в контроллерном шасси, — SAS;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</w:rPr>
              <w:t>Ресурс на запись дисков типа 2 - количество перезаписей всего объема накопителя в день (DWPD) - не менее 1.</w:t>
            </w:r>
          </w:p>
          <w:p>
            <w:pPr>
              <w:pStyle w:val="Normal"/>
              <w:widowControl w:val="false"/>
              <w:suppressAutoHyphens w:val="false"/>
              <w:ind w:left="57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5.3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Слоты, интерфейсы, контроллеры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Количество выделенных портов для синхронизации и интерконнект на один контроллер - не менее 2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Протокол синхронизации и интерконнект — Ethernet;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Скорость выделенного порта для синхронизации и интерконнект на один контроллер - не менее 100 Гбит/с;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  <w:spacing w:val="-6"/>
              </w:rPr>
              <w:t>Количество сетевых портов типа 1 на один контроллер - не менее 4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Поддерживаемые протоколы сетевого порта типа 1 — Ethernet;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Скорость сетевого порта Ethernet типа 1 - не менее 25 Гбит/с;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  <w:spacing w:val="-8"/>
              </w:rPr>
              <w:t>Тип среды передачи для сетевого порта типа 1 — волоконно-оптический;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  <w:spacing w:val="-4"/>
              </w:rPr>
              <w:t xml:space="preserve">Тип установленного </w:t>
            </w:r>
            <w:bookmarkStart w:id="57" w:name="__DdeLink__3086_948496517"/>
            <w:r>
              <w:rPr>
                <w:i w:val="false"/>
                <w:iCs w:val="false"/>
                <w:spacing w:val="-4"/>
              </w:rPr>
              <w:t>трансивер</w:t>
            </w:r>
            <w:bookmarkEnd w:id="57"/>
            <w:r>
              <w:rPr>
                <w:i w:val="false"/>
                <w:iCs w:val="false"/>
                <w:spacing w:val="-4"/>
              </w:rPr>
              <w:t>а для сетевого порта типа 1  - SFP28 SR;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Количество сетевых портов 1 Гбит/с Ethernet RJ-45 на один контроллер - не менее 4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дисков с интерфейсом SAS 12 Гбит/с;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Максимальное количество хост-портов тип Ethernet 10 Гбит/с SFP+ на 1 контроллер - не менее 12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Максимальное количество хост-портов тип Ethernet 10 Гбит/с RJ45 на 1 контроллер - не менее 12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Максимальное количество хост-портов тип Ethernet 25 Гбит/с на 1 контроллер - не менее 16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Максимальное количество хост-портов тип Ethernet 100 Гбит/с на 1 контроллер - не менее 8 шт.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Максимальная скорость передачи данных хост-портов тип Fibre Channel - не менее 32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Максимальное количество хост-портов тип Fibre Channel на 1 контроллер - не менее 6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Максимальное количество back-end-портов тип SAS 12 Гбит/с SFF-8644 на 1 контроллер - не менее 14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Количество установленных последовательных портов на 1 контроллер - не менее 1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Количество установленных портов USB 3.2 Gen 1 на 1 контроллер - не менее 4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Слот microSD на системной плате контроллера;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Разьем Oculink на системной плате контроллера для подключения NVME накопителей;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модулей памяти NVDIMM;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Слот M.2 с ключем Е на системной плате контроллера для установки АПМДЗ;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</w:rPr>
              <w:t>Минимальное количество контроллеров - 1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Максимальная скорость передачи данных хост-портов тип Infiniband - не менее 100 Гбит/с;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</w:rPr>
              <w:t>Максимальное количество хост-портов тип Infiniband на 1 контроллер - не менее 8 шт.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5.4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Поддерживаемые стандарты, протоколы, опции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Активация опции поддержки оптимизации работы с твердотельными дисками;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Количество накопителей, для которых активированы базовые опции, - не менее 24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двухконтроллерного режима для обеспечения отказоустойчивости и доступности с возможностью активации протокола несимметричного доступа Active/Active ALUA.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протоколов iSCSI, iSER и SRP для организации интерконнекта;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Веб-интерфейс с доступом по защищенному протоколу HTTPS и поддержкой авторизации как локальных пользователей, так и пользователей из внешних каталогов LDAP;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  <w:spacing w:val="-4"/>
              </w:rPr>
              <w:t>Поддержка интерфейса командной строки (Command-Line Interface, CLI) с возможностью полноценного конфигурирования системы;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Доступность информации о состоянии системы в графическом виде в веб-интерфейсе в режиме реального времени;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доступа по SSH с авторизацией как локальных пользователей, так и пользователей из внешних каталогов LDAP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установки времени сессии пользователя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русского и английского языков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работы с ОС: Ubuntu 18.04, 20.04, 22.04; Windows Server 2016, 2019, 2022; RHEL 7.x, 8.x; Astra Linux 1.7 и 1.8, Альт Сервер 10; РЕД ОС 7.3.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 xml:space="preserve">Поддержка работы с платформами виртуализации: VMware ESXi Server 7.0; zVirt 4.0; ROSA Virtualization 3.0, </w:t>
            </w:r>
            <w:r>
              <w:rPr>
                <w:i w:val="false"/>
                <w:iCs w:val="false"/>
                <w:lang w:val="en-US"/>
              </w:rPr>
              <w:t>VMmanager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размера блока 512 Б для SSD накопителей (поддержка томов для VMWare)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</w:rPr>
              <w:t>Поддержка передачи уведомлений по протоколу SMTP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  <w:spacing w:val="-4"/>
              </w:rPr>
              <w:t>Поддержка SNMP (позволяет получать по SNMP уведомления об ошибках, информацию о статусе и параметрах СХД) версий 1, 2 и 3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SNMP trap (уведомления передаваемые СХД в систему мониторинга при наступлении определенных событий)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Мониторинг износа SSD (механизм мониторинга уведомляет о проценте износа SSD-накопителей в системе)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изменения MTU (Максимальный размер передаваемого блока данных)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объединения каналов (Channel bonding) включая режим Balance-Round-Robin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</w:t>
            </w:r>
            <w:r>
              <w:rPr>
                <w:i w:val="false"/>
                <w:iCs w:val="false"/>
                <w:lang w:val="en-US"/>
              </w:rPr>
              <w:t xml:space="preserve"> </w:t>
            </w:r>
            <w:r>
              <w:rPr>
                <w:i w:val="false"/>
                <w:iCs w:val="false"/>
              </w:rPr>
              <w:t>уровней</w:t>
            </w:r>
            <w:r>
              <w:rPr>
                <w:i w:val="false"/>
                <w:iCs w:val="false"/>
                <w:lang w:val="en-US"/>
              </w:rPr>
              <w:t xml:space="preserve"> RAID: RAID0, RAID1, RAID10, RAID5, RAID6, RAID50, RAID60, RAID70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RAID c уровнем чередования блоков с тройным распределением чётности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RAID позволяющая пользователю самостоятельно выбирать уровень чередования блоков с распределением четности (Х дисков); данный тип RAID должен выдерживать полный отказ не менее Х любых дисков в группе. не менее 4 шт.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Возможность изменять уровень RAID: RAID0 в RAID1 и RAID10 и RAID5, RAID10 в RAID5, RAID5 в RAID6, RAID6 в RAID c 3 (тремя) дисками четности.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Возможность увеличения размера RAID0, RAID1, RAID10, RAID5, RAID6, RAID c 3 (тремя) дисками четности добавлением новых дисков в RAID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API-фреймворка VAAI, позволяющего при использовании в среде виртуализации выполнять часть операций на СХД вместо сервера виртуализации, тем самым уменьшая нагрузку на CPU, RAM и сеть хранения;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</w:rPr>
              <w:t>Функция автоматического включения механизма сквозной записи для последовательной записи;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  <w:spacing w:val="-6"/>
              </w:rPr>
              <w:t>Модуль мониторинга, позволяющий собирать информацию о состоянии физических дисков, логических дисков, RAID-массивов и использовать её для оптимизации производительности системы хранения;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мониторинга состояния дисков, позволяющего выявлять диски с наименьшей производительностью;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Максимальное количество дисков под хранение данных (включая диски под SSD-кэш) - не менее 132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Максимальное количество дисков в одном RAID - не менее 64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Создание RAID-массивов с инициализацией;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SSD-кэширования на чтение и запись;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  <w:spacing w:val="-6"/>
              </w:rPr>
              <w:t>Создание одного и нескольких наборов резервных дисков (Spare pool);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режима замены диска по получаемой информации от SMA.R.T.;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защиты от скрытого повреждения данных на инициализированных RAID-массивах;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упреждающей реконструкции (механизм обеспечения высокой производительности на операциях чтения, когда отдельные диски работают медленно);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частичной реконструкции (механизм сокращения общего времени восстановления RAID-массива при случайных или запланированных извлечениях накопителей);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механизма сканирования целостности (механизм сканирования целостности дисков массива по расписанию);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Работа</w:t>
            </w:r>
            <w:r>
              <w:rPr>
                <w:i w:val="false"/>
                <w:iCs w:val="false"/>
                <w:lang w:val="en-US"/>
              </w:rPr>
              <w:t xml:space="preserve"> </w:t>
            </w:r>
            <w:r>
              <w:rPr>
                <w:i w:val="false"/>
                <w:iCs w:val="false"/>
              </w:rPr>
              <w:t>в</w:t>
            </w:r>
            <w:r>
              <w:rPr>
                <w:i w:val="false"/>
                <w:iCs w:val="false"/>
                <w:lang w:val="en-US"/>
              </w:rPr>
              <w:t xml:space="preserve"> </w:t>
            </w:r>
            <w:r>
              <w:rPr>
                <w:i w:val="false"/>
                <w:iCs w:val="false"/>
              </w:rPr>
              <w:t>режиме</w:t>
            </w:r>
            <w:r>
              <w:rPr>
                <w:i w:val="false"/>
                <w:iCs w:val="false"/>
                <w:lang w:val="en-US"/>
              </w:rPr>
              <w:t xml:space="preserve"> SAN (Storage Area Network);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протокола блочного доступа iSCSI, iSER с CHAP-авторизацией и маскированием LUN;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протоколов блочного доступа FCP (FibreChannel), SRP (InfiniBand);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протокола блочного доступа SRP (InfiniBand);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</w:rPr>
              <w:t>Поддержка одновременного доступа к одному логическому разделу через различные интерфейсы блочного доступа iSCSI, iSER,FCP (FibreChannel), SRP (InfiniBand);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Работа</w:t>
            </w:r>
            <w:r>
              <w:rPr>
                <w:i w:val="false"/>
                <w:iCs w:val="false"/>
                <w:lang w:val="en-US"/>
              </w:rPr>
              <w:t xml:space="preserve"> </w:t>
            </w:r>
            <w:r>
              <w:rPr>
                <w:i w:val="false"/>
                <w:iCs w:val="false"/>
              </w:rPr>
              <w:t>в</w:t>
            </w:r>
            <w:r>
              <w:rPr>
                <w:i w:val="false"/>
                <w:iCs w:val="false"/>
                <w:lang w:val="en-US"/>
              </w:rPr>
              <w:t xml:space="preserve"> </w:t>
            </w:r>
            <w:r>
              <w:rPr>
                <w:i w:val="false"/>
                <w:iCs w:val="false"/>
              </w:rPr>
              <w:t>режиме</w:t>
            </w:r>
            <w:r>
              <w:rPr>
                <w:i w:val="false"/>
                <w:iCs w:val="false"/>
                <w:lang w:val="en-US"/>
              </w:rPr>
              <w:t xml:space="preserve"> NAS (Network Attached Storage);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протоколов файлового доступа NFS v4 и ниже, NFS-over-RDMA, SMB v2 и v3;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протоколов AFP, FTP;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</w:t>
            </w:r>
            <w:r>
              <w:rPr>
                <w:i w:val="false"/>
                <w:iCs w:val="false"/>
                <w:lang w:val="en-US"/>
              </w:rPr>
              <w:t xml:space="preserve"> </w:t>
            </w:r>
            <w:r>
              <w:rPr>
                <w:i w:val="false"/>
                <w:iCs w:val="false"/>
              </w:rPr>
              <w:t>интеграции</w:t>
            </w:r>
            <w:r>
              <w:rPr>
                <w:i w:val="false"/>
                <w:iCs w:val="false"/>
                <w:lang w:val="en-US"/>
              </w:rPr>
              <w:t xml:space="preserve"> NFS </w:t>
            </w:r>
            <w:r>
              <w:rPr>
                <w:i w:val="false"/>
                <w:iCs w:val="false"/>
              </w:rPr>
              <w:t>и</w:t>
            </w:r>
            <w:r>
              <w:rPr>
                <w:i w:val="false"/>
                <w:iCs w:val="false"/>
                <w:lang w:val="en-US"/>
              </w:rPr>
              <w:t xml:space="preserve"> LDAP, SMB c Active Directory;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WORM для протокола SMB, позволяющего запретить изменение и удаление записанного файла в течение длительного периода времени;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Возможность назначать администратора корневой директории общей папки и вложенных в нее файлов для SMB c Active Directory (функциональность Access Control List);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</w:rPr>
              <w:t>Поддержка доверительных отношений между доменами AD;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jc w:val="both"/>
              <w:rPr/>
            </w:pPr>
            <w:r>
              <w:rPr>
                <w:i w:val="false"/>
                <w:iCs w:val="false"/>
                <w:color w:val="000000"/>
                <w:spacing w:val="-4"/>
              </w:rPr>
              <w:t>Поддержка квотирования: возможности ограничить размер пространства на LUN, доступного пользователям общей папки для записи.</w:t>
            </w:r>
          </w:p>
          <w:p>
            <w:pPr>
              <w:pStyle w:val="Normal"/>
              <w:widowControl w:val="false"/>
              <w:ind w:left="57" w:hanging="360"/>
              <w:jc w:val="both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5.5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Технические характеристики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Высота контроллерного шасси — 4U;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Мощность установленного блока питания не менее 1600 Вт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Количество установленных блоков питания с поддержкой «горячей» замены не менее 2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  <w:color w:val="000000"/>
              </w:rPr>
              <w:t>Тип установки — стоечный;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2х кабеля питания IEC-320-C13-IEC-320-C14, 1.8 м.</w:t>
            </w:r>
          </w:p>
          <w:p>
            <w:pPr>
              <w:pStyle w:val="Normal"/>
              <w:widowControl w:val="false"/>
              <w:ind w:left="57" w:hanging="360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3" w:hanging="0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5.6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Крепление для монтажа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Наличие крепления для монтажа в 19" стойку.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3" w:hanging="0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5.7</w:t>
            </w:r>
          </w:p>
        </w:tc>
        <w:tc>
          <w:tcPr>
            <w:tcW w:w="1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Материалы для подключения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6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4х трансивер 10Gb SR(4х10Gb, SFP+, Duplex LC, 850 nm, MMF);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4х трансивер SFP RJ45(10/100/1000 Base-T, 100m);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4х шнур оптический duplex LC-LC 50/125 mm OM4 LSZH, 3m;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2х шнур коммутационный F/UTP, категория 5е, 2xRJ45/8p8c, экранированный, серый, LSZH, 3м.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443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5.8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Нахождение в едином реестре российской радиоэлектронной Продукции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Входит в единый реестр российской радиоэлектронной Продукции (реестр, предусмотренный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5.9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Наличие документации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Наличие документации на русском языке, включающей документы: паспорт на сервера, ТУ на серверы, Руководство эксплуатации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5.10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Техническая поддержка и гарантия от производителя на все компоненты, включая управляющее ПО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Наличие технической поддержки и стандартной (ремонт в сервисном центре) гарантии от производителя на все компоненты, включая управляющее ПО, сроком на 3 (три) года. Регистрация обращений 24 часа в сутки 7 дней в неделю, по электронной почте и телефону, включая выходные и праздничные дни.</w:t>
            </w:r>
          </w:p>
          <w:p>
            <w:pPr>
              <w:pStyle w:val="Normal"/>
              <w:widowControl w:val="false"/>
              <w:ind w:left="57" w:hanging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83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Доставка неисправного оборудования до авторизованного сервисного центра и доставка исправного оборудования до Заказчика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Доставка неисправного оборудования до авторизованного сервисного центра и доставка исправного оборудования до Заказчика должна осуществляться силами Поставщика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09" w:hanging="284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Выдача и отправка отремонтированного оборудования Заказчику</w:t>
            </w:r>
          </w:p>
        </w:tc>
        <w:tc>
          <w:tcPr>
            <w:tcW w:w="6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Выдача и отправка отремонтированного оборудования Заказчику должна осуществляться не позднее 10 (десяти) рабочих дней с момента передачи оборудования в авторизованный сервисный центр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6.</w:t>
            </w:r>
          </w:p>
        </w:tc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Позиция 6</w:t>
            </w:r>
            <w:r>
              <w:rPr>
                <w:i w:val="false"/>
                <w:iCs w:val="false"/>
                <w:sz w:val="24"/>
                <w:szCs w:val="24"/>
              </w:rPr>
              <w:t xml:space="preserve"> Система хранения данных №2 (ЦОД M9)</w:t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6.1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Производительность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Количество контроллеров дискового массива в контроллерном шасси не менее 2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Тип подключаемых накопителей: твердотельный, шпиндельный;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Кэш память не менее - 512 ГБ;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Объем каждого установленного модуля оперативной памяти - не менее 64 ГБ;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  <w:spacing w:val="-8"/>
              </w:rPr>
              <w:t>Количество установленных модулей оперативной памяти - не менее 8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Количество слотов для установки накопителей в контроллерном шасси - не менее 32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Количество установленных процессоров - не менее 4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  <w:spacing w:val="-6"/>
              </w:rPr>
              <w:t>Количество ядер каждого установленного процессора - не менее 12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  <w:spacing w:val="-10"/>
              </w:rPr>
              <w:t>Количество потоков каждого установленного процессора - не менее 24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Базовая частота каждого установленного процессора (без учета технологии динамического изменения частоты) - не менее 2,4 ГГц;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  <w:color w:val="000000"/>
              </w:rPr>
              <w:t>Объем кэш памяти третьего уровня (L3) каждого установленного процессора - не менее 16,5 МБ.</w:t>
            </w:r>
          </w:p>
          <w:p>
            <w:pPr>
              <w:pStyle w:val="Normal"/>
              <w:widowControl w:val="false"/>
              <w:suppressAutoHyphens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6.2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Накопители и дисковый контроллер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Количество накопителей типа 1 с поддержкой «горячей» замены, установленных в контроллерном шасси не менее 4 шт.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Вид накопителей типа 1, установленных в контроллерном шасси Твердотельный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Объем накопителей типа 1, установленных в контроллерном шасси не менее 480 ГБ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Интерфейс подключения накопителя типа 1, установленных в контроллерном шасси SATA;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Ресурс на запись дисков типа 1 - количество перезаписей всего объема накопителя в день (DWPD) не менее 1;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Количество накопителей тип 2 с поддержкой горячей замены, установленных в контроллерном шасси не менее 16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Вид накопителей тип 2, установленных в контроллерном шасси — шпиндельный;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Объем накопителей типа 2, установленных в контроллерном шасси не менее 18000 ГБ;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Интерфейс подключения накопителя типа 2, установленных в контроллерном шасси — SATA;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  <w:color w:val="000000"/>
              </w:rPr>
              <w:t>Ресурс на запись дисков типа 2 - количество перезаписей всего объема накопителя в день (DWPD) - не менее 1.</w:t>
            </w:r>
          </w:p>
          <w:p>
            <w:pPr>
              <w:pStyle w:val="Normal"/>
              <w:widowControl w:val="false"/>
              <w:suppressAutoHyphens w:val="false"/>
              <w:ind w:left="57" w:hanging="0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6.3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Слоты, интерфейсы, контроллеры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Количество выделенных портов для синхронизации и интерконнект на один контроллер не менее 2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Протокол синхронизации и интерконнект Ethernet;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Скорость выделенного порта для синхронизации и интерконнект на один контроллер не менее 100 Гбит/с;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  <w:spacing w:val="-6"/>
              </w:rPr>
              <w:t>Количество сетевых портов (тип 1) на один контроллер не менее 4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Поддерживаемые протоколы сетевого порта (тип 1) Ethernet;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Скорость сетевого порта Ethernet (тип 1) не менее 25 Гбит/с;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  <w:spacing w:val="-8"/>
              </w:rPr>
              <w:t>Тип среды передачи для сетевого порта (тип 1) — Волоконно-оптический;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  <w:spacing w:val="-4"/>
              </w:rPr>
              <w:t xml:space="preserve">Тип установленного </w:t>
            </w:r>
            <w:bookmarkStart w:id="58" w:name="__DdeLink__3086_948496517_Копия_1"/>
            <w:r>
              <w:rPr>
                <w:i w:val="false"/>
                <w:iCs w:val="false"/>
                <w:spacing w:val="-4"/>
              </w:rPr>
              <w:t>трансивер</w:t>
            </w:r>
            <w:bookmarkEnd w:id="58"/>
            <w:r>
              <w:rPr>
                <w:i w:val="false"/>
                <w:iCs w:val="false"/>
                <w:spacing w:val="-4"/>
              </w:rPr>
              <w:t>а для сетевого порта (тип 1) SFP28 SR;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Количество сетевых портов 1 Гбит/с Ethernet RJ-45 на один контроллер не менее 4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дисков с интерфейсом SAS 12 Гбит/с;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Максимальное количество хост-портов тип Ethernet 10 Гбит/с SFP+ на 1 контроллер не менее 12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Максимальное количество хост-портов тип Ethernet 10 Гбит/с RJ45 на 1 контроллер не менее 12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Максимальное количество хост-портов тип Ethernet 25 Гбит/с на 1 контроллер не менее 16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Максимальное количество хост-портов тип Ethernet 100 Гбит/с на 1 контроллер не менее 8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Максимальная скорость передачи данных хост-портов тип Fibre Channel не менее 32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Максимальное количество хост-портов тип Fibre Channel на 1 контроллер не менее 6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Максимальное количество back-end-портов тип SAS 12 Гбит/с SFF-8644 на 1 контроллер не менее 14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Количество установленных последовательных портов на 1 контроллер не менее 1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Количество установленных портов USB 3.2 Gen 1 на 1 контроллер не менее 4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Слот microSD на системной плате контроллера;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Разьем Oculink на системной плате контроллера для подключения NVME накопителей;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модулей памяти NVDIMM;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Слот M.2 с ключем Е на системной плате контроллера для установки АПМДЗ;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  <w:color w:val="000000"/>
              </w:rPr>
              <w:t>Минимальное количество контроллеров - 1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Максимальная скорость передачи данных хост-портов тип Infiniband не менее 100 Гбит/с;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  <w:color w:val="000000"/>
              </w:rPr>
              <w:t>Максимальное количество хост-портов тип Infiniband на 1 контроллер не менее 8 шт.;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6.4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Поддерживаемые стандарты, протоколы, опции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Активация опции поддержки оптимизации работы с твердотельными дисками;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Количество накопителей, для которых активированы базовые опции, не менее 24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двухконтроллерного режима для обеспечения отказоустойчивости и доступности с возможностью активации протокола несимметричного доступа Active/Active ALUA;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протоколов iSCSI, iSER и SRP для организации интерконнекта;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Веб-интерфейс с доступом по защищенному протоколу HTTPS и поддержкой авторизации как локальных пользователей, так и пользователей из внешних каталогов LDAP;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  <w:spacing w:val="-4"/>
              </w:rPr>
              <w:t>Поддержка интерфейса командной строки (Command-Line Interface, CLI) с возможностью полноценного конфигурирования системы;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Доступность информации о состоянии системы в графическом виде в веб-интерфейсе в режиме реального времени;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доступа по SSH с авторизацией как локальных пользователей, так и пользователей из внешних каталогов LDAP;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установки времени сессии пользователя;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русского и английского языков;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работы с ОС: Ubuntu 18.04, 20.04, 22.04;Windows Server 2016, 2019, 2022; RHEL 7.x, 8.x; Astra Linux 1.7 и 1.8, Альт Сервер 10; РЕД ОС 7.3;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 xml:space="preserve">Поддержка работы с платформами виртуализации: VMware ESXi Server 7.0; zVirt 4.0; ROSA Virtualization 3.0, </w:t>
            </w:r>
            <w:r>
              <w:rPr>
                <w:i w:val="false"/>
                <w:iCs w:val="false"/>
                <w:lang w:val="en-US"/>
              </w:rPr>
              <w:t>VMmanager;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размера блока 512 Б для SSD накопителей (поддержка томов для VMWare);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  <w:color w:val="000000"/>
              </w:rPr>
              <w:t>Поддержка передачи уведомлений по протоколу SMTP;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  <w:spacing w:val="-4"/>
              </w:rPr>
              <w:t>Поддержка SNMP (позволяет получать по SNMP уведомления об ошибках, информацию о статусе и параметрах СХД) версий 1, 2 и 3;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SNMP trap (уведомления передаваемые СХД в систему мониторинга при наступлении определенных событий);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Мониторинг износа SSD (механизм мониторинга уведомляет о проценте износа SSD-накопителей в системе);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изменения MTU (Максимальный размер передаваемого блока данных);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объединения каналов (Channel bonding) включая режим Balance-Round-Robin;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</w:t>
            </w:r>
            <w:r>
              <w:rPr>
                <w:i w:val="false"/>
                <w:iCs w:val="false"/>
                <w:lang w:val="en-US"/>
              </w:rPr>
              <w:t xml:space="preserve"> </w:t>
            </w:r>
            <w:r>
              <w:rPr>
                <w:i w:val="false"/>
                <w:iCs w:val="false"/>
              </w:rPr>
              <w:t>уровней</w:t>
            </w:r>
            <w:r>
              <w:rPr>
                <w:i w:val="false"/>
                <w:iCs w:val="false"/>
                <w:lang w:val="en-US"/>
              </w:rPr>
              <w:t xml:space="preserve"> RAID: RAID0, RAID1, RAID10, RAID5, RAID6, RAID50, RAID60, RAID70;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RAID c уровнем чередования блоков с тройным распределением чётности;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RAID позволяющая пользователю самостоятельно выбирать уровень чередования блоков с распределением четности (Х дисков); данный тип RAID должен выдерживать полный отказ не менее Х любых дисков в группе. не менее 4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Возможность изменять уровень RAID: RAID0 в RAID1 и RAID10 и RAID5, RAID10 в RAID5, RAID5 в RAID6, RAID6 в RAID c 3 (тремя) дисками четности;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Возможность увеличения размера RAID0, RAID1, RAID10, RAID5, RAID6, RAID c 3 (тремя) дисками четности добавлением новых дисков в RAID;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API-фреймворка VAAI, позволяющего при использовании в среде виртуализации выполнять часть операций на СХД вместо сервера виртуализации, тем самым уменьшая нагрузку на CPU, RAM и сеть хранения;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  <w:color w:val="000000"/>
              </w:rPr>
              <w:t>Функция автоматического включения механизма сквозной записи для последовательной записи;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  <w:spacing w:val="-6"/>
              </w:rPr>
              <w:t>Модуль мониторинга, позволяющий собирать информацию о состоянии физических дисков, логических дисков, RAID-массивов и использовать её для оптимизации производительности системы хранения;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мониторинга состояния дисков, позволяющего выявлять диски с наименьшей производительностью;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Максимальное количество дисков под хранение данных (включая диски под SSD-кэш) не менее 132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Максимальное количество дисков в одном RAID не менее 64 шт.;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Создание RAID-массивов с инициализацией;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SSD-кэширования на чтение и запись;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  <w:spacing w:val="-6"/>
              </w:rPr>
              <w:t>Создание одного и нескольких наборов резервных дисков (Spare pool);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режима замены диска по получаемой информации от S.M.A.R.T.;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защиты от скрытого повреждения данных на инициализированных RAID-массивах;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упреждающей реконструкции (механизм обеспечения высокой производительности на операциях чтения, когда отдельные диски работают медленно);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частичной реконструкции (механизм сокращения общего времени восстановления RAID-массива при случайных или запланированных извлечениях накопителей);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механизма сканирования целостности (механизм сканирования целостности дисков массива по расписанию)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Работа</w:t>
            </w:r>
            <w:r>
              <w:rPr>
                <w:i w:val="false"/>
                <w:iCs w:val="false"/>
                <w:lang w:val="en-US"/>
              </w:rPr>
              <w:t xml:space="preserve"> </w:t>
            </w:r>
            <w:r>
              <w:rPr>
                <w:i w:val="false"/>
                <w:iCs w:val="false"/>
              </w:rPr>
              <w:t>в</w:t>
            </w:r>
            <w:r>
              <w:rPr>
                <w:i w:val="false"/>
                <w:iCs w:val="false"/>
                <w:lang w:val="en-US"/>
              </w:rPr>
              <w:t xml:space="preserve"> </w:t>
            </w:r>
            <w:r>
              <w:rPr>
                <w:i w:val="false"/>
                <w:iCs w:val="false"/>
              </w:rPr>
              <w:t>режиме</w:t>
            </w:r>
            <w:r>
              <w:rPr>
                <w:i w:val="false"/>
                <w:iCs w:val="false"/>
                <w:lang w:val="en-US"/>
              </w:rPr>
              <w:t xml:space="preserve"> SAN (Storage Area Network);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протокола блочного доступа iSCSI, iSER с CHAP-авторизацией и маскированием LUN;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протоколов блочного доступа FCP (FibreChannel), SRP (InfiniBand);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протокола блочного доступа SRP (InfiniBand);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  <w:color w:val="000000"/>
              </w:rPr>
              <w:t>Поддержка одновременного доступа к одному логическому разделу через различные интерфейсы блочного доступа iSCSI, iSER,FCP (FibreChannel), SRP (InfiniBand);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Работа</w:t>
            </w:r>
            <w:r>
              <w:rPr>
                <w:i w:val="false"/>
                <w:iCs w:val="false"/>
                <w:lang w:val="en-US"/>
              </w:rPr>
              <w:t xml:space="preserve"> </w:t>
            </w:r>
            <w:r>
              <w:rPr>
                <w:i w:val="false"/>
                <w:iCs w:val="false"/>
              </w:rPr>
              <w:t>в</w:t>
            </w:r>
            <w:r>
              <w:rPr>
                <w:i w:val="false"/>
                <w:iCs w:val="false"/>
                <w:lang w:val="en-US"/>
              </w:rPr>
              <w:t xml:space="preserve"> </w:t>
            </w:r>
            <w:r>
              <w:rPr>
                <w:i w:val="false"/>
                <w:iCs w:val="false"/>
              </w:rPr>
              <w:t>режиме</w:t>
            </w:r>
            <w:r>
              <w:rPr>
                <w:i w:val="false"/>
                <w:iCs w:val="false"/>
                <w:lang w:val="en-US"/>
              </w:rPr>
              <w:t xml:space="preserve"> NAS (Network Attached Storage);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протоколов файлового доступа NFS v4 и ниже, NFS-over-RDMA, SMB v2 и v3;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протоколов AFP, FTP;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</w:t>
            </w:r>
            <w:r>
              <w:rPr>
                <w:i w:val="false"/>
                <w:iCs w:val="false"/>
                <w:lang w:val="en-US"/>
              </w:rPr>
              <w:t xml:space="preserve"> </w:t>
            </w:r>
            <w:r>
              <w:rPr>
                <w:i w:val="false"/>
                <w:iCs w:val="false"/>
              </w:rPr>
              <w:t>интеграции</w:t>
            </w:r>
            <w:r>
              <w:rPr>
                <w:i w:val="false"/>
                <w:iCs w:val="false"/>
                <w:lang w:val="en-US"/>
              </w:rPr>
              <w:t xml:space="preserve"> NFS </w:t>
            </w:r>
            <w:r>
              <w:rPr>
                <w:i w:val="false"/>
                <w:iCs w:val="false"/>
              </w:rPr>
              <w:t>и</w:t>
            </w:r>
            <w:r>
              <w:rPr>
                <w:i w:val="false"/>
                <w:iCs w:val="false"/>
                <w:lang w:val="en-US"/>
              </w:rPr>
              <w:t xml:space="preserve"> LDAP, SMB c Active Directory;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WORM для протокола SMB, позволяющего запретить изменение и удаление записанного файла в течение длительного периода времени;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Возможность назначать администратора корневой директории общей папки и вложенных в нее файлов для SMB c Active Directory (функциональность Access Control List);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Поддержка доверительных отношений между доменами AD;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  <w:color w:val="000000"/>
                <w:spacing w:val="-4"/>
              </w:rPr>
              <w:t>Поддержка квотирования: возможности ограничить размер пространства на LUN, доступного пользователям общей папки для записи.</w:t>
            </w:r>
          </w:p>
          <w:p>
            <w:pPr>
              <w:pStyle w:val="Normal"/>
              <w:widowControl w:val="false"/>
              <w:ind w:left="57" w:hanging="360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6.5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Технические характеристики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Высота контроллерного шасси - 4U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Мощность установленного блока питания не менее 1200 Вт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</w:rPr>
              <w:t>Количество установленных блоков питания с поддержкой «горячей» замены не менее 2 шт.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uppressAutoHyphens w:val="false"/>
              <w:spacing w:lineRule="auto" w:line="264"/>
              <w:ind w:left="57" w:hanging="360"/>
              <w:rPr/>
            </w:pPr>
            <w:r>
              <w:rPr>
                <w:i w:val="false"/>
                <w:iCs w:val="false"/>
                <w:color w:val="000000"/>
              </w:rPr>
              <w:t>Тип установки - стоечный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2х кабеля питания IEC-320-C13-IEC-320-C14, 1.8 м.</w:t>
            </w:r>
          </w:p>
          <w:p>
            <w:pPr>
              <w:pStyle w:val="Normal"/>
              <w:widowControl w:val="false"/>
              <w:ind w:left="57" w:hanging="360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Указание характеристик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3" w:hanging="0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6.6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Крепление для монтажа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Наличие крепления для монтажа в 19" стойку.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83" w:hanging="0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6.7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Материалы для подключения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6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4х трансивер 10Gb SR(4х10Gb, SFP+, Duplex LC, 850 nm, MMF);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4х трансивер SFP RJ45(10/100/1000 Base-T, 100m);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4х шнур оптический duplex LC-LC 50/125 mm OM4 LSZH, 3m;</w:t>
            </w:r>
          </w:p>
          <w:p>
            <w:pPr>
              <w:pStyle w:val="Normal"/>
              <w:widowControl w:val="false"/>
              <w:numPr>
                <w:ilvl w:val="0"/>
                <w:numId w:val="16"/>
              </w:numPr>
              <w:suppressAutoHyphens w:val="false"/>
              <w:ind w:left="57" w:hanging="36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2х шнур коммутационный F/UTP, категория 5е, 2xRJ45/8p8c, экранированный, серый, LSZH, 3м.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60" w:hanging="443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6.8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Нахождение в едином реестре российской радиоэлектронной Продукции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Входит в единый реестр российской радиоэлектронной Продукции (реестр, предусмотренный п. 3 постановления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№ 1875).</w:t>
            </w:r>
          </w:p>
          <w:p>
            <w:pPr>
              <w:pStyle w:val="Normal"/>
              <w:widowControl w:val="false"/>
              <w:ind w:left="57" w:hanging="0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6.9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Наличие документации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Наличие документации на русском языке, включающей документы: паспорт на сервера, ТУ на серверы, Руководство эксплуатации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sz w:val="24"/>
                <w:szCs w:val="24"/>
              </w:rPr>
              <w:t>6.10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Техническая поддержка и гарантия от производителя на все компоненты, включая управляющее ПО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Наличие технической поддержки и стандартной (ремонт в сервисном центре) гарантии от производителя на все компоненты, включая управляющее ПО, сроком на 3 (три) года. Регистрация обращений 24 часа в сутки 7 дней в неделю, по электронной почте и телефону, включая выходные и праздничные дни.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83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Доставка неисправного оборудования до авторизованного сервисного центра и доставка исправного оборудования до Заказчика</w:t>
            </w:r>
          </w:p>
          <w:p>
            <w:pPr>
              <w:pStyle w:val="Normal"/>
              <w:widowControl w:val="false"/>
              <w:ind w:left="57" w:hanging="0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Доставка неисправного оборудования до авторизованного сервисного центра и доставка исправного оборудования до Заказчика должна осуществляться силами Поставщика.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09" w:hanging="284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rPr/>
            </w:pPr>
            <w:r>
              <w:rPr>
                <w:i w:val="false"/>
                <w:iCs w:val="false"/>
                <w:sz w:val="24"/>
                <w:szCs w:val="24"/>
              </w:rPr>
              <w:t>Выдача и отправка отремонтированного оборудования Заказчику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</w:rPr>
              <w:t>Выдача и отправка отремонтированного оборудования Заказчику должна осуществляться не позднее 10 (десяти) рабочих дней с момента передачи оборудования в авторизованный сервисный центр.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color w:val="808080"/>
                <w:sz w:val="24"/>
                <w:szCs w:val="24"/>
              </w:rPr>
            </w:pPr>
            <w:r>
              <w:rPr>
                <w:i w:val="false"/>
                <w:iCs w:val="false"/>
                <w:color w:val="808080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numPr>
          <w:ilvl w:val="0"/>
          <w:numId w:val="0"/>
        </w:numPr>
        <w:ind w:left="794" w:hanging="0"/>
        <w:jc w:val="right"/>
        <w:rPr>
          <w:bCs/>
          <w:i w:val="false"/>
          <w:i w:val="false"/>
          <w:iCs w:val="false"/>
          <w:sz w:val="28"/>
          <w:szCs w:val="28"/>
        </w:rPr>
      </w:pPr>
      <w:r>
        <w:rPr>
          <w:bCs/>
          <w:i w:val="false"/>
          <w:iCs w:val="false"/>
          <w:sz w:val="28"/>
          <w:szCs w:val="28"/>
        </w:rPr>
      </w:r>
      <w:r>
        <w:br w:type="page"/>
      </w:r>
    </w:p>
    <w:p>
      <w:pPr>
        <w:pStyle w:val="Heading3"/>
        <w:numPr>
          <w:ilvl w:val="0"/>
          <w:numId w:val="0"/>
        </w:numPr>
        <w:ind w:left="794" w:hanging="0"/>
        <w:jc w:val="right"/>
        <w:rPr/>
      </w:pPr>
      <w:bookmarkStart w:id="59" w:name="_64f6mn3tvztm"/>
      <w:bookmarkEnd w:id="59"/>
      <w:r>
        <w:rPr>
          <w:bCs/>
          <w:i w:val="false"/>
          <w:iCs w:val="false"/>
          <w:sz w:val="28"/>
          <w:szCs w:val="28"/>
        </w:rPr>
        <w:t>П</w:t>
      </w:r>
      <w:bookmarkStart w:id="60" w:name="_Toc226650529"/>
      <w:r>
        <w:rPr>
          <w:bCs/>
          <w:i w:val="false"/>
          <w:iCs w:val="false"/>
          <w:sz w:val="28"/>
          <w:szCs w:val="28"/>
        </w:rPr>
        <w:t xml:space="preserve">риложение № 2 </w:t>
      </w:r>
      <w:bookmarkEnd w:id="60"/>
    </w:p>
    <w:p>
      <w:pPr>
        <w:pStyle w:val="Normal"/>
        <w:keepNext w:val="true"/>
        <w:spacing w:before="120" w:after="120"/>
        <w:jc w:val="both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12"/>
          <w:szCs w:val="12"/>
        </w:rPr>
      </w:r>
    </w:p>
    <w:p>
      <w:pPr>
        <w:pStyle w:val="Normal"/>
        <w:spacing w:before="120" w:after="12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highlight w:val="white"/>
        </w:rPr>
        <w:t>Таблица 8 - Форма спецификации поставляемого оборудования</w:t>
      </w:r>
    </w:p>
    <w:tbl>
      <w:tblPr>
        <w:tblW w:w="14905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63"/>
        <w:gridCol w:w="1809"/>
        <w:gridCol w:w="1023"/>
        <w:gridCol w:w="1022"/>
        <w:gridCol w:w="1309"/>
        <w:gridCol w:w="1133"/>
        <w:gridCol w:w="1186"/>
        <w:gridCol w:w="1017"/>
        <w:gridCol w:w="973"/>
        <w:gridCol w:w="791"/>
        <w:gridCol w:w="615"/>
        <w:gridCol w:w="803"/>
        <w:gridCol w:w="955"/>
        <w:gridCol w:w="1705"/>
      </w:tblGrid>
      <w:tr>
        <w:trPr>
          <w:trHeight w:val="1042" w:hRule="atLeas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поз.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Артикул</w:t>
            </w:r>
          </w:p>
        </w:tc>
        <w:tc>
          <w:tcPr>
            <w:tcW w:w="1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Изготовитель</w:t>
            </w: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 происхождения Товара</w:t>
            </w:r>
            <w:r>
              <w:rPr>
                <w:rStyle w:val="FootnoteReference"/>
                <w:b/>
                <w:bCs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ОКПД2 (с наименованием)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Порядковый номер реестровой записи </w:t>
            </w:r>
            <w:r>
              <w:rPr>
                <w:rStyle w:val="FootnoteReference"/>
                <w:b/>
                <w:bCs/>
                <w:color w:val="000000"/>
                <w:sz w:val="18"/>
                <w:szCs w:val="18"/>
              </w:rPr>
              <w:footnoteReference w:id="3"/>
            </w: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Ед. измерения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Цена за единицу, руб. без НДС</w:t>
            </w:r>
          </w:p>
        </w:tc>
        <w:tc>
          <w:tcPr>
            <w:tcW w:w="6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Цена, руб. без НДС</w:t>
            </w:r>
          </w:p>
        </w:tc>
        <w:tc>
          <w:tcPr>
            <w:tcW w:w="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НДС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(22%) руб.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Стоимость, руб., с НДС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278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>
        <w:trPr>
          <w:trHeight w:val="278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Сервер под ДЛП в М9(указать наименование)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</w:r>
          </w:p>
        </w:tc>
      </w:tr>
      <w:tr>
        <w:trPr>
          <w:trHeight w:val="278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Сервер под вычислительные ресурсы в М9 (указать наименование)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</w:r>
          </w:p>
        </w:tc>
      </w:tr>
      <w:tr>
        <w:trPr>
          <w:trHeight w:val="278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Сервер под ДЛП в ИА Красноярск (указать наименование)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</w:r>
          </w:p>
        </w:tc>
      </w:tr>
      <w:tr>
        <w:trPr>
          <w:trHeight w:val="278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Сервер под ДЛП в филиалы (указать наименование)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</w:r>
          </w:p>
        </w:tc>
      </w:tr>
      <w:tr>
        <w:trPr>
          <w:trHeight w:val="278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хранения данных №1 (быстрая) (указать наименование)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</w:r>
          </w:p>
        </w:tc>
      </w:tr>
      <w:tr>
        <w:trPr>
          <w:trHeight w:val="278" w:hRule="atLeast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хранения данных №2 (медленная) (указать наименование)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</w:r>
          </w:p>
        </w:tc>
      </w:tr>
      <w:tr>
        <w:trPr>
          <w:trHeight w:val="278" w:hRule="atLeast"/>
        </w:trPr>
        <w:tc>
          <w:tcPr>
            <w:tcW w:w="1224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right"/>
              <w:rPr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стоимость, руб.:</w:t>
            </w:r>
          </w:p>
        </w:tc>
        <w:tc>
          <w:tcPr>
            <w:tcW w:w="95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14"/>
      <w:headerReference w:type="first" r:id="rId15"/>
      <w:footerReference w:type="default" r:id="rId16"/>
      <w:footerReference w:type="first" r:id="rId17"/>
      <w:footnotePr>
        <w:numFmt w:val="decimal"/>
      </w:footnotePr>
      <w:type w:val="nextPage"/>
      <w:pgSz w:orient="landscape" w:w="16838" w:h="11906"/>
      <w:pgMar w:left="1134" w:right="851" w:gutter="0" w:header="0" w:top="680" w:footer="992" w:bottom="15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PT Sans"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Calibri">
    <w:charset w:val="01"/>
    <w:family w:val="swiss"/>
    <w:pitch w:val="variable"/>
  </w:font>
  <w:font w:name="0">
    <w:charset w:val="01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28</w:t>
    </w:r>
    <w:r>
      <w:rPr/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27</w:t>
    </w:r>
    <w:r>
      <w:rPr/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30</w:t>
    </w:r>
    <w:r>
      <w:rPr/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29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rPr>
          <w:color w:val="000000"/>
        </w:rPr>
      </w:pPr>
      <w:r>
        <w:rPr>
          <w:rStyle w:val="Style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В соответствии с общероссийским классификатором стран мира</w:t>
      </w:r>
      <w:r>
        <w:rPr>
          <w:color w:val="000000"/>
        </w:rPr>
        <w:t>.</w:t>
      </w:r>
    </w:p>
  </w:footnote>
  <w:footnote w:id="3">
    <w:p>
      <w:pPr>
        <w:pStyle w:val="Normal"/>
        <w:widowControl w:val="false"/>
        <w:jc w:val="both"/>
        <w:rPr>
          <w:sz w:val="20"/>
          <w:szCs w:val="20"/>
        </w:rPr>
      </w:pPr>
      <w:r>
        <w:rPr>
          <w:rStyle w:val="Style"/>
        </w:rPr>
        <w:footnoteRef/>
      </w:r>
      <w:r>
        <w:rPr/>
        <w:t xml:space="preserve"> </w:t>
      </w:r>
      <w:hyperlink r:id="rId1">
        <w:r>
          <w:rPr>
            <w:sz w:val="20"/>
            <w:szCs w:val="20"/>
          </w:rPr>
          <w:t>Порядковый номер (номера) реестровой записи (реестровых записей), под которой (которыми) Товар включен в реестры, предусмотренные пунктом 3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</w:r>
      </w:hyperlink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eastAsia="Calibri" w:cs="Times New Roman"/>
        <w:color w:val="000000"/>
        <w:lang w:val="x-none" w:eastAsia="x-none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8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0" w:hAnsi="0" w:cs="0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13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0" w:hAnsi="0" w:cs="0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14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0" w:hAnsi="0" w:cs="0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15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0" w:hAnsi="0" w:cs="0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16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0" w:hAnsi="0" w:cs="0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f56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Linenumber1" w:customStyle="1">
    <w:name w:val="line number1"/>
    <w:qFormat/>
    <w:rPr/>
  </w:style>
  <w:style w:type="character" w:styleId="Linenumber2" w:customStyle="1">
    <w:name w:val="line number2"/>
    <w:qFormat/>
    <w:rPr/>
  </w:style>
  <w:style w:type="character" w:styleId="Linenumber3" w:customStyle="1">
    <w:name w:val="line number3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yle16" w:customStyle="1">
    <w:name w:val="Символ нумерации"/>
    <w:qFormat/>
    <w:rPr>
      <w:sz w:val="24"/>
      <w:szCs w:val="24"/>
    </w:rPr>
  </w:style>
  <w:style w:type="character" w:styleId="Strong2" w:customStyle="1">
    <w:name w:val="Strong2"/>
    <w:qFormat/>
    <w:rPr>
      <w:b/>
      <w:bCs/>
    </w:rPr>
  </w:style>
  <w:style w:type="character" w:styleId="Strong3" w:customStyle="1">
    <w:name w:val="Strong3"/>
    <w:qFormat/>
    <w:rPr>
      <w:b/>
      <w:bCs/>
    </w:rPr>
  </w:style>
  <w:style w:type="character" w:styleId="Linenumber4">
    <w:name w:val="line number4"/>
    <w:qFormat/>
    <w:rPr/>
  </w:style>
  <w:style w:type="character" w:styleId="Linenumber41" w:customStyle="1">
    <w:name w:val="line number41"/>
    <w:qFormat/>
    <w:rPr/>
  </w:style>
  <w:style w:type="character" w:styleId="Linenumber11" w:customStyle="1">
    <w:name w:val="line number11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Sans" w:hAnsi="PT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Noto Sans CJK SC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 w:val="false"/>
      <w:bCs w:val="false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tabs>
        <w:tab w:val="clear" w:pos="708"/>
        <w:tab w:val="right" w:pos="992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 w:customStyle="1">
    <w:name w:val="_Абзац (обычный)"/>
    <w:basedOn w:val="ListParagraph"/>
    <w:qFormat/>
    <w:pPr>
      <w:spacing w:lineRule="auto" w:line="360" w:before="120" w:after="0"/>
      <w:ind w:left="0" w:firstLine="851"/>
      <w:contextualSpacing w:val="false"/>
      <w:jc w:val="both"/>
    </w:pPr>
    <w:rPr/>
  </w:style>
  <w:style w:type="paragraph" w:styleId="19" w:customStyle="1">
    <w:name w:val="_Список 1 уровня"/>
    <w:basedOn w:val="Style38"/>
    <w:qFormat/>
    <w:pPr>
      <w:numPr>
        <w:ilvl w:val="0"/>
        <w:numId w:val="10"/>
      </w:numPr>
      <w:tabs>
        <w:tab w:val="clear" w:pos="708"/>
        <w:tab w:val="left" w:pos="1134" w:leader="none"/>
      </w:tabs>
      <w:spacing w:before="0" w:after="0"/>
    </w:pPr>
    <w:rPr/>
  </w:style>
  <w:style w:type="paragraph" w:styleId="Style39" w:customStyle="1">
    <w:name w:val="_текст"/>
    <w:basedOn w:val="Style38"/>
    <w:qFormat/>
    <w:pPr/>
    <w:rPr/>
  </w:style>
  <w:style w:type="paragraph" w:styleId="Lst" w:customStyle="1">
    <w:name w:val="lst"/>
    <w:basedOn w:val="ListParagraph"/>
    <w:qFormat/>
    <w:pPr>
      <w:widowControl w:val="false"/>
      <w:numPr>
        <w:ilvl w:val="0"/>
        <w:numId w:val="8"/>
      </w:numPr>
      <w:tabs>
        <w:tab w:val="clear" w:pos="708"/>
        <w:tab w:val="left" w:pos="426" w:leader="none"/>
      </w:tabs>
      <w:spacing w:before="120" w:after="120"/>
      <w:contextualSpacing/>
      <w:jc w:val="both"/>
    </w:pPr>
    <w:rPr>
      <w:spacing w:val="-4"/>
    </w:rPr>
  </w:style>
  <w:style w:type="paragraph" w:styleId="Style40" w:customStyle="1">
    <w:name w:val="_список"/>
    <w:basedOn w:val="Normal"/>
    <w:qFormat/>
    <w:pPr>
      <w:numPr>
        <w:ilvl w:val="0"/>
        <w:numId w:val="7"/>
      </w:numPr>
      <w:tabs>
        <w:tab w:val="clear" w:pos="708"/>
        <w:tab w:val="left" w:pos="1134" w:leader="none"/>
      </w:tabs>
      <w:spacing w:lineRule="auto" w:line="360"/>
      <w:ind w:left="0" w:firstLine="851"/>
    </w:pPr>
    <w:rPr>
      <w:color w:val="000000"/>
      <w:sz w:val="24"/>
      <w:szCs w:val="24"/>
      <w:lang w:eastAsia="x-none"/>
    </w:rPr>
  </w:style>
  <w:style w:type="paragraph" w:styleId="Rtext" w:customStyle="1">
    <w:name w:val="r_text"/>
    <w:basedOn w:val="Normal"/>
    <w:qFormat/>
    <w:pPr>
      <w:spacing w:lineRule="auto" w:line="276"/>
      <w:ind w:firstLine="709"/>
    </w:pPr>
    <w:rPr>
      <w:color w:val="000000"/>
      <w:sz w:val="26"/>
      <w:szCs w:val="20"/>
      <w:shd w:fill="FFFFFF" w:val="clear"/>
    </w:rPr>
  </w:style>
  <w:style w:type="paragraph" w:styleId="Style41" w:customStyle="1">
    <w:name w:val="_название таблиц"/>
    <w:basedOn w:val="Caption111"/>
    <w:qFormat/>
    <w:pPr>
      <w:keepNext w:val="true"/>
      <w:spacing w:lineRule="auto" w:line="360"/>
      <w:jc w:val="both"/>
    </w:pPr>
    <w:rPr/>
  </w:style>
  <w:style w:type="paragraph" w:styleId="Style42" w:customStyle="1">
    <w:name w:val="_текст в ячейке таблицы (выравнивание посередине)"/>
    <w:basedOn w:val="ListParagraph"/>
    <w:qFormat/>
    <w:pPr>
      <w:suppressAutoHyphens w:val="false"/>
      <w:spacing w:lineRule="auto" w:line="360"/>
      <w:ind w:left="993" w:hanging="284"/>
      <w:jc w:val="center"/>
    </w:pPr>
    <w:rPr>
      <w:sz w:val="20"/>
      <w:szCs w:val="20"/>
      <w:lang w:eastAsia="en-US"/>
    </w:rPr>
  </w:style>
  <w:style w:type="paragraph" w:styleId="Style43" w:customStyle="1">
    <w:name w:val="_текст в ячейке таблицы"/>
    <w:basedOn w:val="Normal"/>
    <w:qFormat/>
    <w:pPr>
      <w:spacing w:lineRule="auto" w:line="360"/>
    </w:pPr>
    <w:rPr>
      <w:rFonts w:eastAsia="Calibri"/>
      <w:sz w:val="20"/>
      <w:szCs w:val="20"/>
      <w:lang w:eastAsia="en-US"/>
    </w:rPr>
  </w:style>
  <w:style w:type="paragraph" w:styleId="Rtablehead" w:customStyle="1">
    <w:name w:val="r_table_head"/>
    <w:basedOn w:val="Caption111"/>
    <w:qFormat/>
    <w:pPr>
      <w:spacing w:lineRule="auto" w:line="312" w:before="0" w:after="0"/>
      <w:contextualSpacing/>
      <w:jc w:val="center"/>
    </w:pPr>
    <w:rPr>
      <w:rFonts w:eastAsia="Calibri"/>
      <w:szCs w:val="18"/>
      <w:lang w:eastAsia="en-US"/>
    </w:rPr>
  </w:style>
  <w:style w:type="paragraph" w:styleId="Rtableleft" w:customStyle="1">
    <w:name w:val="r_table_left"/>
    <w:basedOn w:val="Normal"/>
    <w:qFormat/>
    <w:pPr>
      <w:spacing w:lineRule="auto" w:line="336"/>
    </w:pPr>
    <w:rPr>
      <w:rFonts w:eastAsia="Calibri"/>
      <w:sz w:val="20"/>
      <w:szCs w:val="20"/>
      <w:lang w:val="en-US" w:eastAsia="en-US"/>
    </w:rPr>
  </w:style>
  <w:style w:type="paragraph" w:styleId="Style44" w:customStyle="1">
    <w:name w:val="_название таблицы"/>
    <w:basedOn w:val="Caption111"/>
    <w:qFormat/>
    <w:pPr>
      <w:keepNext w:val="true"/>
      <w:spacing w:lineRule="auto" w:line="360"/>
      <w:jc w:val="both"/>
    </w:pPr>
    <w:rPr>
      <w:rFonts w:eastAsia="Calibri"/>
    </w:rPr>
  </w:style>
  <w:style w:type="paragraph" w:styleId="Style45" w:customStyle="1">
    <w:name w:val="_Текст"/>
    <w:basedOn w:val="Normal"/>
    <w:qFormat/>
    <w:pPr>
      <w:spacing w:lineRule="auto" w:line="360" w:before="120" w:after="0"/>
      <w:ind w:firstLine="851"/>
      <w:jc w:val="both"/>
    </w:pPr>
    <w:rPr>
      <w:rFonts w:eastAsia="Calibri" w:eastAsiaTheme="minorHAnsi"/>
      <w:sz w:val="24"/>
      <w:szCs w:val="24"/>
      <w:lang w:eastAsia="en-US"/>
    </w:rPr>
  </w:style>
  <w:style w:type="paragraph" w:styleId="Style46" w:customStyle="1">
    <w:name w:val="_приложение (наименование таблицы)"/>
    <w:basedOn w:val="Caption111"/>
    <w:qFormat/>
    <w:pPr>
      <w:keepNext w:val="true"/>
      <w:spacing w:lineRule="auto" w:line="360"/>
      <w:jc w:val="both"/>
    </w:pPr>
    <w:rPr>
      <w:rFonts w:eastAsia="Calibri" w:eastAsiaTheme="minorHAnsi"/>
      <w:iCs w:val="false"/>
      <w:szCs w:val="20"/>
      <w:lang w:eastAsia="en-US"/>
    </w:rPr>
  </w:style>
  <w:style w:type="paragraph" w:styleId="Tn" w:customStyle="1">
    <w:name w:val="t_n"/>
    <w:basedOn w:val="Normal"/>
    <w:qFormat/>
    <w:pPr>
      <w:spacing w:before="240" w:after="240"/>
      <w:jc w:val="right"/>
    </w:pPr>
    <w:rPr>
      <w:sz w:val="24"/>
    </w:rPr>
  </w:style>
  <w:style w:type="paragraph" w:styleId="Style47" w:customStyle="1">
    <w:name w:val="[РГ] Таблица_текст"/>
    <w:basedOn w:val="Normal"/>
    <w:next w:val="Normal"/>
    <w:qFormat/>
    <w:pPr>
      <w:spacing w:before="40" w:after="40"/>
    </w:pPr>
    <w:rPr>
      <w:rFonts w:cs="Times New Roman (???????? ?????"/>
      <w:color w:val="000000"/>
      <w:sz w:val="22"/>
      <w:szCs w:val="22"/>
      <w:shd w:fill="FFFFFF" w:val="clear"/>
      <w:lang w:eastAsia="en-US"/>
    </w:rPr>
  </w:style>
  <w:style w:type="paragraph" w:styleId="Indexheading2" w:customStyle="1">
    <w:name w:val="index heading2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Noto Sans CJK SC" w:cs="Arial Unicode MS"/>
      <w:color w:val="auto"/>
      <w:kern w:val="0"/>
      <w:sz w:val="20"/>
      <w:szCs w:val="20"/>
      <w:lang w:val="ru-RU" w:eastAsia="ru-RU" w:bidi="ar-SA"/>
    </w:rPr>
  </w:style>
  <w:style w:type="paragraph" w:styleId="Caption2" w:customStyle="1">
    <w:name w:val="caption2"/>
    <w:basedOn w:val="Normal"/>
    <w:qFormat/>
    <w:pPr>
      <w:spacing w:before="120" w:after="120"/>
    </w:pPr>
    <w:rPr>
      <w:rFonts w:cs="Arial Unicode MS"/>
      <w:i/>
      <w:iCs/>
      <w:sz w:val="24"/>
      <w:szCs w:val="24"/>
    </w:rPr>
  </w:style>
  <w:style w:type="paragraph" w:styleId="Tl" w:customStyle="1">
    <w:name w:val="t_l"/>
    <w:basedOn w:val="Normal"/>
    <w:qFormat/>
    <w:pPr>
      <w:suppressAutoHyphens w:val="false"/>
    </w:pPr>
    <w:rPr>
      <w:sz w:val="20"/>
      <w:szCs w:val="24"/>
    </w:rPr>
  </w:style>
  <w:style w:type="paragraph" w:styleId="Th" w:customStyle="1">
    <w:name w:val="t_h"/>
    <w:basedOn w:val="Tl"/>
    <w:qFormat/>
    <w:pPr>
      <w:jc w:val="center"/>
    </w:pPr>
    <w:rPr>
      <w:b/>
      <w:bCs/>
    </w:rPr>
  </w:style>
  <w:style w:type="paragraph" w:styleId="Style48" w:customStyle="1">
    <w:name w:val="Таблица (текст)"/>
    <w:basedOn w:val="Normal"/>
    <w:qFormat/>
    <w:pPr/>
    <w:rPr>
      <w:sz w:val="20"/>
    </w:rPr>
  </w:style>
  <w:style w:type="paragraph" w:styleId="110" w:customStyle="1">
    <w:name w:val="Таблица 1."/>
    <w:basedOn w:val="Style48"/>
    <w:qFormat/>
    <w:pPr>
      <w:numPr>
        <w:ilvl w:val="0"/>
        <w:numId w:val="6"/>
      </w:numPr>
    </w:pPr>
    <w:rPr/>
  </w:style>
  <w:style w:type="paragraph" w:styleId="111" w:customStyle="1">
    <w:name w:val="Таблица 1.1."/>
    <w:basedOn w:val="Style48"/>
    <w:qFormat/>
    <w:pPr>
      <w:numPr>
        <w:ilvl w:val="1"/>
        <w:numId w:val="6"/>
      </w:numPr>
    </w:pPr>
    <w:rPr/>
  </w:style>
  <w:style w:type="paragraph" w:styleId="-lst" w:customStyle="1">
    <w:name w:val="-lst"/>
    <w:basedOn w:val="ListParagraph"/>
    <w:qFormat/>
    <w:pPr>
      <w:numPr>
        <w:ilvl w:val="0"/>
        <w:numId w:val="13"/>
      </w:numPr>
      <w:spacing w:lineRule="auto" w:line="276"/>
      <w:ind w:left="851" w:hanging="284"/>
    </w:pPr>
    <w:rPr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4328516641" w:customStyle="1">
    <w:name w:val="14328516641"/>
    <w:qFormat/>
  </w:style>
  <w:style w:type="numbering" w:styleId="28628045461" w:customStyle="1">
    <w:name w:val="28628045461"/>
    <w:qFormat/>
  </w:style>
  <w:style w:type="numbering" w:styleId="42664335421" w:customStyle="1">
    <w:name w:val="42664335421"/>
    <w:qFormat/>
  </w:style>
  <w:style w:type="numbering" w:styleId="2431274821" w:customStyle="1">
    <w:name w:val="2431274821"/>
    <w:qFormat/>
  </w:style>
  <w:style w:type="numbering" w:styleId="31802729661">
    <w:name w:val="31802729661"/>
    <w:qFormat/>
  </w:style>
  <w:style w:type="numbering" w:styleId="32578246831">
    <w:name w:val="32578246831"/>
    <w:qFormat/>
  </w:style>
  <w:style w:type="numbering" w:styleId="17064564931">
    <w:name w:val="17064564931"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5">
    <w:name w:val="Table Grid"/>
    <w:basedOn w:val="a6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6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footnotes" Target="footnotes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about:blank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84B8C-E576-41C4-833D-4F840408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Application>AlterOffice/3.4.0.9$Linux_X86_64 LibreOffice_project/b8daf9e823b1a5463a2f48435ddc2e8696e7d4fc</Application>
  <AppVersion>15.0000</AppVersion>
  <Pages>64</Pages>
  <Words>11365</Words>
  <Characters>72054</Characters>
  <CharactersWithSpaces>81593</CharactersWithSpaces>
  <Paragraphs>1484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2026-07-13T10:45:00Z</dcterms:created>
  <dc:creator>Быстров Олег Геннадьевич</dc:creator>
  <dc:description/>
  <dc:language>ru-RU</dc:language>
  <cp:lastModifiedBy>savushkinaiv@corp.gidroogk.com</cp:lastModifiedBy>
  <cp:lastPrinted>2026-07-16T12:07:29Z</cp:lastPrinted>
  <dcterms:modified xsi:type="dcterms:W3CDTF">2026-07-20T15:44:23Z</dcterms:modified>
  <cp:revision>42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