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60 % (шестидесяти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highlight w:val="yellow"/>
        </w:rPr>
        <w:t>в течение 30 (тридцати) календарных дней / 7 (семи) рабочих дней</w:t>
      </w:r>
      <w:r>
        <w:rPr>
          <w:rStyle w:val="FootnoteReference"/>
          <w:sz w:val="24"/>
          <w:szCs w:val="24"/>
          <w:highlight w:val="yellow"/>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2.5.3. Обеспечительный платеж в размере 10 % (десяти процентов) от стоимости Продукции производится в течение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 на основании счета, выставленного Поставщиком. </w:t>
      </w:r>
    </w:p>
    <w:p>
      <w:pPr>
        <w:pStyle w:val="Normal"/>
        <w:jc w:val="both"/>
        <w:rPr>
          <w:sz w:val="24"/>
          <w:szCs w:val="24"/>
          <w:highlight w:val="yellow"/>
        </w:rPr>
      </w:pPr>
      <w:r>
        <w:rPr>
          <w:sz w:val="23"/>
          <w:szCs w:val="23"/>
        </w:rPr>
        <w:t xml:space="preserve">         </w:t>
      </w:r>
      <w:r>
        <w:rPr>
          <w:sz w:val="23"/>
          <w:szCs w:val="23"/>
        </w:rPr>
        <w:t xml:space="preserve">2.5.4. </w:t>
      </w:r>
      <w:r>
        <w:rPr>
          <w:sz w:val="24"/>
          <w:szCs w:val="24"/>
          <w:highlight w:val="yellow"/>
        </w:rPr>
        <w:t>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highlight w:val="yellow"/>
          <w:vertAlign w:val="superscript"/>
        </w:rPr>
        <w:t xml:space="preserve"> </w:t>
      </w:r>
      <w:r>
        <w:rPr>
          <w:sz w:val="24"/>
          <w:szCs w:val="24"/>
          <w:highlight w:val="yellow"/>
        </w:rPr>
        <w:t xml:space="preserve">в виде </w:t>
      </w:r>
      <w:r>
        <w:rPr>
          <w:sz w:val="24"/>
          <w:szCs w:val="24"/>
          <w:highlight w:val="yellow"/>
          <w:shd w:fill="FFFF00" w:val="clear"/>
        </w:rPr>
        <w:t>банковской</w:t>
      </w:r>
      <w:r>
        <w:rPr>
          <w:sz w:val="24"/>
          <w:szCs w:val="24"/>
          <w:highlight w:val="yellow"/>
        </w:rPr>
        <w:t xml:space="preserve"> гарантии, оформленной в соответствии с требованиями Приложения № 2 к Договору.</w:t>
      </w:r>
    </w:p>
    <w:p>
      <w:pPr>
        <w:pStyle w:val="Normal"/>
        <w:jc w:val="both"/>
        <w:rPr/>
      </w:pPr>
      <w:r>
        <w:rPr>
          <w:sz w:val="24"/>
          <w:szCs w:val="24"/>
          <w:highlight w:val="yellow"/>
        </w:rPr>
        <w:tab/>
        <w:t xml:space="preserve">В случае отзыва лицензии Банка-Гаранта </w:t>
      </w:r>
      <w:r>
        <w:rPr>
          <w:sz w:val="24"/>
          <w:szCs w:val="24"/>
          <w:highlight w:val="yellow"/>
          <w:shd w:fill="FFFF00" w:val="clear"/>
        </w:rPr>
        <w:t>банковской</w:t>
      </w:r>
      <w:r>
        <w:rPr>
          <w:sz w:val="24"/>
          <w:szCs w:val="24"/>
          <w:highlight w:val="yellow"/>
        </w:rPr>
        <w:t xml:space="preserve"> гарантия в обеспечение возврата предварительной оплаты (аванса) должна быть заменена на новую </w:t>
      </w:r>
      <w:r>
        <w:rPr>
          <w:sz w:val="24"/>
          <w:szCs w:val="24"/>
          <w:highlight w:val="yellow"/>
          <w:shd w:fill="FFFF00" w:val="clear"/>
        </w:rPr>
        <w:t>банковскую</w:t>
      </w:r>
      <w:r>
        <w:rPr>
          <w:sz w:val="24"/>
          <w:szCs w:val="24"/>
          <w:highlight w:val="yellow"/>
        </w:rPr>
        <w:t xml:space="preserve">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sz w:val="24"/>
          <w:szCs w:val="24"/>
          <w:highlight w:val="yellow"/>
        </w:rPr>
      </w:pPr>
      <w:r>
        <w:rPr>
          <w:sz w:val="24"/>
          <w:szCs w:val="24"/>
          <w:highlight w:val="yellow"/>
        </w:rPr>
        <w:tab/>
        <w:t xml:space="preserve">В случае непредставления Поставщиком в установленный срок новой </w:t>
      </w:r>
      <w:r>
        <w:rPr>
          <w:sz w:val="24"/>
          <w:szCs w:val="24"/>
          <w:highlight w:val="yellow"/>
          <w:shd w:fill="FFFF00" w:val="clear"/>
        </w:rPr>
        <w:t>банковской</w:t>
      </w:r>
      <w:r>
        <w:rPr>
          <w:sz w:val="24"/>
          <w:szCs w:val="24"/>
          <w:highlight w:val="yellow"/>
        </w:rPr>
        <w:t xml:space="preserve">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jc w:val="both"/>
        <w:rPr>
          <w:sz w:val="24"/>
          <w:szCs w:val="24"/>
        </w:rPr>
      </w:pPr>
      <w:r>
        <w:rPr>
          <w:sz w:val="24"/>
          <w:szCs w:val="24"/>
          <w:highlight w:val="yellow"/>
        </w:rPr>
        <w:tab/>
        <w:t xml:space="preserve">За не предоставление либо несвоевременное предоставление/ переоформление Поставщиком </w:t>
      </w:r>
      <w:r>
        <w:rPr>
          <w:sz w:val="24"/>
          <w:szCs w:val="24"/>
          <w:highlight w:val="yellow"/>
          <w:shd w:fill="FFFF00" w:val="clear"/>
        </w:rPr>
        <w:t>банковской</w:t>
      </w:r>
      <w:r>
        <w:rPr>
          <w:sz w:val="24"/>
          <w:szCs w:val="24"/>
          <w:highlight w:val="yellow"/>
        </w:rPr>
        <w:t xml:space="preserve"> гарантии, предусмотренной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color w:val="000000"/>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color w:val="000000"/>
          <w:sz w:val="24"/>
          <w:szCs w:val="24"/>
          <w:shd w:fill="81D41A" w:val="clear"/>
        </w:rPr>
        <w:t>(УПД)</w:t>
      </w:r>
      <w:r>
        <w:rPr>
          <w:sz w:val="24"/>
          <w:szCs w:val="24"/>
        </w:rPr>
        <w:t xml:space="preserve">, он обязан произвести замену счета-фактуры  </w:t>
      </w:r>
      <w:r>
        <w:rPr>
          <w:color w:val="000000"/>
          <w:sz w:val="24"/>
          <w:szCs w:val="24"/>
          <w:shd w:fill="81D41A" w:val="clear"/>
        </w:rPr>
        <w:t>(УПД)</w:t>
      </w:r>
      <w:r>
        <w:rPr>
          <w:sz w:val="24"/>
          <w:szCs w:val="24"/>
        </w:rPr>
        <w:t xml:space="preserve">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bookmarkStart w:id="1" w:name="_Hlk130023344"/>
      <w:r>
        <w:rPr>
          <w:sz w:val="24"/>
          <w:szCs w:val="24"/>
          <w:highlight w:val="yellow"/>
        </w:rPr>
        <w:t>календарных</w:t>
      </w:r>
      <w:r>
        <w:rPr>
          <w:sz w:val="24"/>
          <w:szCs w:val="24"/>
        </w:rPr>
        <w:t xml:space="preserve"> </w:t>
      </w:r>
      <w:bookmarkEnd w:id="1"/>
      <w:r>
        <w:rPr>
          <w:sz w:val="24"/>
          <w:szCs w:val="24"/>
        </w:rPr>
        <w:t xml:space="preserve">дней с даты получения авансового платежа счета-фактуры </w:t>
      </w:r>
      <w:r>
        <w:rPr>
          <w:color w:val="000000"/>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sz w:val="24"/>
          <w:szCs w:val="24"/>
        </w:rPr>
        <w:t>Покупателем в соответствии с п. 3.14. Договора</w:t>
      </w:r>
      <w:bookmarkEnd w:id="2"/>
      <w:bookmarkEnd w:id="3"/>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highlight w:val="yellow"/>
        </w:rPr>
        <w:t xml:space="preserve"> </w:t>
      </w:r>
      <w:r>
        <w:rPr>
          <w:sz w:val="24"/>
          <w:szCs w:val="24"/>
          <w:highlight w:val="yellow"/>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Pr>
          <w:sz w:val="24"/>
          <w:szCs w:val="24"/>
        </w:rPr>
        <w:t xml:space="preserve">.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highlight w:val="yellow"/>
        </w:rPr>
        <w:t xml:space="preserve">В случае </w:t>
      </w:r>
      <w:bookmarkStart w:id="4" w:name="_Hlk130023740"/>
      <w:r>
        <w:rPr>
          <w:sz w:val="24"/>
          <w:szCs w:val="24"/>
          <w:highlight w:val="yellow"/>
        </w:rPr>
        <w:t xml:space="preserve">нарушения </w:t>
      </w:r>
      <w:bookmarkEnd w:id="4"/>
      <w:r>
        <w:rPr>
          <w:sz w:val="24"/>
          <w:szCs w:val="24"/>
          <w:highlight w:val="yellow"/>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r>
        <w:rPr>
          <w:sz w:val="24"/>
          <w:szCs w:val="24"/>
        </w:rPr>
        <w:t xml:space="preserve">. </w:t>
      </w:r>
    </w:p>
    <w:p>
      <w:pPr>
        <w:pStyle w:val="Normal"/>
        <w:tabs>
          <w:tab w:val="clear" w:pos="720"/>
          <w:tab w:val="left" w:pos="1701" w:leader="none"/>
        </w:tabs>
        <w:jc w:val="both"/>
        <w:rPr>
          <w:sz w:val="24"/>
          <w:szCs w:val="24"/>
          <w:highlight w:val="yellow"/>
        </w:rPr>
      </w:pPr>
      <w:r>
        <w:rPr>
          <w:sz w:val="24"/>
          <w:szCs w:val="24"/>
        </w:rPr>
        <w:tab/>
      </w:r>
      <w:r>
        <w:rPr>
          <w:sz w:val="24"/>
          <w:szCs w:val="24"/>
          <w:highlight w:val="yellow"/>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numPr>
          <w:ilvl w:val="0"/>
          <w:numId w:val="17"/>
        </w:numPr>
        <w:tabs>
          <w:tab w:val="clear" w:pos="720"/>
          <w:tab w:val="left" w:pos="1701" w:leader="none"/>
        </w:tabs>
        <w:ind w:left="0" w:firstLine="709"/>
        <w:jc w:val="both"/>
        <w:rPr>
          <w:rFonts w:eastAsia="Calibri"/>
          <w:bCs/>
          <w:sz w:val="24"/>
          <w:szCs w:val="24"/>
          <w:highlight w:val="yellow"/>
        </w:rPr>
      </w:pPr>
      <w:r>
        <w:rPr>
          <w:rFonts w:eastAsia="Calibri"/>
          <w:bCs/>
          <w:sz w:val="24"/>
          <w:szCs w:val="24"/>
          <w:highlight w:val="yellow"/>
        </w:rPr>
        <w:t xml:space="preserve">неустойки в размере 0,1 (ноль целых и одна десятая) процента от стоимости некачественной </w:t>
      </w:r>
      <w:r>
        <w:rPr>
          <w:sz w:val="24"/>
          <w:szCs w:val="24"/>
          <w:highlight w:val="yellow"/>
        </w:rPr>
        <w:t>Продукции</w:t>
      </w:r>
      <w:r>
        <w:rPr>
          <w:rFonts w:eastAsia="Calibri"/>
          <w:bCs/>
          <w:sz w:val="24"/>
          <w:szCs w:val="24"/>
          <w:highlight w:val="yellow"/>
        </w:rPr>
        <w:t xml:space="preserve"> за каждый день просрочки – в случае несвоевременного устранения выявленных недостатков </w:t>
      </w:r>
      <w:r>
        <w:rPr>
          <w:sz w:val="24"/>
          <w:szCs w:val="24"/>
          <w:highlight w:val="yellow"/>
        </w:rPr>
        <w:t>Продукции</w:t>
      </w:r>
      <w:r>
        <w:rPr>
          <w:rFonts w:eastAsia="Calibri"/>
          <w:bCs/>
          <w:sz w:val="24"/>
          <w:szCs w:val="24"/>
          <w:highlight w:val="yellow"/>
        </w:rPr>
        <w:t xml:space="preserve">, не влияющих на возможность эксплуатации (использования) </w:t>
      </w:r>
      <w:r>
        <w:rPr>
          <w:sz w:val="24"/>
          <w:szCs w:val="24"/>
          <w:highlight w:val="yellow"/>
        </w:rPr>
        <w:t>Продукции</w:t>
      </w:r>
      <w:r>
        <w:rPr>
          <w:rFonts w:eastAsia="Calibri"/>
          <w:bCs/>
          <w:sz w:val="24"/>
          <w:szCs w:val="24"/>
          <w:highlight w:val="yellow"/>
        </w:rPr>
        <w:t xml:space="preserve">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sz w:val="24"/>
          <w:szCs w:val="24"/>
        </w:rPr>
      </w:pPr>
      <w:r>
        <w:rPr>
          <w:sz w:val="24"/>
          <w:szCs w:val="24"/>
          <w:shd w:fill="FFFF00"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6" w:name="sub_1"/>
      <w:r>
        <w:rPr>
          <w:sz w:val="24"/>
          <w:szCs w:val="24"/>
        </w:rPr>
        <w:tab/>
        <w:t>- Приложение № 2 – Финансовое обеспечение исполнения обязательств.</w:t>
      </w:r>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3"/>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4"/>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5"/>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6"/>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widowControl w:val="false"/>
        <w:jc w:val="right"/>
        <w:rPr>
          <w:bCs/>
          <w:sz w:val="24"/>
          <w:szCs w:val="24"/>
          <w:highlight w:val="yellow"/>
        </w:rPr>
      </w:pPr>
      <w:r>
        <w:rPr>
          <w:bCs/>
          <w:sz w:val="24"/>
          <w:szCs w:val="24"/>
          <w:highlight w:val="yellow"/>
        </w:rPr>
        <w:t xml:space="preserve">№ </w:t>
      </w:r>
      <w:r>
        <w:rPr>
          <w:sz w:val="24"/>
          <w:highlight w:val="yellow"/>
        </w:rPr>
        <w:t xml:space="preserve">____________ </w:t>
      </w:r>
      <w:r>
        <w:rPr>
          <w:bCs/>
          <w:sz w:val="24"/>
          <w:szCs w:val="24"/>
          <w:highlight w:val="yellow"/>
        </w:rPr>
        <w:t>от «___» _________ 2023</w:t>
      </w:r>
    </w:p>
    <w:p>
      <w:pPr>
        <w:pStyle w:val="BodyText"/>
        <w:numPr>
          <w:ilvl w:val="0"/>
          <w:numId w:val="0"/>
        </w:numPr>
        <w:spacing w:before="0" w:after="120"/>
        <w:ind w:left="0" w:hanging="0"/>
        <w:outlineLvl w:val="0"/>
        <w:rPr>
          <w:b/>
          <w:bCs/>
          <w:sz w:val="24"/>
          <w:szCs w:val="24"/>
          <w:highlight w:val="yellow"/>
        </w:rPr>
      </w:pPr>
      <w:r>
        <w:rPr>
          <w:b/>
          <w:bCs/>
          <w:sz w:val="24"/>
          <w:szCs w:val="24"/>
          <w:highlight w:val="yellow"/>
        </w:rPr>
      </w:r>
    </w:p>
    <w:p>
      <w:pPr>
        <w:pStyle w:val="Normal"/>
        <w:widowControl w:val="false"/>
        <w:shd w:val="clear" w:color="auto" w:fill="FFFFFF"/>
        <w:tabs>
          <w:tab w:val="clear" w:pos="720"/>
          <w:tab w:val="left" w:pos="3054" w:leader="none"/>
        </w:tabs>
        <w:spacing w:before="0" w:after="120"/>
        <w:jc w:val="center"/>
        <w:rPr>
          <w:b/>
          <w:highlight w:val="yellow"/>
        </w:rPr>
      </w:pPr>
      <w:r>
        <w:rPr>
          <w:b/>
          <w:sz w:val="24"/>
          <w:szCs w:val="24"/>
          <w:highlight w:val="yellow"/>
        </w:rPr>
        <w:t>Финансовое обеспечение исполнения обязательств</w:t>
      </w:r>
    </w:p>
    <w:p>
      <w:pPr>
        <w:pStyle w:val="Normal"/>
        <w:spacing w:before="120" w:after="120"/>
        <w:ind w:firstLine="709"/>
        <w:jc w:val="both"/>
        <w:rPr>
          <w:bCs/>
          <w:sz w:val="24"/>
          <w:szCs w:val="24"/>
          <w:highlight w:val="yellow"/>
        </w:rPr>
      </w:pPr>
      <w:r>
        <w:rPr>
          <w:bCs/>
          <w:sz w:val="24"/>
          <w:szCs w:val="24"/>
          <w:highlight w:val="yellow"/>
        </w:rPr>
        <w:t>Условия банковской гарантии возврата предварительной оплаты (аванса)</w:t>
      </w:r>
      <w:r>
        <w:rPr>
          <w:bCs/>
          <w:sz w:val="28"/>
          <w:szCs w:val="28"/>
        </w:rPr>
        <w:t xml:space="preserve"> </w:t>
      </w:r>
      <w:r>
        <w:rPr>
          <w:bCs/>
          <w:sz w:val="24"/>
          <w:szCs w:val="24"/>
          <w:highlight w:val="yellow"/>
        </w:rPr>
        <w:t>/надлежащего исполнения обязательств по Договору</w:t>
      </w:r>
    </w:p>
    <w:p>
      <w:pPr>
        <w:pStyle w:val="Normal"/>
        <w:tabs>
          <w:tab w:val="clear" w:pos="720"/>
          <w:tab w:val="left" w:pos="540" w:leader="none"/>
        </w:tabs>
        <w:spacing w:before="20" w:after="20"/>
        <w:ind w:firstLine="709"/>
        <w:jc w:val="both"/>
        <w:rPr>
          <w:color w:val="000000"/>
          <w:sz w:val="24"/>
          <w:szCs w:val="24"/>
          <w:highlight w:val="yellow"/>
        </w:rPr>
      </w:pPr>
      <w:r>
        <w:rPr>
          <w:bCs/>
          <w:sz w:val="24"/>
          <w:szCs w:val="24"/>
          <w:highlight w:val="yellow"/>
        </w:rPr>
        <w:t>Под банковской гарантией понимается гарантия согласованного Обществом Банка</w:t>
      </w:r>
      <w:r>
        <w:rPr>
          <w:sz w:val="24"/>
          <w:szCs w:val="24"/>
          <w:highlight w:val="yellow"/>
        </w:rPr>
        <w:t xml:space="preserve">, </w:t>
      </w:r>
      <w:r>
        <w:rPr>
          <w:bCs/>
          <w:sz w:val="24"/>
          <w:szCs w:val="24"/>
          <w:highlight w:val="yellow"/>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highlight w:val="yellow"/>
        </w:rPr>
        <w:t>:</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банковская гарантия должна быть безотзывной и безусловной (гарантия по первому требованию);</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бенефициар по банковской гарантии - Покупатель, принципал – Поставщик;</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выражена в валюте расчетов </w:t>
        <w:br/>
        <w:t>по Договору;</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сумма банковской гарантии возврата авансового платежа – не менее 100 (ста) процентов от суммы уплачиваемого по Договору аванса </w:t>
        <w:br/>
        <w:t>(в совокупной сумме с учетом ранее выплаченных и неотработанных авансовых платежей);</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сумма банковской гарантии надлежащего исполнения обязательств по Договору должна составлять не менее:</w:t>
      </w:r>
    </w:p>
    <w:p>
      <w:pPr>
        <w:pStyle w:val="Normal"/>
        <w:numPr>
          <w:ilvl w:val="0"/>
          <w:numId w:val="16"/>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10 (десяти) процентов от цены Договора / объекта;</w:t>
      </w:r>
    </w:p>
    <w:p>
      <w:pPr>
        <w:pStyle w:val="Normal"/>
        <w:numPr>
          <w:ilvl w:val="0"/>
          <w:numId w:val="15"/>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в целом, предусмотренной Договором.</w:t>
      </w:r>
    </w:p>
    <w:p>
      <w:pPr>
        <w:pStyle w:val="Normal"/>
        <w:spacing w:before="20" w:after="20"/>
        <w:ind w:firstLine="709"/>
        <w:jc w:val="both"/>
        <w:rPr>
          <w:sz w:val="24"/>
          <w:szCs w:val="24"/>
          <w:highlight w:val="yellow"/>
        </w:rPr>
      </w:pPr>
      <w:r>
        <w:rPr>
          <w:bCs/>
          <w:sz w:val="24"/>
          <w:szCs w:val="24"/>
          <w:highlight w:val="yellow"/>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w:t>
        <w:br/>
        <w:t xml:space="preserve">и частично, с указанием на существо допущенных Поставщиком нарушений, </w:t>
        <w:br/>
        <w:t>в том числе в случаях</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отказа Поставщика от исполнения обязательств по Договору, в том числе одностороннего отказа от Договора;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отказа Поставщика от возврата неотработанного аванса </w:t>
        <w:br/>
        <w:t xml:space="preserve">при досрочном прекращении Договора/признании Договора недействительным;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нарушения Поставщиком сроков поставки, установленных Календарным графиком, более чем </w:t>
        <w:br/>
        <w:t>на 15 (пятнадцать) календарных дней;</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 </w:t>
      </w:r>
      <w:r>
        <w:rPr>
          <w:color w:val="000000"/>
          <w:sz w:val="24"/>
          <w:szCs w:val="24"/>
          <w:highlight w:val="yellow"/>
        </w:rPr>
        <w:t>утраты Поставщиком специальных разрешений (в том числе отзыв, прекращение (приостановление) действие допусков, разрешений) и / или лицензий, предоставляющих Поставщику возможность надлежащего исполнения обязательств по Договору;</w:t>
      </w:r>
    </w:p>
    <w:p>
      <w:pPr>
        <w:pStyle w:val="Normal"/>
        <w:numPr>
          <w:ilvl w:val="0"/>
          <w:numId w:val="14"/>
        </w:numPr>
        <w:tabs>
          <w:tab w:val="clear" w:pos="720"/>
          <w:tab w:val="left" w:pos="1134" w:leader="none"/>
        </w:tabs>
        <w:spacing w:before="20" w:after="20"/>
        <w:ind w:left="0" w:firstLine="709"/>
        <w:jc w:val="both"/>
        <w:rPr>
          <w:bCs/>
          <w:sz w:val="24"/>
          <w:szCs w:val="24"/>
          <w:highlight w:val="yellow"/>
        </w:rPr>
      </w:pPr>
      <w:r>
        <w:rPr>
          <w:color w:val="000000"/>
          <w:sz w:val="24"/>
          <w:szCs w:val="24"/>
          <w:highlight w:val="yellow"/>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введения арбитражным судом процедуры несостоятельности (банкротства) в отношении Поставщика;</w:t>
      </w:r>
    </w:p>
    <w:p>
      <w:pPr>
        <w:pStyle w:val="Normal"/>
        <w:numPr>
          <w:ilvl w:val="0"/>
          <w:numId w:val="14"/>
        </w:numPr>
        <w:tabs>
          <w:tab w:val="clear" w:pos="720"/>
          <w:tab w:val="left" w:pos="1134" w:leader="none"/>
        </w:tabs>
        <w:spacing w:before="20" w:after="20"/>
        <w:ind w:left="0" w:firstLine="709"/>
        <w:jc w:val="both"/>
        <w:rPr>
          <w:color w:val="000000"/>
          <w:sz w:val="24"/>
          <w:szCs w:val="24"/>
          <w:highlight w:val="yellow"/>
        </w:rPr>
      </w:pPr>
      <w:r>
        <w:rPr>
          <w:color w:val="000000"/>
          <w:sz w:val="24"/>
          <w:szCs w:val="24"/>
          <w:highlight w:val="yellow"/>
        </w:rPr>
        <w:t xml:space="preserve">установления в ходе исполнения Договора фактов несоответствия Поставщика установленным документацией о закупке требованиям </w:t>
        <w:br/>
        <w:t xml:space="preserve">к участникам закупки и / или предоставления недостоверной информации </w:t>
        <w:br/>
        <w:t>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color w:val="000000"/>
          <w:sz w:val="24"/>
          <w:szCs w:val="24"/>
          <w:highlight w:val="yellow"/>
        </w:rPr>
        <w:t>признания Договора недействительным по причинам отсутствия необходимых</w:t>
      </w:r>
      <w:r>
        <w:rPr>
          <w:sz w:val="24"/>
          <w:szCs w:val="24"/>
          <w:highlight w:val="yellow"/>
        </w:rPr>
        <w:t xml:space="preserve"> корпоративных одобрений у </w:t>
      </w:r>
      <w:r>
        <w:rPr>
          <w:color w:val="000000"/>
          <w:sz w:val="24"/>
          <w:szCs w:val="24"/>
          <w:highlight w:val="yellow"/>
        </w:rPr>
        <w:t>Поставщика</w:t>
      </w:r>
      <w:r>
        <w:rPr>
          <w:sz w:val="24"/>
          <w:szCs w:val="24"/>
          <w:highlight w:val="yellow"/>
        </w:rPr>
        <w:t>;</w:t>
      </w:r>
    </w:p>
    <w:p>
      <w:pPr>
        <w:pStyle w:val="Normal"/>
        <w:numPr>
          <w:ilvl w:val="0"/>
          <w:numId w:val="14"/>
        </w:numPr>
        <w:tabs>
          <w:tab w:val="clear" w:pos="720"/>
          <w:tab w:val="left" w:pos="1134" w:leader="none"/>
        </w:tabs>
        <w:spacing w:before="20" w:after="20"/>
        <w:ind w:left="0" w:firstLine="709"/>
        <w:jc w:val="both"/>
        <w:rPr>
          <w:sz w:val="24"/>
          <w:szCs w:val="24"/>
          <w:highlight w:val="yellow"/>
        </w:rPr>
      </w:pPr>
      <w:r>
        <w:rPr>
          <w:sz w:val="24"/>
          <w:szCs w:val="24"/>
          <w:highlight w:val="yellow"/>
        </w:rPr>
        <w:t xml:space="preserve">не предоставления </w:t>
      </w:r>
      <w:r>
        <w:rPr>
          <w:color w:val="000000"/>
          <w:sz w:val="24"/>
          <w:szCs w:val="24"/>
          <w:highlight w:val="yellow"/>
        </w:rPr>
        <w:t xml:space="preserve">Поставщиком </w:t>
      </w:r>
      <w:r>
        <w:rPr>
          <w:sz w:val="24"/>
          <w:szCs w:val="24"/>
          <w:highlight w:val="yellow"/>
        </w:rPr>
        <w:t xml:space="preserve">в срок не позднее чем </w:t>
        <w:br/>
        <w:t xml:space="preserve">за 30 (тридцать) календарных дней до даты истечения срока действия банковской гарантии новой банковской гарантии или изменения </w:t>
        <w:br/>
        <w:t xml:space="preserve">к действующей гарантии в части увеличения срока ее действия на новый период, в случаях если срок исполнения обязательств </w:t>
      </w:r>
      <w:r>
        <w:rPr>
          <w:color w:val="000000"/>
          <w:sz w:val="24"/>
          <w:szCs w:val="24"/>
          <w:highlight w:val="yellow"/>
        </w:rPr>
        <w:t>Поставщика</w:t>
      </w:r>
      <w:r>
        <w:rPr>
          <w:sz w:val="24"/>
          <w:szCs w:val="24"/>
          <w:highlight w:val="yellow"/>
        </w:rPr>
        <w:br/>
        <w:t>по Договору превышает срок действия банковской гарантии либо срок исполнения обязательств продлен.</w:t>
      </w:r>
    </w:p>
    <w:p>
      <w:pPr>
        <w:pStyle w:val="Normal"/>
        <w:spacing w:before="20" w:after="20"/>
        <w:ind w:firstLine="709"/>
        <w:jc w:val="both"/>
        <w:rPr>
          <w:color w:val="000000"/>
          <w:sz w:val="24"/>
          <w:szCs w:val="24"/>
          <w:highlight w:val="yellow"/>
        </w:rPr>
      </w:pPr>
      <w:r>
        <w:rPr>
          <w:color w:val="000000"/>
          <w:sz w:val="24"/>
          <w:szCs w:val="24"/>
          <w:highlight w:val="yellow"/>
        </w:rPr>
        <w:t>Вместе с требованием о предъявлении суммы обеспечения к оплате Покупатель направляет Банку-гаранту копию банковской гарантии.</w:t>
      </w:r>
    </w:p>
    <w:p>
      <w:pPr>
        <w:pStyle w:val="Normal"/>
        <w:spacing w:before="20" w:after="20"/>
        <w:ind w:firstLine="709"/>
        <w:jc w:val="both"/>
        <w:rPr>
          <w:sz w:val="24"/>
          <w:szCs w:val="24"/>
          <w:highlight w:val="yellow"/>
        </w:rPr>
      </w:pPr>
      <w:r>
        <w:rPr>
          <w:bCs/>
          <w:sz w:val="24"/>
          <w:szCs w:val="24"/>
          <w:highlight w:val="yellow"/>
        </w:rPr>
        <w:t xml:space="preserve">Банковской гарантией возврата авансового платежа может быть предусмотрено условие о предоставлении вместе с требованием </w:t>
        <w:br/>
        <w:t>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Normal"/>
        <w:spacing w:before="20" w:after="20"/>
        <w:ind w:firstLine="709"/>
        <w:jc w:val="both"/>
        <w:rPr>
          <w:sz w:val="24"/>
          <w:szCs w:val="24"/>
          <w:highlight w:val="yellow"/>
        </w:rPr>
      </w:pPr>
      <w:r>
        <w:rPr>
          <w:sz w:val="24"/>
          <w:szCs w:val="24"/>
          <w:highlight w:val="yellow"/>
        </w:rPr>
        <w:t xml:space="preserve">Платеж по банковской гарантии осуществляется Банком-гарантом </w:t>
        <w:br/>
        <w:t>в течение 10 (десяти) рабочих дней после обращения бенефициара (Покупателя).</w:t>
      </w:r>
    </w:p>
    <w:p>
      <w:pPr>
        <w:pStyle w:val="Normal"/>
        <w:spacing w:before="20" w:after="20"/>
        <w:ind w:firstLine="709"/>
        <w:jc w:val="both"/>
        <w:rPr>
          <w:sz w:val="24"/>
          <w:szCs w:val="24"/>
          <w:highlight w:val="yellow"/>
        </w:rPr>
      </w:pPr>
      <w:r>
        <w:rPr>
          <w:sz w:val="24"/>
          <w:szCs w:val="24"/>
          <w:highlight w:val="yellow"/>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Normal"/>
        <w:spacing w:before="20" w:after="20"/>
        <w:ind w:firstLine="709"/>
        <w:jc w:val="both"/>
        <w:rPr>
          <w:sz w:val="24"/>
          <w:szCs w:val="24"/>
          <w:highlight w:val="yellow"/>
        </w:rPr>
      </w:pPr>
      <w:r>
        <w:rPr>
          <w:sz w:val="24"/>
          <w:szCs w:val="24"/>
          <w:highlight w:val="yellow"/>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ind w:firstLine="709"/>
        <w:jc w:val="both"/>
        <w:rPr>
          <w:sz w:val="24"/>
          <w:szCs w:val="24"/>
          <w:highlight w:val="yellow"/>
        </w:rPr>
      </w:pPr>
      <w:r>
        <w:rPr>
          <w:sz w:val="24"/>
          <w:szCs w:val="24"/>
          <w:highlight w:val="yellow"/>
        </w:rPr>
        <w:t>Принадлежащее Покупателю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before="20" w:after="20"/>
        <w:ind w:firstLine="709"/>
        <w:jc w:val="both"/>
        <w:rPr>
          <w:bCs/>
          <w:sz w:val="24"/>
          <w:szCs w:val="24"/>
          <w:highlight w:val="yellow"/>
        </w:rPr>
      </w:pPr>
      <w:r>
        <w:rPr>
          <w:bCs/>
          <w:sz w:val="24"/>
          <w:szCs w:val="24"/>
          <w:highlight w:val="yellow"/>
        </w:rPr>
        <w:t xml:space="preserve">Банковская гарантия должна быть подчинена материальному праву Российской Федерации и предусматривать Арбитражный суд г. Москвы </w:t>
        <w:br/>
        <w:t>в качестве органа, компетентного разрешать споры из банковской гарантии.</w:t>
      </w:r>
    </w:p>
    <w:p>
      <w:pPr>
        <w:pStyle w:val="BodyText"/>
        <w:numPr>
          <w:ilvl w:val="0"/>
          <w:numId w:val="0"/>
        </w:numPr>
        <w:ind w:left="0" w:hanging="0"/>
        <w:outlineLvl w:val="0"/>
        <w:rPr>
          <w:b/>
          <w:bCs/>
          <w:sz w:val="24"/>
          <w:szCs w:val="24"/>
          <w:highlight w:val="yellow"/>
        </w:rPr>
      </w:pPr>
      <w:r>
        <w:rPr>
          <w:sz w:val="24"/>
          <w:szCs w:val="24"/>
          <w:highlight w:val="yellow"/>
        </w:rPr>
        <w:t>Банковская гарантия не должна содержать условий или требований, противоречащих изложенному или делающих изложенное неисполнимым.</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b/>
                <w:sz w:val="24"/>
                <w:szCs w:val="24"/>
                <w:highlight w:val="yellow"/>
                <w:u w:val="single"/>
                <w:lang w:val="ru-RU"/>
              </w:rPr>
              <w:t>Покупатель</w:t>
            </w:r>
            <w:r>
              <w:rPr>
                <w:rFonts w:ascii="Times New Roman" w:hAnsi="Times New Roman"/>
                <w:b/>
                <w:sz w:val="24"/>
                <w:szCs w:val="24"/>
                <w:highlight w:val="yellow"/>
                <w:u w:val="single"/>
              </w:rPr>
              <w:t>:</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highlight w:val="yellow"/>
                <w:u w:val="single"/>
                <w:lang w:val="ru-RU"/>
              </w:rPr>
            </w:pPr>
            <w:r>
              <w:rPr>
                <w:rFonts w:ascii="Times New Roman" w:hAnsi="Times New Roman"/>
                <w:b/>
                <w:sz w:val="24"/>
                <w:szCs w:val="24"/>
                <w:highlight w:val="yellow"/>
                <w:u w:val="single"/>
                <w:lang w:val="ru-RU"/>
              </w:rPr>
              <w:t>Поставщик</w:t>
            </w:r>
            <w:r>
              <w:rPr>
                <w:rFonts w:ascii="Times New Roman" w:hAnsi="Times New Roman"/>
                <w:b/>
                <w:sz w:val="24"/>
                <w:szCs w:val="24"/>
                <w:highlight w:val="yellow"/>
                <w:u w:val="single"/>
              </w:rPr>
              <w:t>:</w:t>
            </w:r>
          </w:p>
          <w:p>
            <w:pPr>
              <w:pStyle w:val="Style18"/>
              <w:widowControl w:val="false"/>
              <w:spacing w:lineRule="auto" w:line="240" w:before="0" w:after="120"/>
              <w:ind w:firstLine="567"/>
              <w:jc w:val="left"/>
              <w:rPr>
                <w:rFonts w:ascii="Times New Roman" w:hAnsi="Times New Roman"/>
                <w:szCs w:val="24"/>
                <w:highlight w:val="yellow"/>
                <w:u w:val="single"/>
                <w:lang w:val="ru-RU"/>
              </w:rPr>
            </w:pPr>
            <w:r>
              <w:rPr>
                <w:rFonts w:ascii="Times New Roman" w:hAnsi="Times New Roman"/>
                <w:szCs w:val="24"/>
                <w:highlight w:val="yellow"/>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highlight w:val="yellow"/>
                <w:lang w:val="ru-RU"/>
              </w:rPr>
            </w:pPr>
            <w:r>
              <w:rPr>
                <w:rFonts w:ascii="Times New Roman" w:hAnsi="Times New Roman"/>
                <w:sz w:val="24"/>
                <w:szCs w:val="24"/>
                <w:highlight w:val="yellow"/>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highlight w:val="yellow"/>
                <w:lang w:val="ru-RU"/>
              </w:rPr>
            </w:pPr>
            <w:r>
              <w:rPr>
                <w:rFonts w:ascii="Times New Roman" w:hAnsi="Times New Roman"/>
                <w:sz w:val="24"/>
                <w:szCs w:val="24"/>
                <w:highlight w:val="yellow"/>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highlight w:val="yellow"/>
                <w:lang w:val="ru-RU"/>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r>
    </w:p>
    <w:sectPr>
      <w:headerReference w:type="default" r:id="rId12"/>
      <w:headerReference w:type="first" r:id="rId13"/>
      <w:footerReference w:type="even" r:id="rId14"/>
      <w:footerReference w:type="default" r:id="rId15"/>
      <w:footerReference w:type="first" r:id="rId16"/>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21</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highlight w:val="yellow"/>
        </w:rPr>
        <w:t xml:space="preserve"> </w:t>
      </w:r>
      <w:r>
        <w:rPr>
          <w:highlight w:val="yellow"/>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0">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1">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8"/>
    <w:lvlOverride w:ilvl="0">
      <w:startOverride w:val="1"/>
    </w:lvlOverride>
  </w:num>
  <w:num w:numId="24">
    <w:abstractNumId w:val="18"/>
  </w:num>
  <w:num w:numId="25">
    <w:abstractNumId w:val="18"/>
  </w:num>
  <w:num w:numId="26">
    <w:abstractNumId w:val="18"/>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5F11-F866-4C5C-B6C6-6AD7182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Application>AlterOffice/3.4.0.9$Linux_X86_64 LibreOffice_project/b8daf9e823b1a5463a2f48435ddc2e8696e7d4fc</Application>
  <AppVersion>15.0000</AppVersion>
  <Pages>21</Pages>
  <Words>7594</Words>
  <Characters>54336</Characters>
  <CharactersWithSpaces>61449</CharactersWithSpaces>
  <Paragraphs>391</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2026-05-27T15:38:08Z</dcterms:modified>
  <cp:revision>61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