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«ОКПД2 43.39.19.190: Оказание услуг по нанесению архитектурной пленки на внутренние стеклянные перегородки и замене элементов визуальной навигации  в административно-офисном здании»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услуг: </w:t>
      </w:r>
      <w:r>
        <w:rPr/>
        <w:t>01.07.2027 — 31.12.2028</w:t>
      </w:r>
      <w:r>
        <w:rPr/>
        <w:t>.</w:t>
      </w:r>
      <w:r>
        <w:rPr>
          <w:b/>
        </w:rPr>
        <w:t xml:space="preserve"> 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01"/>
        <w:gridCol w:w="3012"/>
        <w:gridCol w:w="3011"/>
        <w:gridCol w:w="826"/>
        <w:gridCol w:w="765"/>
        <w:gridCol w:w="763"/>
        <w:gridCol w:w="931"/>
      </w:tblGrid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Характеристика изготавливаемой продукции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/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349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both"/>
              <w:rPr>
                <w:sz w:val="20"/>
                <w:szCs w:val="20"/>
              </w:rPr>
            </w:pPr>
            <w:bookmarkStart w:id="0" w:name="_Hlk196371842_Копия_1_Копия_1_Копия_1_Ко"/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x-none"/>
              </w:rPr>
              <w:t xml:space="preserve">Выполнение работ по нанесению архитектурной пленки </w:t>
            </w:r>
            <w:bookmarkEnd w:id="0"/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Архитектурная пленка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 xml:space="preserve">Orajet/HOHOFILM Градиентная пленка Цвет матовый/ светопрозрачный (сплошная/ с прорезкой/градиент)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4 000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349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x-none"/>
              </w:rPr>
              <w:t>Табличка-наклейка на стекло 400х100 мм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Основа-матовая полупрозрачная пленка. Изображение — отдельно стоящие буквы и символы, полноцветное изображение. Крепление — клеевое за счет собственного клеевого слоя. Наклеивание с обратной стороны стекла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349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Табличка информационная на шпон 400х150 мм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Материал — акриловое стекло толщиной 8 мм. Подложка — шлифованный алюминий толщиной 1 мм, с полноцветной УФ печатью. Крепление — металлические дистанционные держатели.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349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Табличка П-образной 2 мм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Материал — оргстекло молочное гнутое толщиной 2 мм, цифробуквенное нанесение индивидуальное на каждой табличке с каждой стороны.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800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349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x-none"/>
              </w:rPr>
              <w:t>Работы по нанесению архитектурной пленки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Архитектурная  пленка. Цвет: Silver (зеркальный с улицы), светопрозрачность по согласованию с Заказчиком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704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 xml:space="preserve">5. Мы согласны придерживаться положений настоящего предложения в течение </w:t>
      </w:r>
      <w:r>
        <w:rPr/>
        <w:t>срока оказания услуг, указанного в п.2</w:t>
      </w:r>
      <w:r>
        <w:rPr/>
        <w:t>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3"/>
        <w:gridCol w:w="2946"/>
        <w:gridCol w:w="2976"/>
      </w:tblGrid>
      <w:tr>
        <w:trPr/>
        <w:tc>
          <w:tcPr>
            <w:tcW w:w="414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AlterOffice/3.4.0.9$Linux_X86_64 LibreOffice_project/b8daf9e823b1a5463a2f48435ddc2e8696e7d4fc</Application>
  <AppVersion>15.0000</AppVersion>
  <Pages>2</Pages>
  <Words>406</Words>
  <Characters>2883</Characters>
  <CharactersWithSpaces>3268</CharactersWithSpaces>
  <Paragraphs>66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2026-07-21T13:32:53Z</dcterms:modified>
  <cp:revision>22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