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 » июль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 » июль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«ОКПД2 38.11.21.000 Оказание услуг по сбору и вывозу некоммунальных отходов IV-V классов опасности для нужд АО «СК РусГидро»»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14680587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right="0" w:firstLine="283"/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5"/>
        <w:gridCol w:w="6247"/>
      </w:tblGrid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Акционерное общество «Сервисная Компания РусГидро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Акционерное общество «Сервисная Компания РусГидро</w:t>
            </w:r>
          </w:p>
        </w:tc>
      </w:tr>
    </w:tbl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  <w:r>
        <w:br w:type="page"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40" w:before="0" w:after="0"/>
        <w:ind w:left="454" w:right="0" w:firstLine="397"/>
        <w:jc w:val="left"/>
        <w:rPr/>
      </w:pPr>
      <w:bookmarkStart w:id="3" w:name="_Toc146805879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spacing w:lineRule="auto" w:line="276" w:before="120" w:after="120"/>
        <w:ind w:left="0" w:right="0" w:firstLine="85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ОКПД2 38.11.21.000 Оказание услуг по сбору и вывозу некоммунальных отходов IV-V классов опасности для нужд АО «СК РусГидро.</w:t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40" w:before="0" w:after="0"/>
        <w:ind w:left="454" w:right="0" w:firstLine="397"/>
        <w:jc w:val="left"/>
        <w:rPr/>
      </w:pPr>
      <w:bookmarkStart w:id="5" w:name="_Toc146805880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/>
        <w:tabs>
          <w:tab w:val="clear" w:pos="720"/>
          <w:tab w:val="left" w:pos="847" w:leader="none"/>
        </w:tabs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целях исполнения доходного договора № СНРГ-253р/2025 от 14.04.2025, заключенного между АО «СК РусГидро» и ООО «СНРГ», а так же с целью своевременного вывоза строительного мусора, образованного в процессе эксплуатации зданий.</w:t>
      </w:r>
    </w:p>
    <w:p>
      <w:pPr>
        <w:pStyle w:val="Normal"/>
        <w:widowControl/>
        <w:tabs>
          <w:tab w:val="clear" w:pos="720"/>
          <w:tab w:val="left" w:pos="847" w:leader="none"/>
        </w:tabs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76" w:before="0" w:after="0"/>
        <w:ind w:left="454" w:right="0" w:firstLine="397"/>
        <w:jc w:val="left"/>
        <w:rPr/>
      </w:pPr>
      <w:bookmarkStart w:id="7" w:name="_Toc46743508"/>
      <w:bookmarkStart w:id="8" w:name="_Toc146805881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>Некоммунальные отходы - отходы, не относящиеся к коммунальным в соответствии с Каталогом отходов, утвержденном Приказом Росприроднадзора от 22.05.2017 № 242  (отходы (мусор) от строительных и ремонтных работ; отходы (остатки) песчано-гравийной смести при строительных, ремонтных работах; мусор и смет уличный; прочие отходы от уборки территории городских и сельских поселений; растительные отходы при уходе за газонами, цветниками; растительные отходы при уходе за древесно-кустарниковыми посадками.</w:t>
      </w:r>
    </w:p>
    <w:p>
      <w:pPr>
        <w:pStyle w:val="Heading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850"/>
        <w:jc w:val="left"/>
        <w:rPr>
          <w:sz w:val="24"/>
          <w:szCs w:val="24"/>
          <w:lang w:val="ru-RU"/>
        </w:rPr>
      </w:pPr>
      <w:bookmarkStart w:id="9" w:name="_Toc14680588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121"/>
        <w:gridCol w:w="2156"/>
        <w:gridCol w:w="2142"/>
        <w:gridCol w:w="2683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85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  <w:lang w:val="ru-RU" w:bidi="ar-SA"/>
              </w:rPr>
              <w:t>Административное здание и объекты жилого фонда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ru-RU" w:bidi="ar-SA"/>
              </w:rPr>
            </w:pPr>
            <w:r>
              <w:rPr>
                <w:iCs/>
                <w:sz w:val="20"/>
                <w:szCs w:val="20"/>
                <w:lang w:val="ru-RU" w:bidi="ar-SA"/>
              </w:rPr>
              <w:t xml:space="preserve">В соответствии с п. 1.4 </w:t>
            </w:r>
            <w:r>
              <w:rPr>
                <w:iCs/>
                <w:sz w:val="20"/>
                <w:szCs w:val="20"/>
                <w:lang w:val="ru-RU" w:bidi="ar-SA"/>
              </w:rPr>
              <w:t>П</w:t>
            </w:r>
            <w:r>
              <w:rPr>
                <w:iCs/>
                <w:sz w:val="20"/>
                <w:szCs w:val="20"/>
                <w:lang w:val="ru-RU" w:bidi="ar-SA"/>
              </w:rPr>
              <w:t>роекта договора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Прилегающая территория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</w:t>
            </w:r>
          </w:p>
        </w:tc>
      </w:tr>
    </w:tbl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40" w:before="0" w:after="34"/>
        <w:ind w:left="0" w:right="0" w:firstLine="850"/>
        <w:jc w:val="both"/>
        <w:rPr>
          <w:lang w:val="ru-RU"/>
        </w:rPr>
      </w:pPr>
      <w:bookmarkStart w:id="10" w:name="_Toc146719873"/>
      <w:r>
        <w:rPr/>
        <w:t xml:space="preserve">Информация в отношении исполнения договора, </w:t>
      </w:r>
      <w:bookmarkStart w:id="11" w:name="_Hlk46492347_Копия_2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0"/>
      <w:r>
        <w:rPr>
          <w:lang w:val="ru-RU"/>
        </w:rPr>
        <w:t xml:space="preserve"> 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В соответствии с Федеральным законом от 4 мая 2011 года N 99-ФЗ "О лицензировании отдельных видов деятельности" Исполнитель обязан иметь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b w:val="false"/>
          <w:bCs w:val="false"/>
          <w:lang w:eastAsia="x-none"/>
        </w:rPr>
        <w:t>Услуги оказываются по заявкам Заказчика. Заявки направляются любым доступным способом связи, обеспечивающим подтверждение получения Заявки Исполнителем. Заявка должна содержать информацию о дате, месте и планируемом объеме оказания услуг.</w:t>
      </w:r>
    </w:p>
    <w:p>
      <w:pPr>
        <w:pStyle w:val="ListParagraph1"/>
        <w:widowControl/>
        <w:numPr>
          <w:ilvl w:val="2"/>
          <w:numId w:val="3"/>
        </w:numPr>
        <w:tabs>
          <w:tab w:val="clear" w:pos="720"/>
          <w:tab w:val="left" w:pos="709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силами Исполнителя с использованием материалов, оборудования, инвентаря, специализированной техники, автотранспорта и других средств, необходимых для оказания услуг в полном объеме;</w:t>
      </w:r>
    </w:p>
    <w:p>
      <w:pPr>
        <w:pStyle w:val="ListParagraph1"/>
        <w:widowControl/>
        <w:numPr>
          <w:ilvl w:val="2"/>
          <w:numId w:val="3"/>
        </w:numPr>
        <w:tabs>
          <w:tab w:val="clear" w:pos="720"/>
          <w:tab w:val="left" w:pos="709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Исполнитель гарантирует доставку отходов строго до пункта назначения (площадки утилизации, обезвреживания отходов) согласно п. 4.2. ГОСТ Р 57678-2017 «Обращение с отходами Ликвидация строительных отходов».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743" w:leader="none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lang w:eastAsia="x-none"/>
        </w:rPr>
        <w:t>Исполнитель обязан в течение 5 (пяти) рабочих дней после получения передать Заказчику заверенные копии бухгалтерских документов (актов, товарно-транспортных накладных), подтверждающих приобретение талонов на размещение отходов на полигоне ТБО, указанном Заказчиком, а также других документов, подтверждающих факт размещения отходов на полигоне ТБО.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794"/>
        <w:contextualSpacing/>
        <w:jc w:val="both"/>
        <w:rPr/>
      </w:pPr>
      <w:r>
        <w:rPr>
          <w:lang w:eastAsia="x-none"/>
        </w:rPr>
        <w:t>Исполнитель обязан вести временное накопление отходов в соответствии с требованиями природоохранного и санитарно-эпидемиологического законодательства РФ.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 xml:space="preserve">Исполнитель услуг несёт полную ответственность за нарушения, допущенные им при обращении с отходами (временном накоплении, транспортировании и размещении отходов), в т. ч. возмещает Заказчику расходы по уплате соответствующих штрафов. </w:t>
      </w:r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40" w:before="0" w:after="34"/>
        <w:ind w:left="0" w:right="0" w:firstLine="850"/>
        <w:jc w:val="both"/>
        <w:rPr/>
      </w:pPr>
      <w:r>
        <w:rPr>
          <w:b w:val="false"/>
          <w:bCs w:val="false"/>
        </w:rPr>
        <w:t>Исполнитель обеспечивает: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 погрузку мусора на автотранспорт ручным и механизированным способом;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 зачистку территории (дороги);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 вывоз мусора автотранспортом;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360"/>
        <w:ind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- утилизация мусора на специализированном полигоне.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20"/>
          <w:tab w:val="left" w:pos="426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>
          <w:b/>
          <w:bCs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  <w:t>Требования к материально-теническому обеспечению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20"/>
          <w:tab w:val="left" w:pos="426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Исполнитель предоставляет транспортное средство с экипажем со следующими техническими характеристиками: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spacing w:lineRule="atLeast" w:line="11" w:before="0" w:after="0"/>
        <w:ind w:left="0" w:right="0" w:firstLine="850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Таблица 2 Требования к используемой технике:</w:t>
      </w:r>
    </w:p>
    <w:tbl>
      <w:tblPr>
        <w:tblStyle w:val="affff8"/>
        <w:tblW w:w="94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0"/>
        <w:gridCol w:w="3774"/>
        <w:gridCol w:w="3760"/>
        <w:gridCol w:w="1397"/>
      </w:tblGrid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77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техники</w:t>
            </w:r>
          </w:p>
        </w:tc>
        <w:tc>
          <w:tcPr>
            <w:tcW w:w="37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Технические характеристики</w:t>
            </w:r>
          </w:p>
        </w:tc>
        <w:tc>
          <w:tcPr>
            <w:tcW w:w="13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Количество единиц (не менее)</w:t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77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Автомобиль - бортовой грузовик «Газель» или аналог</w:t>
            </w:r>
          </w:p>
        </w:tc>
        <w:tc>
          <w:tcPr>
            <w:tcW w:w="37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Вид борта: крытый тентом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Высота борта: не менее 2 метров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Длина борта: не менее 3 метров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Грузоподъемность, не менее 1,5 т</w:t>
            </w:r>
          </w:p>
        </w:tc>
        <w:tc>
          <w:tcPr>
            <w:tcW w:w="13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 шт.</w:t>
            </w:r>
          </w:p>
        </w:tc>
      </w:tr>
      <w:tr>
        <w:trPr>
          <w:trHeight w:val="302" w:hRule="atLeast"/>
        </w:trPr>
        <w:tc>
          <w:tcPr>
            <w:tcW w:w="5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- самосвал</w:t>
            </w:r>
          </w:p>
        </w:tc>
        <w:tc>
          <w:tcPr>
            <w:tcW w:w="37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Грузоподъемность, не более 10 т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</w:t>
            </w:r>
          </w:p>
        </w:tc>
      </w:tr>
    </w:tbl>
    <w:p>
      <w:pPr>
        <w:pStyle w:val="Normal"/>
        <w:tabs>
          <w:tab w:val="clear" w:pos="720"/>
          <w:tab w:val="left" w:pos="1560" w:leader="none"/>
        </w:tabs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 xml:space="preserve">Транспортное средство может быть на любом праве владения на правах собственности / аренды/ лизинга /ином законном праве владения. </w:t>
      </w:r>
      <w:r>
        <w:rPr>
          <w:b w:val="false"/>
          <w:bCs w:val="false"/>
          <w:u w:val="none"/>
        </w:rPr>
        <w:t xml:space="preserve">В по запросу копией одного из следующих </w:t>
      </w:r>
      <w:r>
        <w:rPr/>
        <w:t>документов:</w:t>
      </w:r>
    </w:p>
    <w:p>
      <w:pPr>
        <w:pStyle w:val="ListParagraph"/>
        <w:tabs>
          <w:tab w:val="clear" w:pos="720"/>
          <w:tab w:val="left" w:pos="1560" w:leader="none"/>
        </w:tabs>
        <w:ind w:left="0" w:firstLine="567"/>
        <w:jc w:val="both"/>
        <w:rPr/>
      </w:pPr>
      <w:r>
        <w:rPr/>
        <w:t xml:space="preserve">- паспорт транспортного средства (ПТС) </w:t>
      </w:r>
    </w:p>
    <w:p>
      <w:pPr>
        <w:pStyle w:val="ListParagraph"/>
        <w:tabs>
          <w:tab w:val="clear" w:pos="720"/>
          <w:tab w:val="left" w:pos="1560" w:leader="none"/>
        </w:tabs>
        <w:ind w:left="0" w:firstLine="567"/>
        <w:jc w:val="both"/>
        <w:rPr/>
      </w:pPr>
      <w:r>
        <w:rPr/>
        <w:t>- копия договора аренды (в случае владения по договору аренды)</w:t>
      </w:r>
    </w:p>
    <w:p>
      <w:pPr>
        <w:pStyle w:val="ListParagraph"/>
        <w:tabs>
          <w:tab w:val="clear" w:pos="720"/>
          <w:tab w:val="left" w:pos="1560" w:leader="none"/>
        </w:tabs>
        <w:ind w:left="0" w:firstLine="567"/>
        <w:jc w:val="both"/>
        <w:rPr/>
      </w:pPr>
      <w:r>
        <w:rPr/>
        <w:t>- копия договора лизинга (в случае владения по договору лизинга)</w:t>
      </w:r>
    </w:p>
    <w:p>
      <w:pPr>
        <w:pStyle w:val="ListParagraph"/>
        <w:tabs>
          <w:tab w:val="clear" w:pos="720"/>
          <w:tab w:val="left" w:pos="1560" w:leader="none"/>
        </w:tabs>
        <w:ind w:left="0" w:firstLine="567"/>
        <w:jc w:val="both"/>
        <w:rPr/>
      </w:pPr>
      <w:r>
        <w:rPr/>
        <w:t>- копия иного документа, подтверждающего законное право владения (в случае владения на ином основании).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>Техника предоставляется в технически исправном состоянии. Исполнитель обеспечивает осуществление ежедневного предрейсового и послерейсового инструментального контроля техники;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>Наличие и предоставление подменных единиц техники в случае неисправности основных единиц техники;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 xml:space="preserve"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обстоятельств, препятствующих выполнения обязательств Исполнителя по условиям договора. 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</w:t>
      </w:r>
      <w:r>
        <w:rPr>
          <w:color w:val="FF0000"/>
        </w:rPr>
        <w:t xml:space="preserve"> 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/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ListParagraph"/>
        <w:widowControl/>
        <w:numPr>
          <w:ilvl w:val="2"/>
          <w:numId w:val="3"/>
        </w:numPr>
        <w:tabs>
          <w:tab w:val="clear" w:pos="720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lang w:eastAsia="x-none"/>
        </w:rPr>
        <w:t xml:space="preserve">До начала оказания услуг Исполнитель обязан назначить ответственное лицо за организацию природоохранной деятельности при оказании услуг, в том числе при обращении с отходами. Копию указанного распорядительного документа Исполнитель обязан предоставить Заказчику. </w:t>
      </w:r>
    </w:p>
    <w:p>
      <w:pPr>
        <w:pStyle w:val="ListParagraph"/>
        <w:widowControl/>
        <w:tabs>
          <w:tab w:val="clear" w:pos="720"/>
          <w:tab w:val="left" w:pos="743" w:leader="none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20"/>
          <w:tab w:val="left" w:pos="426" w:leader="none"/>
        </w:tabs>
        <w:suppressAutoHyphens w:val="true"/>
        <w:bidi w:val="0"/>
        <w:spacing w:lineRule="atLeast" w:line="11" w:before="0" w:after="0"/>
        <w:ind w:left="0" w:right="0" w:firstLine="850"/>
        <w:jc w:val="both"/>
        <w:rPr>
          <w:b/>
          <w:bCs/>
          <w:sz w:val="24"/>
          <w:szCs w:val="24"/>
          <w:lang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>Обязательства</w:t>
      </w:r>
      <w:r>
        <w:rPr>
          <w:b/>
          <w:bCs/>
          <w:sz w:val="24"/>
          <w:szCs w:val="24"/>
          <w:lang w:eastAsia="x-none"/>
        </w:rPr>
        <w:t xml:space="preserve"> Заказчика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20"/>
          <w:tab w:val="left" w:pos="426" w:leader="none"/>
        </w:tabs>
        <w:suppressAutoHyphens w:val="true"/>
        <w:bidi w:val="0"/>
        <w:spacing w:lineRule="atLeast" w:line="11" w:before="0" w:after="0"/>
        <w:ind w:left="0" w:right="0" w:firstLine="850"/>
        <w:jc w:val="both"/>
        <w:rPr>
          <w:b/>
          <w:bCs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20"/>
          <w:tab w:val="left" w:pos="426" w:leader="none"/>
        </w:tabs>
        <w:suppressAutoHyphens w:val="true"/>
        <w:bidi w:val="0"/>
        <w:spacing w:lineRule="atLeast" w:line="11" w:before="0" w:after="0"/>
        <w:ind w:left="0" w:right="0" w:firstLine="850"/>
        <w:jc w:val="both"/>
        <w:rPr>
          <w:b/>
          <w:bCs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40" w:before="0" w:after="34"/>
        <w:ind w:left="454" w:right="0" w:firstLine="397"/>
        <w:jc w:val="left"/>
        <w:rPr/>
      </w:pPr>
      <w:bookmarkStart w:id="12" w:name="_Toc146719874"/>
      <w:r>
        <w:rPr/>
        <w:t>Иные требования и сведения общего характера</w:t>
      </w:r>
      <w:bookmarkEnd w:id="12"/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40" w:before="0" w:after="34"/>
        <w:ind w:left="0" w:right="0" w:firstLine="850"/>
        <w:jc w:val="both"/>
        <w:rPr/>
      </w:pPr>
      <w:r>
        <w:rPr>
          <w:b w:val="false"/>
          <w:bCs w:val="false"/>
        </w:rPr>
        <w:t>Не допускать порчи ограждений и асфальтовых покрытий, бордюрного камня, контейнерных площадок, а также зеленых насаждений и газонов на территории Заказчика, автотранспорта, расположенного на территориях и/или рядом с контейнерными площадками.</w:t>
      </w:r>
    </w:p>
    <w:p>
      <w:pPr>
        <w:pStyle w:val="Heading4"/>
        <w:keepNext w:val="true"/>
        <w:widowControl/>
        <w:numPr>
          <w:ilvl w:val="2"/>
          <w:numId w:val="3"/>
        </w:numPr>
        <w:tabs>
          <w:tab w:val="clear" w:pos="0"/>
          <w:tab w:val="left" w:pos="594" w:leader="none"/>
        </w:tabs>
        <w:suppressAutoHyphens w:val="true"/>
        <w:bidi w:val="0"/>
        <w:spacing w:lineRule="auto" w:line="240" w:before="0" w:after="34"/>
        <w:ind w:left="0" w:right="0" w:firstLine="850"/>
        <w:jc w:val="both"/>
        <w:rPr/>
      </w:pPr>
      <w:r>
        <w:rPr>
          <w:b w:val="false"/>
          <w:bCs w:val="false"/>
        </w:rPr>
        <w:t>Исполнитель обязуется предоставлять Заказчику талоны, накладные, транспортные накладные и другие документы, подтверждающие объемы вывезенных некоммунальных отходов.</w:t>
      </w:r>
    </w:p>
    <w:p>
      <w:pPr>
        <w:pStyle w:val="Heading4"/>
        <w:numPr>
          <w:ilvl w:val="0"/>
        </w:numPr>
        <w:tabs>
          <w:tab w:val="clear" w:pos="0"/>
        </w:tabs>
        <w:ind w:left="0" w:right="0" w:hanging="0"/>
        <w:jc w:val="both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13" w:name="_Toc51339693"/>
      <w:bookmarkStart w:id="14" w:name="_Toc146805885"/>
      <w:r>
        <w:rPr>
          <w:iCs/>
          <w:lang w:val="ru-RU"/>
        </w:rPr>
        <w:t>Требования</w:t>
      </w:r>
      <w:r>
        <w:rPr>
          <w:iCs/>
        </w:rPr>
        <w:t xml:space="preserve"> к </w:t>
      </w:r>
      <w:bookmarkEnd w:id="13"/>
      <w:bookmarkEnd w:id="14"/>
      <w:r>
        <w:rPr>
          <w:iCs/>
        </w:rPr>
        <w:t>услугам</w:t>
      </w:r>
    </w:p>
    <w:p>
      <w:pPr>
        <w:pStyle w:val="Heading4"/>
        <w:keepNext w:val="true"/>
        <w:widowControl/>
        <w:numPr>
          <w:ilvl w:val="1"/>
          <w:numId w:val="3"/>
        </w:numPr>
        <w:tabs>
          <w:tab w:val="left" w:pos="0" w:leader="none"/>
          <w:tab w:val="left" w:pos="847" w:leader="none"/>
        </w:tabs>
        <w:suppressAutoHyphens w:val="true"/>
        <w:bidi w:val="0"/>
        <w:spacing w:lineRule="auto" w:line="276" w:before="0" w:after="34"/>
        <w:ind w:left="454" w:right="0" w:firstLine="397"/>
        <w:jc w:val="left"/>
        <w:rPr/>
      </w:pPr>
      <w:bookmarkStart w:id="15" w:name="_Toc14680588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76" w:before="0" w:after="34"/>
        <w:ind w:left="454" w:right="0" w:firstLine="397"/>
        <w:jc w:val="left"/>
        <w:rPr/>
      </w:pPr>
      <w:bookmarkStart w:id="16" w:name="_Toc146805887"/>
      <w:r>
        <w:rPr>
          <w:lang w:val="ru-RU"/>
        </w:rPr>
        <w:t>Требования к перечню и объему услуг</w:t>
      </w:r>
      <w:bookmarkEnd w:id="16"/>
    </w:p>
    <w:p>
      <w:pPr>
        <w:pStyle w:val="Heading4"/>
        <w:keepNext w:val="true"/>
        <w:widowControl/>
        <w:numPr>
          <w:ilvl w:val="0"/>
          <w:numId w:val="0"/>
        </w:numPr>
        <w:tabs>
          <w:tab w:val="clear" w:pos="0"/>
        </w:tabs>
        <w:suppressAutoHyphens w:val="true"/>
        <w:bidi w:val="0"/>
        <w:spacing w:lineRule="auto" w:line="276" w:before="0" w:after="34"/>
        <w:ind w:left="0" w:right="0" w:firstLine="850"/>
        <w:jc w:val="left"/>
        <w:rPr/>
      </w:pPr>
      <w:bookmarkStart w:id="17" w:name="_Toc146805888"/>
      <w:bookmarkStart w:id="18" w:name="_Toc51339695"/>
      <w:r>
        <w:rPr/>
        <w:t>Таблица 3</w:t>
      </w:r>
      <w:r>
        <w:rPr>
          <w:lang w:val="ru-RU"/>
        </w:rPr>
        <w:t>.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18"/>
      <w:r>
        <w:rPr>
          <w:lang w:val="ru-RU"/>
        </w:rPr>
        <w:t>и объем оказываемых услуг</w:t>
      </w:r>
      <w:bookmarkEnd w:id="17"/>
    </w:p>
    <w:tbl>
      <w:tblPr>
        <w:tblW w:w="95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91"/>
        <w:gridCol w:w="2208"/>
        <w:gridCol w:w="3301"/>
        <w:gridCol w:w="1251"/>
        <w:gridCol w:w="1016"/>
        <w:gridCol w:w="1249"/>
      </w:tblGrid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Код по ФККО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2"/>
                <w:szCs w:val="22"/>
              </w:rPr>
              <w:t>Количество*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Периодичность</w:t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left"/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Вывоз и утилизация растительного мусор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7 31 300 00 00 0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Растительные отходы при уходе за газонами, цветниками, древесно-кустарниковыми посадками)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 мере необходимости по Заявкам Заказчика</w:t>
            </w:r>
          </w:p>
        </w:tc>
      </w:tr>
      <w:tr>
        <w:trPr/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left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Вывоз и утилизация строительного мусора 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 90 000 01 72 4 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ru-RU" w:bidi="ar-SA"/>
              </w:rPr>
              <w:t>Отходы от строительных и ремонтных работ)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м3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360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 мере необходимости по Заявкам Заказчика</w:t>
            </w:r>
          </w:p>
        </w:tc>
      </w:tr>
    </w:tbl>
    <w:p>
      <w:pPr>
        <w:pStyle w:val="BodyTex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Heading3"/>
        <w:numPr>
          <w:ilvl w:val="2"/>
          <w:numId w:val="3"/>
        </w:numPr>
        <w:ind w:left="0" w:right="0" w:firstLine="720"/>
        <w:rPr>
          <w:lang w:val="ru-RU"/>
        </w:rPr>
      </w:pPr>
      <w:bookmarkStart w:id="19" w:name="_Toc146805889"/>
      <w:bookmarkStart w:id="20" w:name="_Toc51339696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Требования</w:t>
      </w:r>
      <w:r>
        <w:rPr>
          <w:lang w:val="ru-RU"/>
        </w:rPr>
        <w:t xml:space="preserve"> </w:t>
      </w:r>
      <w:bookmarkEnd w:id="20"/>
      <w:r>
        <w:rPr>
          <w:lang w:val="ru-RU"/>
        </w:rPr>
        <w:t>к срокам оказания услуг</w:t>
      </w:r>
      <w:bookmarkEnd w:id="19"/>
    </w:p>
    <w:p>
      <w:pPr>
        <w:pStyle w:val="Heading3"/>
        <w:numPr>
          <w:ilvl w:val="0"/>
          <w:numId w:val="0"/>
        </w:numPr>
        <w:ind w:left="0" w:right="0" w:hanging="0"/>
        <w:rPr>
          <w:lang w:val="ru-RU"/>
        </w:rPr>
      </w:pPr>
      <w:bookmarkStart w:id="21" w:name="_Toc146805890"/>
      <w:bookmarkStart w:id="22" w:name="_Toc51339697"/>
      <w:bookmarkStart w:id="23" w:name="_Toc50125127"/>
      <w:bookmarkStart w:id="24" w:name="_Toc50125126_Копия_1"/>
      <w:bookmarkEnd w:id="24"/>
      <w:r>
        <w:rPr/>
        <w:t xml:space="preserve">Таблица </w:t>
      </w:r>
      <w:r>
        <w:rPr>
          <w:lang w:val="ru-RU"/>
        </w:rPr>
        <w:t>4</w:t>
      </w:r>
      <w:r>
        <w:rPr/>
        <w:t xml:space="preserve">. </w:t>
      </w:r>
      <w:bookmarkStart w:id="25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22"/>
      <w:bookmarkEnd w:id="23"/>
      <w:bookmarkEnd w:id="25"/>
      <w:r>
        <w:rPr>
          <w:lang w:val="ru-RU"/>
        </w:rPr>
        <w:t>оказания услуг</w:t>
      </w:r>
      <w:bookmarkEnd w:id="21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4534"/>
        <w:gridCol w:w="2410"/>
        <w:gridCol w:w="2410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ОКПД2 38.11.21.000 Оказание услуг по сбору и вывозу некоммунальных отходов IV-V классов опасности для нужд АО «СК РусГидро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01.07.2027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31.12.2028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276"/>
        <w:ind w:left="432" w:right="0" w:hanging="432"/>
        <w:rPr/>
      </w:pPr>
      <w:bookmarkStart w:id="26" w:name="_Toc51339698"/>
      <w:bookmarkStart w:id="27" w:name="_Toc146805891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4"/>
        <w:numPr>
          <w:ilvl w:val="0"/>
        </w:numPr>
        <w:tabs>
          <w:tab w:val="clear" w:pos="0"/>
        </w:tabs>
        <w:spacing w:lineRule="auto" w:line="276"/>
        <w:ind w:left="0" w:right="0" w:hanging="0"/>
        <w:rPr/>
      </w:pPr>
      <w:bookmarkStart w:id="29" w:name="_Toc146805892"/>
      <w:r>
        <w:rPr/>
        <w:t>Таблица </w:t>
      </w:r>
      <w:r>
        <w:rPr>
          <w:lang w:val="ru-RU"/>
        </w:rPr>
        <w:t>5</w:t>
      </w:r>
      <w:r>
        <w:rPr/>
        <w:t xml:space="preserve">. Требования к </w:t>
      </w:r>
      <w:bookmarkEnd w:id="26"/>
      <w:r>
        <w:rPr>
          <w:lang w:val="ru-RU"/>
        </w:rPr>
        <w:t>качеству услуг</w:t>
      </w:r>
      <w:bookmarkEnd w:id="29"/>
    </w:p>
    <w:p>
      <w:pPr>
        <w:pStyle w:val="Heading4"/>
        <w:numPr>
          <w:ilvl w:val="0"/>
        </w:numPr>
        <w:tabs>
          <w:tab w:val="clear" w:pos="0"/>
        </w:tabs>
        <w:spacing w:lineRule="auto" w:line="276"/>
        <w:ind w:left="0" w:right="0" w:hanging="0"/>
        <w:rPr>
          <w:b w:val="false"/>
          <w:bCs w:val="false"/>
        </w:rPr>
      </w:pPr>
      <w:r>
        <w:rPr/>
        <w:t xml:space="preserve">Наименование услуг\этапа услуг: 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4"/>
          <w:szCs w:val="24"/>
        </w:rPr>
        <w:t>ОКПД2 38.11.21.000 Оказание услуг по сбору и вывозу некоммунальных отходов IV-V классов опасности для нужд АО «СК РусГидро.</w:t>
      </w:r>
    </w:p>
    <w:tbl>
      <w:tblPr>
        <w:tblStyle w:val="affff8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"/>
        <w:gridCol w:w="2590"/>
        <w:gridCol w:w="4034"/>
        <w:gridCol w:w="2600"/>
        <w:gridCol w:w="2666"/>
        <w:gridCol w:w="2201"/>
      </w:tblGrid>
      <w:tr>
        <w:trPr>
          <w:trHeight w:val="20" w:hRule="atLeast"/>
        </w:trPr>
        <w:tc>
          <w:tcPr>
            <w:tcW w:w="7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9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0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2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0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0"/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0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40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осуществляется в соответствии с положениями Федерального закона "Об отходах производства и потребления" от 24.06.1998 N 89-ФЗ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0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Исполнителя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Допуск персонала исполнителя для оказания услуг должен осуществляться с обязательным оформлением необходимых пропусков по служебной записке.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обеспечению соблюдения техники безопасности при оказании услуг, требований к квалификации персонала.</w:t>
            </w:r>
          </w:p>
        </w:tc>
        <w:tc>
          <w:tcPr>
            <w:tcW w:w="40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у Исполнителя (или у привлекаемых соисполнителей) материально-технических ресурсов (строительная техника, грузоподъемные механизмы, приборы, материалы, механизмы, приспособления, специальный инструмент и т.д.), используемых при выполнении работ и принадлежащих ему на праве собственности или ином законном основании.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МТР приведены в п. 1.6 настоящих ТТ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или привлекаемый соисполнитель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заключения договора Исполнитель представляет список персонала, копии квалификационных и аттестационных документов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 иные документы.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5" w:leader="none"/>
                <w:tab w:val="left" w:pos="318" w:leader="none"/>
              </w:tabs>
              <w:suppressAutoHyphens w:val="true"/>
              <w:spacing w:before="0" w:after="0"/>
              <w:ind w:right="57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или привлекаемые соисполнители должны подтвердить соответствие квалификации персонала, участвующего в выполнении работ на территории Заказчика: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4" w:leader="none"/>
                <w:tab w:val="left" w:pos="330" w:leader="none"/>
              </w:tabs>
              <w:suppressAutoHyphens w:val="true"/>
              <w:spacing w:before="0" w:after="0"/>
              <w:ind w:right="57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>Представить до заключения договора: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Заверенный список лиц, допущенных к обращению с отходами и имеющих профессиональную подготовку, подтвержденную свидетельствами/удостоверениями на право работы с отходами 4-5  классов опасности.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аверенные копии свидетельств (удостоверений) персонала, осуществляющего обращение с отходами, а также погрузку и транспортировку производственных отходов, подтверждающих право работы с отходами 4-5 классов опасности.</w:t>
            </w:r>
          </w:p>
          <w:p>
            <w:pPr>
              <w:pStyle w:val="ListParagraph"/>
              <w:widowControl w:val="false"/>
              <w:bidi w:val="0"/>
              <w:spacing w:before="0" w:after="0"/>
              <w:ind w:left="0" w:right="0" w:hanging="0"/>
              <w:contextualSpacing/>
              <w:jc w:val="both"/>
              <w:rPr>
                <w:bCs/>
                <w:i/>
                <w:i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комиссией филиала, с оформлением отчётной документации со стороны Исполнителя.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исключений.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x-none" w:bidi="ar-SA"/>
              </w:rPr>
              <w:t xml:space="preserve"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Приемка услуг производится совместно с представителями Исполнителя и Заказчика путем внешнего осмотра на отсутствие мусора на мусорных площадках, а так на отсутствие выпавшего при уборке мусора. 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 а так же документ, подтверждающий приемку отходов на полигоне (акт приема-передачи отходов, талон на утилизацию и т.д.)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Оказывать Услуги надлежащего качества и в соответствии с требованиями: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Федерального закона от 30 марта 1999 года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Федерального закона от 10 января 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22272F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- Федерального закона от 4 мая 2011 года № 99-ФЗ «О лицензировании отдельных видов деятельности»;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22272F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- Постановления Правительства РФ от 26 декабря 2020 года № 2290 «О лицензировании деятельности по сбору, транспортированию, обработке, утилизации, обезвреживанию, размещению отходов I - IV классов опасности».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-- СП 82.13330.2016 Благоустройство территорий. Актуализированная редакция СНиП III-10-75;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 СанПиН 42-128-4690-88 Санитарные правила содержания территорий населенных мест;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 Приказом Росприроднадзора от 22.05.2017 № 242;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-Федерального закона от 22.07.2008 №123-ФЗ «Технический регламент о требованиях пожарной безопасности» (с изменениями на 27 декабря 2018 года);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 Федерального закона РФ от 27.12.2002 №184-ФЗ «О техническом регулировании» (с изменениями на 28 ноября 2018 года);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-Федерального закона РФ от 30.12.2012 №384-ФЗ «Технический регламент о безопасности зданий и сооружений» (с изменениями на 2 июля 2013 года);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22272F"/>
                <w:kern w:val="0"/>
                <w:sz w:val="20"/>
                <w:szCs w:val="20"/>
                <w:shd w:fill="FFFFFF" w:val="clear"/>
                <w:lang w:val="x-none" w:eastAsia="x-none" w:bidi="ar-SA"/>
              </w:rPr>
              <w:t>- другие действующие правовые и локальные акты, регулирующие данную сферу</w:t>
            </w:r>
            <w:r>
              <w:rPr>
                <w:rFonts w:eastAsia="Times New Roman" w:cs="Times New Roman"/>
                <w:bCs/>
                <w:color w:val="22272F"/>
                <w:kern w:val="0"/>
                <w:sz w:val="20"/>
                <w:szCs w:val="20"/>
                <w:shd w:fill="FFFFFF" w:val="clear"/>
                <w:lang w:val="ru-RU" w:eastAsia="x-none" w:bidi="ar-SA"/>
              </w:rPr>
              <w:t>.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2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6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66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01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lang w:val="ru-RU"/>
        </w:rPr>
      </w:pPr>
      <w:bookmarkStart w:id="31" w:name="_Toc146805893"/>
      <w:bookmarkStart w:id="32" w:name="_Toc53393312"/>
      <w:bookmarkStart w:id="33" w:name="_Toc53395937"/>
      <w:r>
        <w:rPr>
          <w:lang w:val="ru-RU"/>
        </w:rPr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  <w:bookmarkEnd w:id="31"/>
    </w:p>
    <w:p>
      <w:pPr>
        <w:pStyle w:val="Normal"/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numPr>
          <w:ilvl w:val="1"/>
          <w:numId w:val="3"/>
        </w:numPr>
        <w:jc w:val="both"/>
        <w:rPr>
          <w:sz w:val="24"/>
        </w:rPr>
      </w:pPr>
      <w:r>
        <w:rPr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lang w:val="ru-RU"/>
        </w:rPr>
      </w:pPr>
      <w:r>
        <w:rPr>
          <w:lang w:val="ru-RU"/>
        </w:rPr>
        <w:t>Т</w:t>
      </w:r>
      <w:bookmarkStart w:id="34" w:name="_Toc54281228"/>
      <w:bookmarkStart w:id="35" w:name="_Toc146805896"/>
      <w:bookmarkStart w:id="36" w:name="_Toc46743519"/>
      <w:bookmarkStart w:id="37" w:name="_Toc51339699"/>
      <w:r>
        <w:rPr>
          <w:lang w:val="ru-RU"/>
        </w:rPr>
        <w:t>ребования к документации по ценообразованию на этапе заключения (исполнения) договора</w:t>
      </w:r>
      <w:bookmarkEnd w:id="34"/>
      <w:bookmarkEnd w:id="35"/>
      <w:bookmarkEnd w:id="36"/>
      <w:bookmarkEnd w:id="37"/>
    </w:p>
    <w:p>
      <w:pPr>
        <w:pStyle w:val="Heading1"/>
        <w:numPr>
          <w:ilvl w:val="0"/>
          <w:numId w:val="0"/>
        </w:numPr>
        <w:ind w:left="0" w:right="0" w:firstLine="283"/>
        <w:jc w:val="both"/>
        <w:rPr>
          <w:rFonts w:eastAsia="Times New Roman"/>
          <w:b w:val="false"/>
          <w:sz w:val="24"/>
          <w:szCs w:val="24"/>
          <w:lang w:val="ru-RU" w:eastAsia="ru-RU"/>
        </w:rPr>
      </w:pPr>
      <w:r>
        <w:rPr>
          <w:rFonts w:eastAsia="Times New Roman"/>
          <w:b w:val="false"/>
          <w:sz w:val="24"/>
          <w:szCs w:val="24"/>
          <w:lang w:val="ru-RU" w:eastAsia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 (цену за единицу услуги).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BE88A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BE88A4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/>
        <w:em w:val="none"/>
        <w:vanish w:val="false"/>
        <w:rFonts w:ascii="Times New Roman" w:hAnsi="Times New Roman" w:eastAsia="Calibri" w:cs="Times New Roman"/>
        <w:color w:val="auto"/>
        <w:lang w:val="x-none" w:eastAsia="x-none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lineRule="atLeast" w:line="11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lineRule="auto" w:line="240" w:before="120" w:after="60"/>
      <w:ind w:left="0" w:right="0" w:firstLine="794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20"/>
        <w:tab w:val="left" w:pos="0" w:leader="none"/>
      </w:tabs>
      <w:spacing w:before="0" w:after="34"/>
      <w:ind w:left="432" w:right="0" w:firstLine="283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Title">
    <w:name w:val="Title"/>
    <w:basedOn w:val="Normal"/>
    <w:next w:val="BodyText"/>
    <w:qFormat/>
    <w:pPr>
      <w:widowControl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46ed9"/>
    <w:pPr>
      <w:tabs>
        <w:tab w:val="clear" w:pos="720"/>
        <w:tab w:val="left" w:pos="560" w:leader="none"/>
        <w:tab w:val="right" w:pos="9911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ListParagraph1" w:customStyle="1">
    <w:name w:val="List Paragraph1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Application>AlterOffice/3.4.0.9$Linux_X86_64 LibreOffice_project/b8daf9e823b1a5463a2f48435ddc2e8696e7d4fc</Application>
  <AppVersion>15.0000</AppVersion>
  <Pages>11</Pages>
  <Words>2207</Words>
  <Characters>15281</Characters>
  <CharactersWithSpaces>17201</CharactersWithSpaces>
  <Paragraphs>281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2023-09-28T04:28:00Z</dcterms:created>
  <dc:creator>Быстров Олег Геннадьевич</dc:creator>
  <dc:description/>
  <dc:language>ru-RU</dc:language>
  <cp:lastModifiedBy>streletsva@corp.gidroogk.com</cp:lastModifiedBy>
  <cp:lastPrinted>2006-07-26T14:04:00Z</cp:lastPrinted>
  <dcterms:modified xsi:type="dcterms:W3CDTF">2026-07-21T15:24:09Z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