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header5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4248" w:firstLine="708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«УТВЕРЖДАЮ»</w:t>
      </w:r>
    </w:p>
    <w:p>
      <w:pPr>
        <w:pStyle w:val="Normal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Первый заместитель директора –</w:t>
      </w:r>
    </w:p>
    <w:p>
      <w:pPr>
        <w:pStyle w:val="Normal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главный инженер филиала</w:t>
      </w:r>
    </w:p>
    <w:p>
      <w:pPr>
        <w:pStyle w:val="Normal"/>
        <w:spacing w:lineRule="auto" w:line="276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ПАО «РусГидро» - «Дагестанский филиал»</w:t>
      </w:r>
    </w:p>
    <w:p>
      <w:pPr>
        <w:pStyle w:val="Normal"/>
        <w:spacing w:lineRule="auto" w:line="36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  <w:u w:val="single"/>
        </w:rPr>
        <w:t>________________</w:t>
      </w:r>
      <w:r>
        <w:rPr>
          <w:rFonts w:eastAsia="Calibri"/>
          <w:sz w:val="24"/>
          <w:szCs w:val="24"/>
        </w:rPr>
        <w:t xml:space="preserve"> М.Ш. Магомедов</w:t>
      </w:r>
    </w:p>
    <w:p>
      <w:pPr>
        <w:pStyle w:val="Normal"/>
        <w:keepNext w:val="true"/>
        <w:keepLines/>
        <w:jc w:val="right"/>
        <w:rPr>
          <w:rFonts w:eastAsia="Calibri"/>
          <w:b/>
          <w:bCs/>
          <w:sz w:val="24"/>
          <w:szCs w:val="24"/>
        </w:rPr>
      </w:pPr>
      <w:bookmarkStart w:id="0" w:name="_GoBack"/>
      <w:bookmarkEnd w:id="0"/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«</w:t>
      </w:r>
      <w:r>
        <w:rPr>
          <w:rFonts w:eastAsia="Calibri"/>
          <w:sz w:val="24"/>
          <w:szCs w:val="24"/>
          <w:u w:val="single"/>
        </w:rPr>
        <w:t>____</w:t>
      </w:r>
      <w:r>
        <w:rPr>
          <w:rFonts w:eastAsia="Calibri"/>
          <w:sz w:val="24"/>
          <w:szCs w:val="24"/>
        </w:rPr>
        <w:t xml:space="preserve">» </w:t>
      </w:r>
      <w:r>
        <w:rPr>
          <w:rFonts w:eastAsia="Calibri"/>
          <w:sz w:val="24"/>
          <w:szCs w:val="24"/>
          <w:u w:val="single"/>
        </w:rPr>
        <w:t>____________</w:t>
      </w:r>
      <w:r>
        <w:rPr>
          <w:rFonts w:eastAsia="Calibri"/>
          <w:sz w:val="24"/>
          <w:szCs w:val="24"/>
        </w:rPr>
        <w:t>202</w:t>
      </w:r>
      <w:r>
        <w:rPr>
          <w:rFonts w:eastAsia="Calibri"/>
          <w:sz w:val="24"/>
          <w:szCs w:val="24"/>
        </w:rPr>
        <w:t>6</w:t>
      </w:r>
      <w:r>
        <w:rPr>
          <w:rFonts w:eastAsia="Calibri"/>
          <w:sz w:val="24"/>
          <w:szCs w:val="24"/>
        </w:rPr>
        <w:t xml:space="preserve"> г.</w:t>
      </w:r>
    </w:p>
    <w:p>
      <w:pPr>
        <w:pStyle w:val="Normal"/>
        <w:keepNext w:val="true"/>
        <w:keepLines/>
        <w:spacing w:lineRule="auto" w:line="276"/>
        <w:jc w:val="right"/>
        <w:rPr>
          <w:szCs w:val="26"/>
        </w:rPr>
      </w:pPr>
      <w:r>
        <w:rPr>
          <w:szCs w:val="26"/>
        </w:rPr>
      </w:r>
    </w:p>
    <w:p>
      <w:pPr>
        <w:pStyle w:val="Normal"/>
        <w:keepNext w:val="true"/>
        <w:keepLines/>
        <w:spacing w:lineRule="auto" w:line="276"/>
        <w:jc w:val="right"/>
        <w:rPr>
          <w:szCs w:val="26"/>
        </w:rPr>
      </w:pPr>
      <w:r>
        <w:rPr>
          <w:szCs w:val="26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Технические требования на </w:t>
      </w:r>
    </w:p>
    <w:p>
      <w:pPr>
        <w:pStyle w:val="Normal"/>
        <w:keepNext w:val="true"/>
        <w:keepLines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«Поставка и шефмонтаж </w:t>
      </w:r>
      <w:r>
        <w:rPr>
          <w:rFonts w:eastAsia="Calibri"/>
          <w:bCs/>
          <w:sz w:val="24"/>
          <w:szCs w:val="24"/>
        </w:rPr>
        <w:t>выключателей</w:t>
      </w:r>
      <w:r>
        <w:rPr>
          <w:rFonts w:eastAsia="Calibri"/>
          <w:bCs/>
          <w:sz w:val="24"/>
          <w:szCs w:val="24"/>
        </w:rPr>
        <w:t xml:space="preserve"> 110 кВ Гунибской ГЭС филиала ПАО «РусГидро» - «Дагестанский филиал»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г. Каспийск, 2026 </w:t>
      </w:r>
      <w:r>
        <w:br w:type="page"/>
      </w:r>
    </w:p>
    <w:p>
      <w:pPr>
        <w:pStyle w:val="Normal"/>
        <w:jc w:val="center"/>
        <w:rPr>
          <w:sz w:val="24"/>
          <w:szCs w:val="24"/>
        </w:rPr>
      </w:pPr>
      <w:r>
        <w:rPr>
          <w:b/>
          <w:sz w:val="24"/>
          <w:szCs w:val="24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_RefHeading___Toc53965_2420787884">
            <w:r>
              <w:rPr>
                <w:webHidden/>
                <w:rStyle w:val="Style14"/>
                <w:vanish w:val="false"/>
              </w:rPr>
              <w:t>1. Общие сведения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53967_2420787884">
            <w:r>
              <w:rPr>
                <w:webHidden/>
                <w:rStyle w:val="Style14"/>
                <w:vanish w:val="false"/>
              </w:rPr>
              <w:t>1.1. Обозначения и сокращения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53969_2420787884">
            <w:r>
              <w:rPr>
                <w:webHidden/>
                <w:rStyle w:val="Style14"/>
                <w:vanish w:val="false"/>
              </w:rPr>
              <w:t>1.2. Наименование закупаемой продукции</w:t>
              <w:tab/>
              <w:t>4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53971_2420787884">
            <w:r>
              <w:rPr>
                <w:webHidden/>
                <w:rStyle w:val="Style14"/>
                <w:vanish w:val="false"/>
              </w:rPr>
              <w:t>1.3. Цель использования закупаемой продукции</w:t>
              <w:tab/>
              <w:t>4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53973_2420787884">
            <w:r>
              <w:rPr>
                <w:webHidden/>
                <w:rStyle w:val="Style14"/>
                <w:vanish w:val="false"/>
              </w:rPr>
              <w:t>1.4. Существующее положение</w:t>
              <w:tab/>
              <w:t>4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53975_2420787884">
            <w:r>
              <w:rPr>
                <w:webHidden/>
                <w:rStyle w:val="Style14"/>
                <w:vanish w:val="false"/>
              </w:rPr>
              <w:t>1.5. 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 этапе исполнения договора</w:t>
              <w:tab/>
              <w:t>4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53977_2420787884">
            <w:r>
              <w:rPr>
                <w:webHidden/>
                <w:rStyle w:val="Style14"/>
                <w:vanish w:val="false"/>
              </w:rPr>
              <w:t xml:space="preserve">2. </w:t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rStyle w:val="Style14"/>
              </w:rPr>
              <w:tab/>
              <w:t>4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53979_2420787884">
            <w:r>
              <w:rPr>
                <w:webHidden/>
                <w:rStyle w:val="Style14"/>
                <w:vanish w:val="false"/>
              </w:rPr>
              <w:t>2.1. Требования к объемам и срокам поставки</w:t>
              <w:tab/>
              <w:t>4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53981_2420787884">
            <w:r>
              <w:rPr>
                <w:webHidden/>
                <w:rStyle w:val="Style14"/>
                <w:vanish w:val="false"/>
              </w:rPr>
              <w:t>2.1.1. Перечень и объем закупаемой продукции</w:t>
              <w:tab/>
              <w:t>4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53983_2420787884">
            <w:r>
              <w:rPr>
                <w:webHidden/>
                <w:rStyle w:val="Style14"/>
                <w:vanish w:val="false"/>
              </w:rPr>
              <w:t>Таблица 1.1 Перечень и объем закупаемой продукции</w:t>
              <w:tab/>
              <w:t>4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53985_2420787884">
            <w:r>
              <w:rPr>
                <w:webHidden/>
                <w:rStyle w:val="Style14"/>
                <w:vanish w:val="false"/>
              </w:rPr>
              <w:t>Таблица 1.2 Перечень и объем закупаемых сопутствующих услуг</w:t>
              <w:tab/>
              <w:t>4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53987_2420787884">
            <w:r>
              <w:rPr>
                <w:webHidden/>
                <w:rStyle w:val="Style14"/>
                <w:vanish w:val="false"/>
              </w:rPr>
              <w:t>2.1.2. Требования к срокам поставки продукции и оказания сопутствующих услуг</w:t>
              <w:tab/>
              <w:t>5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53989_2420787884">
            <w:r>
              <w:rPr>
                <w:webHidden/>
                <w:rStyle w:val="Style14"/>
                <w:vanish w:val="false"/>
              </w:rPr>
              <w:t>Таблица 2.1 Требования по срокам поставки продукции</w:t>
              <w:tab/>
              <w:t>5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53991_2420787884">
            <w:r>
              <w:rPr>
                <w:webHidden/>
                <w:rStyle w:val="Style14"/>
                <w:vanish w:val="false"/>
              </w:rPr>
              <w:t>Таблица 2.2 Требования по срокам оказания сопутствующих услуг</w:t>
              <w:tab/>
              <w:t>5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53993_2420787884">
            <w:r>
              <w:rPr>
                <w:webHidden/>
                <w:rStyle w:val="Style14"/>
                <w:vanish w:val="false"/>
              </w:rPr>
              <w:t>2.2. Требования к качеству продукции</w:t>
              <w:tab/>
              <w:t>6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53995_2420787884">
            <w:r>
              <w:rPr>
                <w:webHidden/>
                <w:rStyle w:val="Style14"/>
                <w:vanish w:val="false"/>
              </w:rPr>
              <w:t xml:space="preserve"> </w:t>
            </w:r>
            <w:r>
              <w:rPr>
                <w:rStyle w:val="Style14"/>
              </w:rPr>
              <w:t>Таблица 3. Требования к продукции</w:t>
              <w:tab/>
              <w:t>6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53997_2420787884">
            <w:r>
              <w:rPr>
                <w:webHidden/>
                <w:rStyle w:val="Style14"/>
                <w:vanish w:val="false"/>
              </w:rPr>
              <w:t>2.3. В составе заявки необходимо предоставить:</w:t>
              <w:tab/>
              <w:t>10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53999_2420787884">
            <w:r>
              <w:rPr>
                <w:webHidden/>
                <w:rStyle w:val="Style14"/>
                <w:vanish w:val="false"/>
              </w:rPr>
              <w:t>3. Требования к документации по ценообразованию на этапе закупки</w:t>
              <w:tab/>
              <w:t>10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54001_2420787884">
            <w:r>
              <w:rPr>
                <w:webHidden/>
                <w:rStyle w:val="Style14"/>
                <w:vanish w:val="false"/>
              </w:rPr>
              <w:t xml:space="preserve">4. </w:t>
            </w:r>
            <w:r>
              <w:rPr>
                <w:rStyle w:val="Style14"/>
                <w:iCs/>
              </w:rPr>
              <w:t>Приложения</w:t>
            </w:r>
            <w:r>
              <w:rPr>
                <w:rStyle w:val="Style14"/>
              </w:rPr>
              <w:tab/>
              <w:t>10</w:t>
            </w:r>
          </w:hyperlink>
          <w:r>
            <w:rPr>
              <w:rStyle w:val="Style14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left" w:pos="560" w:leader="none"/>
          <w:tab w:val="right" w:pos="9911" w:leader="dot"/>
        </w:tabs>
        <w:rPr>
          <w:rFonts w:ascii="Calibri" w:hAnsi="Calibri" w:eastAsia="新細明體" w:cs="Arial" w:asciiTheme="minorHAnsi" w:cstheme="minorBidi" w:eastAsiaTheme="minorEastAsia" w:hAnsiTheme="minorHAnsi"/>
          <w:b w:val="false"/>
          <w:bCs w:val="false"/>
          <w:sz w:val="22"/>
          <w:szCs w:val="22"/>
        </w:rPr>
      </w:pPr>
      <w:r>
        <w:rPr>
          <w:rFonts w:eastAsia="新細明體" w:cs="Arial" w:cstheme="minorBidi" w:eastAsiaTheme="minorEastAsia" w:ascii="Calibri" w:hAnsi="Calibri"/>
          <w:b w:val="false"/>
          <w:bCs w:val="false"/>
          <w:sz w:val="22"/>
          <w:szCs w:val="22"/>
        </w:rPr>
      </w:r>
    </w:p>
    <w:p>
      <w:pPr>
        <w:pStyle w:val="TOC1"/>
        <w:tabs>
          <w:tab w:val="clear" w:pos="708"/>
          <w:tab w:val="left" w:pos="560" w:leader="none"/>
          <w:tab w:val="right" w:pos="9911" w:leader="dot"/>
        </w:tabs>
        <w:rPr>
          <w:rFonts w:ascii="Calibri" w:hAnsi="Calibri" w:eastAsia="新細明體" w:cs="Arial" w:asciiTheme="minorHAnsi" w:cstheme="minorBidi" w:eastAsiaTheme="minorEastAsia" w:hAnsiTheme="minorHAnsi"/>
          <w:b w:val="false"/>
          <w:bCs w:val="false"/>
          <w:sz w:val="22"/>
          <w:szCs w:val="22"/>
        </w:rPr>
      </w:pPr>
      <w:r>
        <w:rPr>
          <w:rFonts w:eastAsia="新細明體" w:cs="Arial" w:cstheme="minorBidi" w:eastAsiaTheme="minorEastAsia" w:ascii="Calibri" w:hAnsi="Calibri"/>
          <w:b w:val="false"/>
          <w:bCs w:val="false"/>
          <w:sz w:val="22"/>
          <w:szCs w:val="22"/>
        </w:rPr>
      </w:r>
    </w:p>
    <w:p>
      <w:pPr>
        <w:pStyle w:val="TOC1"/>
        <w:tabs>
          <w:tab w:val="clear" w:pos="708"/>
          <w:tab w:val="right" w:pos="9921" w:leader="dot"/>
        </w:tabs>
        <w:rPr/>
      </w:pPr>
      <w:r>
        <w:rPr/>
      </w:r>
    </w:p>
    <w:p>
      <w:pPr>
        <w:pStyle w:val="TOC1"/>
        <w:tabs>
          <w:tab w:val="clear" w:pos="708"/>
          <w:tab w:val="left" w:pos="560" w:leader="none"/>
          <w:tab w:val="right" w:pos="9911" w:leader="dot"/>
        </w:tabs>
        <w:rPr>
          <w:rFonts w:ascii="Calibri" w:hAnsi="Calibri" w:eastAsia="新細明體" w:cs="Arial" w:asciiTheme="minorHAnsi" w:cstheme="minorBidi" w:eastAsiaTheme="minorEastAsia" w:hAnsiTheme="minorHAnsi"/>
          <w:b w:val="false"/>
          <w:bCs w:val="false"/>
          <w:sz w:val="22"/>
          <w:szCs w:val="22"/>
        </w:rPr>
      </w:pPr>
      <w:r>
        <w:rPr>
          <w:rFonts w:eastAsia="新細明體" w:cs="Arial" w:cstheme="minorBidi" w:eastAsiaTheme="minorEastAsia" w:ascii="Calibri" w:hAnsi="Calibri"/>
          <w:b w:val="false"/>
          <w:bCs w:val="false"/>
          <w:sz w:val="22"/>
          <w:szCs w:val="22"/>
        </w:rPr>
      </w:r>
    </w:p>
    <w:p>
      <w:pPr>
        <w:pStyle w:val="TOC1"/>
        <w:tabs>
          <w:tab w:val="clear" w:pos="708"/>
          <w:tab w:val="left" w:pos="560" w:leader="none"/>
          <w:tab w:val="right" w:pos="9911" w:leader="dot"/>
        </w:tabs>
        <w:rPr/>
      </w:pPr>
      <w:r>
        <w:rPr/>
      </w:r>
    </w:p>
    <w:p>
      <w:pPr>
        <w:pStyle w:val="TOC1"/>
        <w:tabs>
          <w:tab w:val="clear" w:pos="708"/>
          <w:tab w:val="left" w:pos="560" w:leader="none"/>
          <w:tab w:val="right" w:pos="9911" w:leader="dot"/>
        </w:tabs>
        <w:rPr/>
      </w:pPr>
      <w:r>
        <w:rPr/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sz w:val="24"/>
          <w:szCs w:val="24"/>
        </w:rPr>
      </w:pPr>
      <w:bookmarkStart w:id="1" w:name="__RefHeading___Toc53965_2420787884"/>
      <w:bookmarkStart w:id="2" w:name="_Toc51339692"/>
      <w:bookmarkStart w:id="3" w:name="_Toc208564125"/>
      <w:bookmarkStart w:id="4" w:name="_Toc227574042"/>
      <w:bookmarkEnd w:id="1"/>
      <w:r>
        <w:rPr>
          <w:sz w:val="24"/>
          <w:szCs w:val="24"/>
          <w:lang w:val="ru-RU"/>
        </w:rPr>
        <w:t>Общие сведения</w:t>
      </w:r>
      <w:bookmarkEnd w:id="2"/>
      <w:bookmarkEnd w:id="3"/>
      <w:bookmarkEnd w:id="4"/>
    </w:p>
    <w:p>
      <w:pPr>
        <w:pStyle w:val="Heading4"/>
        <w:numPr>
          <w:ilvl w:val="1"/>
          <w:numId w:val="3"/>
        </w:numPr>
        <w:rPr/>
      </w:pPr>
      <w:bookmarkStart w:id="5" w:name="__RefHeading___Toc53967_2420787884"/>
      <w:bookmarkStart w:id="6" w:name="_Toc208564126"/>
      <w:bookmarkStart w:id="7" w:name="_Toc46743505"/>
      <w:bookmarkStart w:id="8" w:name="_Toc227574043"/>
      <w:bookmarkEnd w:id="5"/>
      <w:r>
        <w:rPr/>
        <w:t>Обозначения и сокращения</w:t>
      </w:r>
      <w:bookmarkEnd w:id="6"/>
      <w:bookmarkEnd w:id="7"/>
      <w:bookmarkEnd w:id="8"/>
    </w:p>
    <w:p>
      <w:pPr>
        <w:pStyle w:val="Normal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</w:r>
    </w:p>
    <w:tbl>
      <w:tblPr>
        <w:tblW w:w="991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67"/>
        <w:gridCol w:w="346"/>
        <w:gridCol w:w="8498"/>
      </w:tblGrid>
      <w:tr>
        <w:trPr>
          <w:cantSplit w:val="true"/>
        </w:trPr>
        <w:tc>
          <w:tcPr>
            <w:tcW w:w="10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34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49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10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ОРУ</w:t>
            </w:r>
          </w:p>
        </w:tc>
        <w:tc>
          <w:tcPr>
            <w:tcW w:w="34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849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Открытое распределительное устройство</w:t>
            </w:r>
          </w:p>
        </w:tc>
      </w:tr>
      <w:tr>
        <w:trPr>
          <w:cantSplit w:val="true"/>
        </w:trPr>
        <w:tc>
          <w:tcPr>
            <w:tcW w:w="10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sz w:val="24"/>
                <w:szCs w:val="24"/>
                <w:lang w:val="en-US"/>
              </w:rPr>
              <w:t>ГЩУ</w:t>
            </w:r>
          </w:p>
        </w:tc>
        <w:tc>
          <w:tcPr>
            <w:tcW w:w="34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49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sz w:val="24"/>
                <w:szCs w:val="24"/>
                <w:lang w:val="en-US"/>
              </w:rPr>
              <w:t>Главный щит управления</w:t>
            </w:r>
          </w:p>
        </w:tc>
      </w:tr>
      <w:tr>
        <w:trPr>
          <w:cantSplit w:val="true"/>
        </w:trPr>
        <w:tc>
          <w:tcPr>
            <w:tcW w:w="10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sz w:val="24"/>
                <w:szCs w:val="24"/>
                <w:lang w:val="en-US"/>
              </w:rPr>
              <w:t>ВН</w:t>
            </w:r>
          </w:p>
        </w:tc>
        <w:tc>
          <w:tcPr>
            <w:tcW w:w="34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49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sz w:val="24"/>
                <w:szCs w:val="24"/>
                <w:lang w:val="en-US"/>
              </w:rPr>
              <w:t>Высокое напряжение</w:t>
            </w:r>
          </w:p>
        </w:tc>
      </w:tr>
      <w:tr>
        <w:trPr>
          <w:cantSplit w:val="true"/>
        </w:trPr>
        <w:tc>
          <w:tcPr>
            <w:tcW w:w="10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sz w:val="24"/>
                <w:szCs w:val="24"/>
                <w:lang w:val="en-US"/>
              </w:rPr>
              <w:t>НН</w:t>
            </w:r>
          </w:p>
        </w:tc>
        <w:tc>
          <w:tcPr>
            <w:tcW w:w="34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49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sz w:val="24"/>
                <w:szCs w:val="24"/>
                <w:lang w:val="en-US"/>
              </w:rPr>
              <w:t>Низкое напряжение</w:t>
            </w:r>
          </w:p>
        </w:tc>
      </w:tr>
      <w:tr>
        <w:trPr>
          <w:cantSplit w:val="true"/>
        </w:trPr>
        <w:tc>
          <w:tcPr>
            <w:tcW w:w="10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sz w:val="24"/>
                <w:szCs w:val="24"/>
              </w:rPr>
              <w:t>ПАО</w:t>
            </w:r>
          </w:p>
        </w:tc>
        <w:tc>
          <w:tcPr>
            <w:tcW w:w="34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49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sz w:val="24"/>
                <w:szCs w:val="24"/>
              </w:rPr>
              <w:t>Публичное акционерное общество</w:t>
            </w:r>
          </w:p>
        </w:tc>
      </w:tr>
      <w:tr>
        <w:trPr>
          <w:cantSplit w:val="true"/>
        </w:trPr>
        <w:tc>
          <w:tcPr>
            <w:tcW w:w="10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sz w:val="24"/>
                <w:szCs w:val="24"/>
              </w:rPr>
              <w:t>ГЭС</w:t>
            </w:r>
          </w:p>
        </w:tc>
        <w:tc>
          <w:tcPr>
            <w:tcW w:w="34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49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sz w:val="24"/>
                <w:szCs w:val="24"/>
              </w:rPr>
              <w:t>Гидроэлектростанция</w:t>
            </w:r>
          </w:p>
        </w:tc>
      </w:tr>
      <w:tr>
        <w:trPr>
          <w:cantSplit w:val="true"/>
        </w:trPr>
        <w:tc>
          <w:tcPr>
            <w:tcW w:w="10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bCs/>
                <w:sz w:val="24"/>
                <w:szCs w:val="24"/>
              </w:rPr>
              <w:t>НТД</w:t>
            </w:r>
          </w:p>
        </w:tc>
        <w:tc>
          <w:tcPr>
            <w:tcW w:w="34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49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bCs/>
                <w:sz w:val="24"/>
                <w:szCs w:val="24"/>
              </w:rPr>
              <w:t>Нормативно-техническая документация</w:t>
            </w:r>
          </w:p>
        </w:tc>
      </w:tr>
      <w:tr>
        <w:trPr>
          <w:cantSplit w:val="true"/>
        </w:trPr>
        <w:tc>
          <w:tcPr>
            <w:tcW w:w="10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bCs/>
                <w:sz w:val="24"/>
                <w:szCs w:val="24"/>
              </w:rPr>
              <w:t>ТО</w:t>
            </w:r>
          </w:p>
        </w:tc>
        <w:tc>
          <w:tcPr>
            <w:tcW w:w="34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bCs/>
                <w:sz w:val="24"/>
                <w:szCs w:val="24"/>
              </w:rPr>
              <w:t>–</w:t>
            </w:r>
          </w:p>
        </w:tc>
        <w:tc>
          <w:tcPr>
            <w:tcW w:w="849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bCs/>
                <w:sz w:val="24"/>
                <w:szCs w:val="24"/>
              </w:rPr>
              <w:t>Техническое обслуживание</w:t>
            </w:r>
          </w:p>
        </w:tc>
      </w:tr>
      <w:tr>
        <w:trPr>
          <w:cantSplit w:val="true"/>
        </w:trPr>
        <w:tc>
          <w:tcPr>
            <w:tcW w:w="10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bCs/>
                <w:sz w:val="24"/>
                <w:szCs w:val="24"/>
              </w:rPr>
              <w:t>ПСД</w:t>
            </w:r>
          </w:p>
        </w:tc>
        <w:tc>
          <w:tcPr>
            <w:tcW w:w="34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bCs/>
                <w:sz w:val="24"/>
                <w:szCs w:val="24"/>
              </w:rPr>
              <w:t>–</w:t>
            </w:r>
          </w:p>
        </w:tc>
        <w:tc>
          <w:tcPr>
            <w:tcW w:w="849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bCs/>
                <w:sz w:val="24"/>
                <w:szCs w:val="24"/>
              </w:rPr>
              <w:t>Приемо-сдаточная документация</w:t>
            </w:r>
          </w:p>
        </w:tc>
      </w:tr>
      <w:tr>
        <w:trPr>
          <w:cantSplit w:val="true"/>
        </w:trPr>
        <w:tc>
          <w:tcPr>
            <w:tcW w:w="10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bCs/>
                <w:sz w:val="24"/>
                <w:szCs w:val="24"/>
              </w:rPr>
              <w:t>ПСИ</w:t>
            </w:r>
          </w:p>
        </w:tc>
        <w:tc>
          <w:tcPr>
            <w:tcW w:w="34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bCs/>
                <w:sz w:val="24"/>
                <w:szCs w:val="24"/>
              </w:rPr>
              <w:t>–</w:t>
            </w:r>
          </w:p>
        </w:tc>
        <w:tc>
          <w:tcPr>
            <w:tcW w:w="849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bCs/>
                <w:sz w:val="24"/>
                <w:szCs w:val="24"/>
              </w:rPr>
              <w:t>Приемо-сдаточные испытания</w:t>
            </w:r>
          </w:p>
        </w:tc>
      </w:tr>
      <w:tr>
        <w:trPr>
          <w:cantSplit w:val="true"/>
        </w:trPr>
        <w:tc>
          <w:tcPr>
            <w:tcW w:w="10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bCs/>
                <w:sz w:val="24"/>
                <w:szCs w:val="24"/>
              </w:rPr>
              <w:t>ПНР</w:t>
            </w:r>
          </w:p>
        </w:tc>
        <w:tc>
          <w:tcPr>
            <w:tcW w:w="34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bCs/>
                <w:sz w:val="24"/>
                <w:szCs w:val="24"/>
              </w:rPr>
              <w:t>–</w:t>
            </w:r>
          </w:p>
        </w:tc>
        <w:tc>
          <w:tcPr>
            <w:tcW w:w="849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bCs/>
                <w:sz w:val="24"/>
                <w:szCs w:val="24"/>
              </w:rPr>
              <w:t>Пуско-наладочные работы</w:t>
            </w:r>
          </w:p>
        </w:tc>
      </w:tr>
      <w:tr>
        <w:trPr>
          <w:cantSplit w:val="true"/>
        </w:trPr>
        <w:tc>
          <w:tcPr>
            <w:tcW w:w="10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bCs/>
                <w:sz w:val="24"/>
                <w:szCs w:val="24"/>
              </w:rPr>
              <w:t>ИД</w:t>
            </w:r>
          </w:p>
        </w:tc>
        <w:tc>
          <w:tcPr>
            <w:tcW w:w="34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bCs/>
                <w:sz w:val="24"/>
                <w:szCs w:val="24"/>
              </w:rPr>
              <w:t>–</w:t>
            </w:r>
          </w:p>
        </w:tc>
        <w:tc>
          <w:tcPr>
            <w:tcW w:w="849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bCs/>
                <w:sz w:val="24"/>
                <w:szCs w:val="24"/>
              </w:rPr>
              <w:t>Исполнительная документация</w:t>
            </w:r>
          </w:p>
        </w:tc>
      </w:tr>
      <w:tr>
        <w:trPr>
          <w:cantSplit w:val="true"/>
        </w:trPr>
        <w:tc>
          <w:tcPr>
            <w:tcW w:w="10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bCs/>
                <w:sz w:val="24"/>
                <w:szCs w:val="24"/>
              </w:rPr>
              <w:t>КЗ</w:t>
            </w:r>
          </w:p>
        </w:tc>
        <w:tc>
          <w:tcPr>
            <w:tcW w:w="34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bCs/>
                <w:sz w:val="24"/>
                <w:szCs w:val="24"/>
              </w:rPr>
              <w:t>–</w:t>
            </w:r>
          </w:p>
        </w:tc>
        <w:tc>
          <w:tcPr>
            <w:tcW w:w="849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bCs/>
                <w:sz w:val="24"/>
                <w:szCs w:val="24"/>
              </w:rPr>
              <w:t>Короткое замыкание</w:t>
            </w:r>
          </w:p>
        </w:tc>
      </w:tr>
      <w:tr>
        <w:trPr>
          <w:trHeight w:val="321" w:hRule="atLeast"/>
          <w:cantSplit w:val="true"/>
        </w:trPr>
        <w:tc>
          <w:tcPr>
            <w:tcW w:w="10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bCs/>
                <w:sz w:val="24"/>
                <w:szCs w:val="24"/>
              </w:rPr>
              <w:t>РЗА</w:t>
            </w:r>
          </w:p>
        </w:tc>
        <w:tc>
          <w:tcPr>
            <w:tcW w:w="34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bCs/>
                <w:sz w:val="24"/>
                <w:szCs w:val="24"/>
              </w:rPr>
              <w:t>–</w:t>
            </w:r>
          </w:p>
        </w:tc>
        <w:tc>
          <w:tcPr>
            <w:tcW w:w="849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bCs/>
                <w:sz w:val="24"/>
                <w:szCs w:val="24"/>
              </w:rPr>
              <w:t>Релейная защита и автоматика</w:t>
            </w:r>
          </w:p>
        </w:tc>
      </w:tr>
      <w:tr>
        <w:trPr>
          <w:trHeight w:val="321" w:hRule="atLeast"/>
          <w:cantSplit w:val="true"/>
        </w:trPr>
        <w:tc>
          <w:tcPr>
            <w:tcW w:w="10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eastAsia="x-none"/>
              </w:rPr>
              <w:t>DDP</w:t>
            </w:r>
          </w:p>
        </w:tc>
        <w:tc>
          <w:tcPr>
            <w:tcW w:w="34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bCs/>
                <w:sz w:val="24"/>
                <w:szCs w:val="24"/>
                <w:lang w:val="en-US"/>
              </w:rPr>
              <w:t>–</w:t>
            </w:r>
          </w:p>
        </w:tc>
        <w:tc>
          <w:tcPr>
            <w:tcW w:w="849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Delivered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Duty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Paid</w:t>
            </w:r>
            <w:r>
              <w:rPr>
                <w:color w:val="000000"/>
                <w:sz w:val="24"/>
                <w:szCs w:val="24"/>
              </w:rPr>
              <w:t xml:space="preserve"> (Поставка с доставкой до пункта назначения)</w:t>
            </w:r>
          </w:p>
        </w:tc>
      </w:tr>
    </w:tbl>
    <w:p>
      <w:pPr>
        <w:pStyle w:val="Heading4"/>
        <w:numPr>
          <w:ilvl w:val="1"/>
          <w:numId w:val="3"/>
        </w:numPr>
        <w:rPr/>
      </w:pPr>
      <w:r>
        <w:br w:type="page"/>
      </w:r>
      <w:bookmarkStart w:id="9" w:name="__RefHeading___Toc53969_2420787884"/>
      <w:bookmarkStart w:id="10" w:name="_Toc208564127"/>
      <w:bookmarkStart w:id="11" w:name="_Toc227574044"/>
      <w:bookmarkEnd w:id="9"/>
      <w:r>
        <w:rPr/>
        <w:t>Наименование закупаемой продукции</w:t>
      </w:r>
      <w:bookmarkEnd w:id="10"/>
      <w:bookmarkEnd w:id="11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42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x-none"/>
        </w:rPr>
        <w:tab/>
        <w:t>«</w:t>
      </w:r>
      <w:r>
        <w:rPr>
          <w:rFonts w:eastAsia="Calibri"/>
          <w:b w:val="false"/>
          <w:bCs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  <w:lang w:eastAsia="x-none"/>
        </w:rPr>
        <w:t xml:space="preserve">Поставка и шефмонтаж </w:t>
      </w:r>
      <w:r>
        <w:rPr>
          <w:rFonts w:eastAsia="Calibri"/>
          <w:b w:val="false"/>
          <w:bCs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  <w:lang w:eastAsia="x-none"/>
        </w:rPr>
        <w:t>выключателей</w:t>
      </w:r>
      <w:r>
        <w:rPr>
          <w:rFonts w:eastAsia="Calibri"/>
          <w:b w:val="false"/>
          <w:bCs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  <w:lang w:eastAsia="x-none"/>
        </w:rPr>
        <w:t xml:space="preserve"> 110 кВ Гунибской ГЭС</w:t>
      </w:r>
      <w:r>
        <w:rPr>
          <w:rFonts w:eastAsia="Calibri"/>
          <w:bCs/>
          <w:sz w:val="24"/>
          <w:szCs w:val="24"/>
        </w:rPr>
        <w:t xml:space="preserve"> филиала ПАО «РусГидро» - «Дагестанский филиал</w:t>
      </w:r>
      <w:r>
        <w:rPr>
          <w:rFonts w:eastAsia="Calibri"/>
          <w:sz w:val="24"/>
          <w:szCs w:val="24"/>
          <w:lang w:eastAsia="x-none"/>
        </w:rPr>
        <w:t>».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12" w:name="__RefHeading___Toc53971_2420787884"/>
      <w:bookmarkStart w:id="13" w:name="_Toc208564128"/>
      <w:bookmarkStart w:id="14" w:name="_Toc227574045"/>
      <w:bookmarkStart w:id="15" w:name="_Toc46743507"/>
      <w:bookmarkEnd w:id="12"/>
      <w:r>
        <w:rPr/>
        <w:t xml:space="preserve">Цель </w:t>
      </w:r>
      <w:bookmarkEnd w:id="15"/>
      <w:r>
        <w:rPr>
          <w:lang w:val="ru-RU"/>
        </w:rPr>
        <w:t>использования закупаемой продукции</w:t>
      </w:r>
      <w:bookmarkEnd w:id="13"/>
      <w:bookmarkEnd w:id="14"/>
      <w:r>
        <w:rPr/>
        <w:t xml:space="preserve">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0"/>
        <w:ind w:firstLine="426"/>
        <w:jc w:val="both"/>
        <w:rPr>
          <w:sz w:val="24"/>
          <w:szCs w:val="24"/>
        </w:rPr>
      </w:pPr>
      <w:r>
        <w:rPr>
          <w:sz w:val="24"/>
          <w:szCs w:val="24"/>
          <w:lang w:eastAsia="x-none"/>
        </w:rPr>
        <w:tab/>
        <w:t xml:space="preserve">Повышение надежности работы </w:t>
      </w:r>
      <w:r>
        <w:rPr>
          <w:sz w:val="24"/>
          <w:szCs w:val="24"/>
          <w:lang w:eastAsia="x-none"/>
        </w:rPr>
        <w:t>схемы выдачи мощности</w:t>
      </w:r>
      <w:r>
        <w:rPr>
          <w:sz w:val="24"/>
          <w:szCs w:val="24"/>
          <w:lang w:eastAsia="x-none"/>
        </w:rPr>
        <w:t xml:space="preserve"> и улучшение эксплуатационных характеристик ОРУ 110 кВ Гунибской ГЭС путем замены </w:t>
      </w:r>
      <w:r>
        <w:rPr>
          <w:sz w:val="24"/>
          <w:szCs w:val="24"/>
          <w:lang w:eastAsia="x-none"/>
        </w:rPr>
        <w:t>выключателей</w:t>
      </w:r>
      <w:r>
        <w:rPr>
          <w:sz w:val="24"/>
          <w:szCs w:val="24"/>
          <w:lang w:eastAsia="x-none"/>
        </w:rPr>
        <w:t xml:space="preserve"> 110 кВ типа ВМТ-110Б-25/1250 УХЛ1 на современные.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spacing w:before="0" w:after="60"/>
        <w:rPr>
          <w:lang w:val="ru-RU"/>
        </w:rPr>
      </w:pPr>
      <w:bookmarkStart w:id="16" w:name="__RefHeading___Toc53973_2420787884"/>
      <w:bookmarkStart w:id="17" w:name="_Toc46743508"/>
      <w:bookmarkStart w:id="18" w:name="_Toc208564129"/>
      <w:bookmarkStart w:id="19" w:name="_Toc227574046"/>
      <w:bookmarkEnd w:id="16"/>
      <w:r>
        <w:rPr/>
        <w:t>Существующее положение</w:t>
      </w:r>
      <w:bookmarkEnd w:id="17"/>
      <w:bookmarkEnd w:id="18"/>
      <w:bookmarkEnd w:id="19"/>
      <w:r>
        <w:rPr>
          <w:lang w:val="ru-RU"/>
        </w:rPr>
        <w:t xml:space="preserve"> </w:t>
      </w:r>
    </w:p>
    <w:p>
      <w:pPr>
        <w:pStyle w:val="Normal"/>
        <w:ind w:hanging="0"/>
        <w:jc w:val="both"/>
        <w:rPr/>
      </w:pPr>
      <w:r>
        <w:rPr>
          <w:sz w:val="24"/>
          <w:szCs w:val="24"/>
          <w:lang w:eastAsia="x-none"/>
        </w:rPr>
        <w:tab/>
      </w:r>
      <w:r>
        <w:rPr>
          <w:sz w:val="24"/>
          <w:szCs w:val="24"/>
          <w:shd w:fill="auto" w:val="clear"/>
          <w:lang w:eastAsia="x-none"/>
        </w:rPr>
        <w:t>Выключатели</w:t>
      </w:r>
      <w:r>
        <w:rPr>
          <w:sz w:val="24"/>
          <w:szCs w:val="24"/>
          <w:shd w:fill="auto" w:val="clear"/>
          <w:lang w:eastAsia="x-none"/>
        </w:rPr>
        <w:t xml:space="preserve"> 110 кВ типа ВМТ-110Б-25/1250 УХЛ1 установленные на ОРУ 110 кВ Гунибской ГЭС находятся в эксплуатации с 2004. За годы эксплуатации у </w:t>
      </w:r>
      <w:r>
        <w:rPr>
          <w:sz w:val="24"/>
          <w:szCs w:val="24"/>
          <w:shd w:fill="auto" w:val="clear"/>
          <w:lang w:eastAsia="x-none"/>
        </w:rPr>
        <w:t>выключателей</w:t>
      </w:r>
      <w:r>
        <w:rPr>
          <w:sz w:val="24"/>
          <w:szCs w:val="24"/>
          <w:shd w:fill="auto" w:val="clear"/>
          <w:lang w:eastAsia="x-none"/>
        </w:rPr>
        <w:t xml:space="preserve"> накопился износ, </w:t>
      </w:r>
      <w:r>
        <w:rPr>
          <w:rFonts w:eastAsia="Times New Roman" w:cs="Times New Roman"/>
          <w:color w:val="000000"/>
          <w:kern w:val="0"/>
          <w:sz w:val="24"/>
          <w:szCs w:val="24"/>
          <w:shd w:fill="auto" w:val="clear"/>
          <w:lang w:val="ru-RU" w:eastAsia="x-none" w:bidi="ar-SA"/>
        </w:rPr>
        <w:t xml:space="preserve">который может </w:t>
      </w:r>
      <w:r>
        <w:rPr>
          <w:rStyle w:val="Strong"/>
          <w:rFonts w:eastAsia="Times New Roman" w:cs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ru-RU" w:eastAsia="x-none" w:bidi="ar-SA"/>
        </w:rPr>
        <w:t xml:space="preserve">привести к снижению надёжности работы оборудования и повышению риска аварийных ситуаций.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426"/>
        <w:jc w:val="both"/>
        <w:rPr/>
      </w:pPr>
      <w:r>
        <w:rPr>
          <w:rStyle w:val="Strong"/>
          <w:rFonts w:eastAsia="Times New Roman" w:cs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ru-RU" w:eastAsia="x-none" w:bidi="ar-SA"/>
        </w:rPr>
        <w:tab/>
      </w:r>
      <w:r>
        <w:rPr>
          <w:sz w:val="24"/>
          <w:szCs w:val="24"/>
          <w:shd w:fill="auto" w:val="clear"/>
          <w:lang w:eastAsia="x-none"/>
        </w:rPr>
        <w:t xml:space="preserve">Установленные на ОРУ-110 кВ </w:t>
      </w:r>
      <w:r>
        <w:rPr>
          <w:sz w:val="24"/>
          <w:szCs w:val="24"/>
          <w:shd w:fill="auto" w:val="clear"/>
          <w:lang w:eastAsia="x-none"/>
        </w:rPr>
        <w:t>выключатели типа</w:t>
      </w:r>
      <w:r>
        <w:rPr>
          <w:sz w:val="24"/>
          <w:szCs w:val="24"/>
          <w:shd w:fill="auto" w:val="clear"/>
          <w:lang w:eastAsia="x-none"/>
        </w:rPr>
        <w:t xml:space="preserve"> ВМТ-110Б-25/1250 УХЛ1 морально и физически изношены, требуется замена на более современные.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spacing w:before="0" w:after="60"/>
        <w:rPr/>
      </w:pPr>
      <w:bookmarkStart w:id="20" w:name="__RefHeading___Toc53975_2420787884"/>
      <w:bookmarkStart w:id="21" w:name="_Toc208564130"/>
      <w:bookmarkStart w:id="22" w:name="_Toc227574047"/>
      <w:bookmarkEnd w:id="20"/>
      <w:r>
        <w:rPr/>
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 этапе исполнения договора</w:t>
      </w:r>
      <w:bookmarkEnd w:id="21"/>
      <w:bookmarkEnd w:id="22"/>
    </w:p>
    <w:p>
      <w:pPr>
        <w:pStyle w:val="Normal"/>
        <w:ind w:firstLine="426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Поставщик должен обеспечить разработку, изготовление, заводские испытания, транспортировку и разгрузку поставляемого оборудования на место, указанное Заказчиком (на условиях DDP).</w:t>
      </w:r>
    </w:p>
    <w:p>
      <w:pPr>
        <w:pStyle w:val="Normal"/>
        <w:ind w:firstLine="426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На этапе исполнения Договора предоставляется доступ на объект для проведения обследования и сбора информации (исходных данных) по объему работ и уточнения влияния внешних факторов.</w:t>
      </w:r>
    </w:p>
    <w:p>
      <w:pPr>
        <w:pStyle w:val="Normal"/>
        <w:ind w:firstLine="426"/>
        <w:jc w:val="both"/>
        <w:rPr>
          <w:lang w:eastAsia="x-none"/>
        </w:rPr>
      </w:pPr>
      <w:r>
        <w:rPr>
          <w:lang w:eastAsia="x-none"/>
        </w:rPr>
      </w:r>
    </w:p>
    <w:p>
      <w:pPr>
        <w:pStyle w:val="Heading1"/>
        <w:keepLines/>
        <w:numPr>
          <w:ilvl w:val="0"/>
          <w:numId w:val="3"/>
        </w:numPr>
        <w:spacing w:before="0" w:after="60"/>
        <w:ind w:left="357" w:hanging="357"/>
        <w:jc w:val="center"/>
        <w:rPr>
          <w:sz w:val="24"/>
          <w:szCs w:val="24"/>
        </w:rPr>
      </w:pPr>
      <w:bookmarkStart w:id="23" w:name="__RefHeading___Toc53977_2420787884"/>
      <w:bookmarkStart w:id="24" w:name="_Toc208564131"/>
      <w:bookmarkStart w:id="25" w:name="_Toc51339693"/>
      <w:bookmarkStart w:id="26" w:name="_Toc227574048"/>
      <w:bookmarkStart w:id="27" w:name="_Toc46743510"/>
      <w:bookmarkEnd w:id="23"/>
      <w:bookmarkEnd w:id="27"/>
      <w:r>
        <w:rPr>
          <w:iCs/>
          <w:sz w:val="24"/>
          <w:szCs w:val="24"/>
        </w:rPr>
        <w:t>Требования к продукции</w:t>
      </w:r>
      <w:bookmarkEnd w:id="24"/>
      <w:bookmarkEnd w:id="25"/>
      <w:bookmarkEnd w:id="26"/>
    </w:p>
    <w:p>
      <w:pPr>
        <w:pStyle w:val="Heading4"/>
        <w:numPr>
          <w:ilvl w:val="1"/>
          <w:numId w:val="3"/>
        </w:numPr>
        <w:rPr/>
      </w:pPr>
      <w:bookmarkStart w:id="28" w:name="__RefHeading___Toc53979_2420787884"/>
      <w:bookmarkStart w:id="29" w:name="_Toc208564132"/>
      <w:bookmarkStart w:id="30" w:name="_Toc227574049"/>
      <w:bookmarkEnd w:id="28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29"/>
      <w:bookmarkEnd w:id="30"/>
    </w:p>
    <w:p>
      <w:pPr>
        <w:pStyle w:val="Heading3"/>
        <w:numPr>
          <w:ilvl w:val="2"/>
          <w:numId w:val="3"/>
        </w:numPr>
        <w:spacing w:before="120" w:after="0"/>
        <w:rPr/>
      </w:pPr>
      <w:bookmarkStart w:id="31" w:name="__RefHeading___Toc53981_2420787884"/>
      <w:bookmarkStart w:id="32" w:name="_Toc208564133"/>
      <w:bookmarkStart w:id="33" w:name="_Toc227574050"/>
      <w:bookmarkEnd w:id="31"/>
      <w:r>
        <w:rPr>
          <w:lang w:val="ru-RU"/>
        </w:rPr>
        <w:t>Перечень и объем закупаемой продукции</w:t>
      </w:r>
      <w:bookmarkEnd w:id="32"/>
      <w:bookmarkEnd w:id="33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bookmarkStart w:id="34" w:name="__RefHeading___Toc53983_2420787884"/>
      <w:bookmarkStart w:id="35" w:name="_Toc208564134"/>
      <w:bookmarkStart w:id="36" w:name="_Toc227574051"/>
      <w:bookmarkStart w:id="37" w:name="_Toc51339695"/>
      <w:bookmarkEnd w:id="34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37"/>
      <w:r>
        <w:rPr>
          <w:sz w:val="24"/>
          <w:szCs w:val="24"/>
          <w:lang w:val="ru-RU"/>
        </w:rPr>
        <w:t>и объем закупаемой продукции</w:t>
      </w:r>
      <w:bookmarkEnd w:id="35"/>
      <w:bookmarkEnd w:id="36"/>
    </w:p>
    <w:tbl>
      <w:tblPr>
        <w:tblW w:w="981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77"/>
        <w:gridCol w:w="7747"/>
        <w:gridCol w:w="735"/>
        <w:gridCol w:w="750"/>
      </w:tblGrid>
      <w:tr>
        <w:trPr/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изм.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</w:tr>
      <w:tr>
        <w:trPr/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ind w:left="208" w:hanging="229"/>
              <w:jc w:val="center"/>
              <w:rPr/>
            </w:pPr>
            <w:r>
              <w:rPr/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Выключатель </w:t>
            </w:r>
            <w:r>
              <w:rPr>
                <w:rFonts w:eastAsia="Calibri"/>
                <w:sz w:val="24"/>
                <w:szCs w:val="24"/>
                <w:lang w:val="en-US"/>
              </w:rPr>
              <w:t>элегазовый ВГТ-УЭТМ-110 УХЛ 1</w:t>
            </w:r>
            <w:r>
              <w:rPr>
                <w:rFonts w:eastAsia="Calibri"/>
                <w:i/>
                <w:sz w:val="24"/>
                <w:szCs w:val="24"/>
                <w:lang w:val="en-US"/>
              </w:rPr>
              <w:t>/ либо эквивалент, с параметрами и характеристиками в объеме не менее установленных в настоящем ТТ требований, указанных в таблице №3.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</w:tr>
      <w:tr>
        <w:trPr/>
        <w:tc>
          <w:tcPr>
            <w:tcW w:w="9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Оборудование поставляется одной партией</w:t>
            </w:r>
          </w:p>
        </w:tc>
      </w:tr>
    </w:tbl>
    <w:p>
      <w:pPr>
        <w:pStyle w:val="Heading1"/>
        <w:keepLines/>
        <w:tabs>
          <w:tab w:val="clear" w:pos="0"/>
        </w:tabs>
        <w:spacing w:before="240" w:after="60"/>
        <w:ind w:left="0" w:hanging="0"/>
        <w:rPr/>
      </w:pPr>
      <w:bookmarkStart w:id="38" w:name="__RefHeading___Toc53985_2420787884"/>
      <w:bookmarkStart w:id="39" w:name="_Toc75446577"/>
      <w:bookmarkStart w:id="40" w:name="_Toc181255061"/>
      <w:bookmarkEnd w:id="38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1.2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Перечень и объем закупаемых сопутствующих услуг</w:t>
      </w:r>
      <w:bookmarkEnd w:id="39"/>
      <w:bookmarkEnd w:id="40"/>
    </w:p>
    <w:tbl>
      <w:tblPr>
        <w:tblW w:w="981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9"/>
        <w:gridCol w:w="4849"/>
        <w:gridCol w:w="1993"/>
        <w:gridCol w:w="2118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/>
            </w:pPr>
            <w:r>
              <w:rPr/>
              <w:t>1.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 xml:space="preserve">Шефмонтаж </w:t>
            </w:r>
            <w:r>
              <w:rPr>
                <w:iCs/>
                <w:sz w:val="24"/>
                <w:szCs w:val="24"/>
                <w:lang w:val="en-US"/>
              </w:rPr>
              <w:t>Поставщика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lang w:val="en-US"/>
              </w:rPr>
              <w:t>шт.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</w:tr>
    </w:tbl>
    <w:p>
      <w:pPr>
        <w:pStyle w:val="Normal"/>
        <w:spacing w:before="0" w:after="0"/>
        <w:rPr>
          <w:i w:val="false"/>
          <w:i w:val="false"/>
        </w:rPr>
      </w:pPr>
      <w:r>
        <w:rPr>
          <w:i w:val="false"/>
        </w:rPr>
      </w:r>
    </w:p>
    <w:p>
      <w:pPr>
        <w:pStyle w:val="Heading3"/>
        <w:numPr>
          <w:ilvl w:val="2"/>
          <w:numId w:val="3"/>
        </w:numPr>
        <w:spacing w:before="120" w:after="0"/>
        <w:rPr/>
      </w:pPr>
      <w:bookmarkStart w:id="41" w:name="__RefHeading___Toc53987_2420787884"/>
      <w:bookmarkStart w:id="42" w:name="_Toc208564135"/>
      <w:bookmarkStart w:id="43" w:name="_Toc227574052"/>
      <w:bookmarkEnd w:id="41"/>
      <w:r>
        <w:rPr>
          <w:lang w:val="ru-RU"/>
        </w:rPr>
        <w:t>Требования к срокам поставки продукции и оказания сопутствующих услуг</w:t>
      </w:r>
      <w:bookmarkEnd w:id="42"/>
      <w:bookmarkEnd w:id="43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bookmarkStart w:id="44" w:name="__RefHeading___Toc53989_2420787884"/>
      <w:bookmarkStart w:id="45" w:name="_Toc208564136_Копия_1"/>
      <w:bookmarkStart w:id="46" w:name="_Toc227574053_Копия_1"/>
      <w:bookmarkStart w:id="47" w:name="_Toc51339697_Копия_1"/>
      <w:bookmarkStart w:id="48" w:name="_Toc50125127_Копия_1"/>
      <w:bookmarkStart w:id="49" w:name="_Toc50125126_Копия_1"/>
      <w:bookmarkEnd w:id="44"/>
      <w:bookmarkEnd w:id="49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50" w:name="_Hlk50465284_Копия_1"/>
      <w:r>
        <w:rPr>
          <w:sz w:val="24"/>
          <w:szCs w:val="24"/>
        </w:rPr>
        <w:t xml:space="preserve">Требования по срокам </w:t>
      </w:r>
      <w:bookmarkEnd w:id="47"/>
      <w:bookmarkEnd w:id="48"/>
      <w:bookmarkEnd w:id="50"/>
      <w:r>
        <w:rPr>
          <w:sz w:val="24"/>
          <w:szCs w:val="24"/>
          <w:lang w:val="ru-RU"/>
        </w:rPr>
        <w:t>поставки продукции</w:t>
      </w:r>
      <w:bookmarkEnd w:id="45"/>
      <w:bookmarkEnd w:id="46"/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71"/>
        <w:gridCol w:w="3399"/>
        <w:gridCol w:w="2969"/>
        <w:gridCol w:w="2978"/>
      </w:tblGrid>
      <w:tr>
        <w:trPr/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№ </w:t>
            </w:r>
            <w:r>
              <w:rPr>
                <w:sz w:val="24"/>
                <w:szCs w:val="24"/>
                <w:lang w:val="en-US"/>
              </w:rPr>
              <w:t>п/п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Наименование продукции / партии продукции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Требования к началу срока поставки продукции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1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2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9"/>
              <w:keepNext w:val="false"/>
              <w:widowControl w:val="false"/>
              <w:spacing w:before="0" w:after="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9"/>
              <w:keepNext w:val="false"/>
              <w:widowControl w:val="false"/>
              <w:spacing w:before="0" w:after="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</w:tr>
      <w:tr>
        <w:trPr/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Выключатель </w:t>
            </w:r>
            <w:r>
              <w:rPr>
                <w:rFonts w:eastAsia="Calibri"/>
                <w:sz w:val="24"/>
                <w:szCs w:val="24"/>
                <w:lang w:val="en-US"/>
              </w:rPr>
              <w:t>элегазовый ВГТ-УЭТМ-110 УХЛ 1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  <w:lang w:val="en-US"/>
              </w:rPr>
              <w:t>С даты подписания договора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Не позднее календарных 180 дней с даты подписания договора</w:t>
            </w:r>
          </w:p>
        </w:tc>
      </w:tr>
    </w:tbl>
    <w:p>
      <w:pPr>
        <w:pStyle w:val="Heading1"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bookmarkStart w:id="51" w:name="__RefHeading___Toc53991_2420787884"/>
      <w:bookmarkStart w:id="52" w:name="_Toc208564136"/>
      <w:bookmarkStart w:id="53" w:name="_Toc227574053"/>
      <w:bookmarkStart w:id="54" w:name="_Toc51339697"/>
      <w:bookmarkStart w:id="55" w:name="_Toc50125127"/>
      <w:bookmarkStart w:id="56" w:name="_Toc50125126"/>
      <w:bookmarkEnd w:id="51"/>
      <w:bookmarkEnd w:id="56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 xml:space="preserve"> </w:t>
      </w:r>
      <w:bookmarkStart w:id="57" w:name="_Hlk50465284"/>
      <w:r>
        <w:rPr>
          <w:sz w:val="24"/>
          <w:szCs w:val="24"/>
        </w:rPr>
        <w:t xml:space="preserve">Требования по срокам </w:t>
      </w:r>
      <w:bookmarkEnd w:id="54"/>
      <w:bookmarkEnd w:id="55"/>
      <w:bookmarkEnd w:id="57"/>
      <w:r>
        <w:rPr>
          <w:sz w:val="24"/>
          <w:szCs w:val="24"/>
        </w:rPr>
        <w:t>оказания сопутствующих услуг</w:t>
      </w:r>
      <w:bookmarkEnd w:id="52"/>
      <w:bookmarkEnd w:id="53"/>
      <w:r>
        <w:rPr>
          <w:sz w:val="24"/>
          <w:szCs w:val="24"/>
          <w:lang w:val="ru-RU"/>
        </w:rPr>
        <w:t xml:space="preserve"> </w:t>
      </w:r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71"/>
        <w:gridCol w:w="3399"/>
        <w:gridCol w:w="2970"/>
        <w:gridCol w:w="2977"/>
      </w:tblGrid>
      <w:tr>
        <w:trPr/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№ </w:t>
            </w:r>
            <w:r>
              <w:rPr>
                <w:sz w:val="24"/>
                <w:szCs w:val="24"/>
                <w:lang w:val="en-US"/>
              </w:rPr>
              <w:t>п/п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Наименование продукции / партии продукции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Требования к началу срока оказания услуг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1</w:t>
            </w:r>
          </w:p>
        </w:tc>
        <w:tc>
          <w:tcPr>
            <w:tcW w:w="33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2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9"/>
              <w:keepNext w:val="false"/>
              <w:widowControl w:val="false"/>
              <w:spacing w:before="0" w:after="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9"/>
              <w:keepNext w:val="false"/>
              <w:widowControl w:val="false"/>
              <w:spacing w:before="0" w:after="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</w:tr>
      <w:tr>
        <w:trPr/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0" w:hanging="0"/>
              <w:jc w:val="center"/>
              <w:rPr>
                <w:rFonts w:eastAsia="Calibri"/>
                <w:sz w:val="22"/>
                <w:szCs w:val="24"/>
              </w:rPr>
            </w:pPr>
            <w:r>
              <w:rPr>
                <w:rFonts w:eastAsia="Calibri"/>
                <w:sz w:val="22"/>
                <w:szCs w:val="24"/>
              </w:rPr>
              <w:t xml:space="preserve">1.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 xml:space="preserve">Шефмонтаж </w:t>
            </w:r>
            <w:r>
              <w:rPr>
                <w:iCs/>
                <w:sz w:val="24"/>
                <w:szCs w:val="24"/>
                <w:lang w:val="en-US"/>
              </w:rPr>
              <w:t>Поставщика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  <w:lang w:val="en-US"/>
              </w:rPr>
              <w:t>В соответствии с согласованным календарным сетевым графиком на СМР, но не позднее 60 дней с момента окончания срока поставки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Не позднее 60 дней с момента окончания поставки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58" w:name="__RefHeading___Toc53993_2420787884"/>
      <w:bookmarkStart w:id="59" w:name="_Toc51339698"/>
      <w:bookmarkStart w:id="60" w:name="_Toc208564137"/>
      <w:bookmarkStart w:id="61" w:name="_Toc227574054"/>
      <w:bookmarkStart w:id="62" w:name="_Toc46743511"/>
      <w:bookmarkStart w:id="63" w:name="_Toc46743510_Копия_1"/>
      <w:bookmarkEnd w:id="58"/>
      <w:bookmarkEnd w:id="63"/>
      <w:r>
        <w:rPr/>
        <w:t xml:space="preserve">Требования к </w:t>
      </w:r>
      <w:bookmarkEnd w:id="62"/>
      <w:r>
        <w:rPr>
          <w:lang w:val="ru-RU"/>
        </w:rPr>
        <w:t>качеству продукции</w:t>
      </w:r>
      <w:bookmarkEnd w:id="60"/>
      <w:bookmarkEnd w:id="61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bookmarkStart w:id="64" w:name="__RefHeading___Toc53995_2420787884"/>
      <w:bookmarkEnd w:id="64"/>
      <w:r>
        <w:rPr>
          <w:sz w:val="24"/>
          <w:szCs w:val="24"/>
        </w:rPr>
        <w:t xml:space="preserve"> </w:t>
      </w:r>
      <w:bookmarkStart w:id="65" w:name="_Toc208564138"/>
      <w:bookmarkStart w:id="66" w:name="_Toc227574055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65"/>
      <w:bookmarkEnd w:id="66"/>
      <w:r>
        <w:rPr>
          <w:sz w:val="24"/>
          <w:szCs w:val="24"/>
        </w:rPr>
        <w:t xml:space="preserve"> </w:t>
      </w:r>
      <w:bookmarkEnd w:id="59"/>
    </w:p>
    <w:p>
      <w:pPr>
        <w:pStyle w:val="Normal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</w:r>
    </w:p>
    <w:tbl>
      <w:tblPr>
        <w:tblStyle w:val="affff9"/>
        <w:tblW w:w="1532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8"/>
        <w:gridCol w:w="2512"/>
        <w:gridCol w:w="5582"/>
        <w:gridCol w:w="1954"/>
        <w:gridCol w:w="2236"/>
        <w:gridCol w:w="2173"/>
        <w:gridCol w:w="300"/>
      </w:tblGrid>
      <w:tr>
        <w:trPr/>
        <w:tc>
          <w:tcPr>
            <w:tcW w:w="56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51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558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419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173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56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51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58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95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2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17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5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51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558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95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2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17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56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09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95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2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7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56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51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Разъединитель высоковольтный с одним заземляющим ножом 110 кВ</w:t>
            </w:r>
          </w:p>
        </w:tc>
        <w:tc>
          <w:tcPr>
            <w:tcW w:w="558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Номинальное напряжение, кВ, не менее – 110;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Наибольшее рабочее напряжение, кВ, не менее – 126;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Номинальный ток, А, не менее – </w:t>
            </w: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1</w:t>
            </w: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25</w:t>
            </w: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0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Номинальный ток отключения, кА, не менее –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25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Время протекания тока термической стойкости, с – 3;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Номинальное напряжение постоянного тока электромагнитов управления, В – 220;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Тип электродвигателя – универсальный однофазный;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Номинальное напряжение питания электродвигателя, В – </w:t>
            </w:r>
            <w:r>
              <w:rPr>
                <w:rFonts w:eastAsia="Times New Roman" w:cs="Cambria Math" w:ascii="Cambria Math" w:hAnsi="Cambria Math"/>
                <w:kern w:val="0"/>
                <w:sz w:val="24"/>
                <w:szCs w:val="24"/>
                <w:lang w:val="ru-RU" w:eastAsia="ru-RU" w:bidi="ar-SA"/>
              </w:rPr>
              <w:t>≃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230;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Ресурс по механической стойкости до капитального ремонта, циклов, не менее – 10000;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Сейсмостойкость, балл, не менее – 9;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Масса выключателя, кг, не более – 1700;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Исполнение привода – пружинное;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Тип привода – трехфазный;</w:t>
            </w:r>
          </w:p>
        </w:tc>
        <w:tc>
          <w:tcPr>
            <w:tcW w:w="195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23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Сертификат соответствия (декларация о соответствии), габаритно-установочный чертеж</w:t>
            </w:r>
          </w:p>
        </w:tc>
        <w:tc>
          <w:tcPr>
            <w:tcW w:w="217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56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094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обязательствам Поставщика, влияющим на исполнение договора</w:t>
            </w:r>
          </w:p>
        </w:tc>
        <w:tc>
          <w:tcPr>
            <w:tcW w:w="195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23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7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56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51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en-US" w:eastAsia="ru-RU" w:bidi="ar-SA"/>
              </w:rPr>
              <w:t>Требования к технической документации</w:t>
            </w:r>
          </w:p>
        </w:tc>
        <w:tc>
          <w:tcPr>
            <w:tcW w:w="5582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772" w:leader="none"/>
              </w:tabs>
              <w:suppressAutoHyphens w:val="true"/>
              <w:spacing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Вся конструкторская и техническая документация должна разрабатываться в соответствии с нормативно-техническими документами.</w:t>
            </w:r>
          </w:p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772" w:leader="none"/>
              </w:tabs>
              <w:suppressAutoHyphens w:val="true"/>
              <w:spacing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Конструкторская и техническая документация должна соответствовать требованиям национальных стандартов, нормативных документов федерального органа государственной власти, уполномоченного в области технического надзора в электроэнергетике, стандартов и руководящих документов, действующих в отрасли, правил, норм и инструкций по безопасности труда.</w:t>
            </w:r>
          </w:p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772" w:leader="none"/>
              </w:tabs>
              <w:suppressAutoHyphens w:val="true"/>
              <w:spacing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Поставщик применяет и использует в технической документации Международную систему единиц физических величин (система СИ). </w:t>
            </w:r>
          </w:p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772" w:leader="none"/>
              </w:tabs>
              <w:suppressAutoHyphens w:val="true"/>
              <w:spacing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Вся техническая документация, включая чертежи, схемы, выполняется на русском языке и предоставляется Поставщиком на этапе исполнения договора.</w:t>
            </w:r>
          </w:p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772" w:leader="none"/>
              </w:tabs>
              <w:suppressAutoHyphens w:val="true"/>
              <w:spacing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Вся информация и документация должна передаваться Заказчику на русском языке в электронном виде в формате DWG-AvtoCad, VSD-Visio, DOC-Word, XLS-Excel; PDF (в количестве 1-го экземпляра) до отправки оборудования Заказчику.</w:t>
            </w:r>
          </w:p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772" w:leader="none"/>
              </w:tabs>
              <w:suppressAutoHyphens w:val="true"/>
              <w:spacing w:before="0" w:after="0"/>
              <w:ind w:left="0" w:hanging="0"/>
              <w:contextualSpacing/>
              <w:jc w:val="both"/>
              <w:rPr>
                <w:bCs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Документация предоставляется с возможностью работы поиска по документу. Представить документацию на бумажном носителе (в количестве не мене 2-х экземпляров) на русском языке вместе с оборудованием.</w:t>
            </w:r>
          </w:p>
        </w:tc>
        <w:tc>
          <w:tcPr>
            <w:tcW w:w="195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23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17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56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094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195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23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17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56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51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Место доставки</w:t>
            </w:r>
          </w:p>
        </w:tc>
        <w:tc>
          <w:tcPr>
            <w:tcW w:w="55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 xml:space="preserve">Республика Дагестан,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Гунибский район, Гунибская ГЭС</w:t>
            </w:r>
          </w:p>
        </w:tc>
        <w:tc>
          <w:tcPr>
            <w:tcW w:w="195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236" w:type="dxa"/>
            <w:tcBorders/>
            <w:shd w:color="auto" w:fill="auto" w:val="clea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17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56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51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Расходы по доставке</w:t>
            </w:r>
          </w:p>
        </w:tc>
        <w:tc>
          <w:tcPr>
            <w:tcW w:w="55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suppressAutoHyphens w:val="false"/>
              <w:spacing w:before="0" w:after="0"/>
              <w:ind w:left="72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Расходы по доставке должны быть включены в стоимость закупаемой продукции</w:t>
            </w:r>
          </w:p>
        </w:tc>
        <w:tc>
          <w:tcPr>
            <w:tcW w:w="195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236" w:type="dxa"/>
            <w:tcBorders/>
            <w:shd w:color="auto" w:fill="auto" w:val="clea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17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56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51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Разгрузка на месте поставки и перемещение до склада Заказчика</w:t>
            </w:r>
          </w:p>
        </w:tc>
        <w:tc>
          <w:tcPr>
            <w:tcW w:w="55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72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Поставка и разгрузка, а также если перемещение Товара осуществляется Поставщиком по территории Покупателя до подписания Сторонами Накладной ТОРГ-12, Поставщик выполняет своими силами и за свой счет. </w:t>
            </w:r>
          </w:p>
        </w:tc>
        <w:tc>
          <w:tcPr>
            <w:tcW w:w="195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236" w:type="dxa"/>
            <w:tcBorders/>
            <w:shd w:color="auto" w:fill="auto" w:val="clea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17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56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51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упаковке</w:t>
            </w:r>
          </w:p>
        </w:tc>
        <w:tc>
          <w:tcPr>
            <w:tcW w:w="55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72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Упаковка должна предохранять оборудование от механических и атмосферных воздействий и должна соответствовать ГОСТ 15150-69 «Машины, приборы и другие технические изделия. Исполнения для различных климатических районов. Категории, условия эксплуатации, хранения и транспортирования в части воздействия климатических факторов внешней среды»</w:t>
            </w:r>
          </w:p>
        </w:tc>
        <w:tc>
          <w:tcPr>
            <w:tcW w:w="195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236" w:type="dxa"/>
            <w:tcBorders/>
            <w:shd w:color="auto" w:fill="auto" w:val="clea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17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56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51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испытаниям и измерениям</w:t>
            </w:r>
          </w:p>
        </w:tc>
        <w:tc>
          <w:tcPr>
            <w:tcW w:w="55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ind w:left="72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Измерения и испытания должны быть выполнены согласно  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 xml:space="preserve">ГОСТ Р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52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565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-200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и проведены в аккредитованной в установленном порядке и независимой лаборатории (испытательного центра), имеющей российский аттестат аккредитации</w:t>
            </w:r>
          </w:p>
        </w:tc>
        <w:tc>
          <w:tcPr>
            <w:tcW w:w="195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23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Протоколы испытаний и измерений</w:t>
            </w:r>
          </w:p>
        </w:tc>
        <w:tc>
          <w:tcPr>
            <w:tcW w:w="217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56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hd w:fill="FFFF00" w:val="clear"/>
              </w:rPr>
            </w:pPr>
            <w:r>
              <w:rPr>
                <w:shd w:fill="FFFF00" w:val="clear"/>
              </w:rPr>
            </w:r>
          </w:p>
        </w:tc>
        <w:tc>
          <w:tcPr>
            <w:tcW w:w="251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эксплуатации</w:t>
            </w:r>
          </w:p>
        </w:tc>
        <w:tc>
          <w:tcPr>
            <w:tcW w:w="55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Выключатели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устанавливаются и эксплуатируются на ОРУ 110 кВ</w:t>
            </w:r>
          </w:p>
        </w:tc>
        <w:tc>
          <w:tcPr>
            <w:tcW w:w="195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23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7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shd w:fill="FFFF00" w:val="clear"/>
              </w:rPr>
            </w:pPr>
            <w:r>
              <w:rPr>
                <w:sz w:val="24"/>
                <w:szCs w:val="24"/>
                <w:shd w:fill="FFFF00" w:val="clear"/>
              </w:rPr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1"/>
          <w:numId w:val="3"/>
        </w:numPr>
        <w:tabs>
          <w:tab w:val="left" w:pos="0" w:leader="none"/>
          <w:tab w:val="left" w:pos="851" w:leader="none"/>
        </w:tabs>
        <w:ind w:left="432" w:hanging="6"/>
        <w:rPr>
          <w:lang w:val="ru-RU"/>
        </w:rPr>
      </w:pPr>
      <w:bookmarkStart w:id="67" w:name="__RefHeading___Toc53997_2420787884"/>
      <w:bookmarkStart w:id="68" w:name="_Toc208564139"/>
      <w:bookmarkStart w:id="69" w:name="_Toc227574056"/>
      <w:bookmarkEnd w:id="67"/>
      <w:r>
        <w:rPr>
          <w:lang w:val="ru-RU"/>
        </w:rPr>
        <w:t>В составе заявки необходимо предоставить:</w:t>
      </w:r>
      <w:bookmarkEnd w:id="68"/>
      <w:bookmarkEnd w:id="69"/>
    </w:p>
    <w:p>
      <w:pPr>
        <w:pStyle w:val="Normal"/>
        <w:ind w:right="-1" w:firstLine="426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Участник в составе своей заявки для подтверждения соответствия заявленных характеристик и конструктива предложенной продукции (поставляемой продукции), требованиям настоящих ТТ, предоставляет следующие документы: </w:t>
      </w:r>
    </w:p>
    <w:p>
      <w:pPr>
        <w:pStyle w:val="Normal"/>
        <w:ind w:right="-1" w:firstLine="426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1)</w:t>
        <w:tab/>
        <w:t>Техническое предложение, подготовленное в соответствии с настоящими ТТ по форме, представленной в документации о закупке;</w:t>
      </w:r>
    </w:p>
    <w:p>
      <w:pPr>
        <w:pStyle w:val="Normal"/>
        <w:ind w:right="-1" w:firstLine="426"/>
        <w:jc w:val="both"/>
        <w:rPr/>
      </w:pPr>
      <w:r>
        <w:rPr>
          <w:rFonts w:eastAsia="Calibri"/>
          <w:sz w:val="24"/>
          <w:szCs w:val="24"/>
        </w:rPr>
        <w:t>2)</w:t>
        <w:tab/>
        <w:t>А</w:t>
      </w:r>
      <w:r>
        <w:rPr>
          <w:rFonts w:eastAsia="Calibri" w:ascii="Times New Roman;serif" w:hAnsi="Times New Roman;serif"/>
          <w:color w:val="2C2D2E"/>
          <w:sz w:val="24"/>
          <w:szCs w:val="24"/>
        </w:rPr>
        <w:t>кт или протокол испытаний</w:t>
      </w:r>
      <w:r>
        <w:rPr>
          <w:rFonts w:eastAsia="Calibri"/>
          <w:color w:val="2C2D2E"/>
          <w:sz w:val="24"/>
          <w:szCs w:val="24"/>
        </w:rPr>
        <w:t> </w:t>
      </w:r>
      <w:r>
        <w:rPr>
          <w:rFonts w:eastAsia="Calibri" w:ascii="Times New Roman;serif" w:hAnsi="Times New Roman;serif"/>
          <w:color w:val="2C2D2E"/>
          <w:sz w:val="24"/>
          <w:szCs w:val="24"/>
        </w:rPr>
        <w:t>на сейсмостойкость до 9 баллов по ГОСТ 30546.1-98 (MSK-64)</w:t>
      </w:r>
      <w:r>
        <w:rPr>
          <w:rFonts w:eastAsia="Calibri"/>
          <w:sz w:val="24"/>
          <w:szCs w:val="24"/>
        </w:rPr>
        <w:t>;</w:t>
      </w:r>
    </w:p>
    <w:p>
      <w:pPr>
        <w:pStyle w:val="Normal"/>
        <w:ind w:right="-1" w:firstLine="426"/>
        <w:jc w:val="both"/>
        <w:rPr/>
      </w:pPr>
      <w:r>
        <w:rPr>
          <w:rFonts w:eastAsia="Calibri"/>
          <w:sz w:val="24"/>
          <w:szCs w:val="24"/>
        </w:rPr>
        <w:t>3)</w:t>
        <w:tab/>
        <w:t>Копию действующей декларации о соответствии;</w:t>
      </w:r>
    </w:p>
    <w:p>
      <w:pPr>
        <w:pStyle w:val="Normal"/>
        <w:ind w:right="-1" w:firstLine="426"/>
        <w:jc w:val="both"/>
        <w:rPr/>
      </w:pPr>
      <w:r>
        <w:rPr>
          <w:rFonts w:eastAsia="Calibri"/>
          <w:sz w:val="24"/>
          <w:szCs w:val="24"/>
        </w:rPr>
        <w:t>4) Руководство по эксплуатации на продукцию;</w:t>
      </w:r>
    </w:p>
    <w:p>
      <w:pPr>
        <w:pStyle w:val="Normal"/>
        <w:ind w:right="-1" w:firstLine="426"/>
        <w:jc w:val="both"/>
        <w:rPr/>
      </w:pPr>
      <w:bookmarkStart w:id="70" w:name="_Ref184912271"/>
      <w:r>
        <w:rPr>
          <w:rFonts w:eastAsia="Calibri"/>
          <w:sz w:val="24"/>
          <w:szCs w:val="24"/>
        </w:rPr>
        <w:t>5) Габаритно-установочные чертежи с присоединительными и установочными размерами и размерами</w:t>
      </w:r>
      <w:bookmarkEnd w:id="70"/>
      <w:r>
        <w:rPr>
          <w:rFonts w:eastAsia="Calibri"/>
          <w:sz w:val="24"/>
          <w:szCs w:val="24"/>
        </w:rPr>
        <w:t xml:space="preserve"> оборудования;</w:t>
      </w:r>
    </w:p>
    <w:p>
      <w:pPr>
        <w:pStyle w:val="Normal"/>
        <w:ind w:right="-1" w:firstLine="426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6</w:t>
      </w:r>
      <w:bookmarkStart w:id="71" w:name="_Ref184912294"/>
      <w:r>
        <w:rPr>
          <w:rFonts w:eastAsia="Calibri"/>
          <w:sz w:val="24"/>
          <w:szCs w:val="24"/>
        </w:rPr>
        <w:t xml:space="preserve">) Копии Протоколов испытаний, проведенных в аккредитованной испытательной лаборатории, подтверждающих соответствие оборудования требованиям ГОСТ Р </w:t>
      </w:r>
      <w:bookmarkEnd w:id="71"/>
      <w:r>
        <w:rPr>
          <w:rFonts w:eastAsia="Calibri"/>
          <w:sz w:val="24"/>
          <w:szCs w:val="24"/>
        </w:rPr>
        <w:t>52726-2007.</w:t>
      </w:r>
    </w:p>
    <w:p>
      <w:pPr>
        <w:pStyle w:val="Normal"/>
        <w:ind w:right="-1" w:firstLine="426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Heading1"/>
        <w:keepLines/>
        <w:numPr>
          <w:ilvl w:val="0"/>
          <w:numId w:val="3"/>
        </w:numPr>
        <w:ind w:left="0" w:firstLine="426"/>
        <w:rPr>
          <w:sz w:val="24"/>
          <w:szCs w:val="24"/>
        </w:rPr>
      </w:pPr>
      <w:bookmarkStart w:id="72" w:name="__RefHeading___Toc53999_2420787884"/>
      <w:bookmarkStart w:id="73" w:name="_Toc208564140"/>
      <w:bookmarkStart w:id="74" w:name="_Toc227574057"/>
      <w:bookmarkStart w:id="75" w:name="_Toc53393312"/>
      <w:bookmarkEnd w:id="72"/>
      <w:r>
        <w:rPr>
          <w:sz w:val="24"/>
          <w:szCs w:val="24"/>
          <w:lang w:val="ru-RU"/>
        </w:rPr>
        <w:t>Требования к документации по ценообразованию</w:t>
      </w:r>
      <w:bookmarkEnd w:id="75"/>
      <w:r>
        <w:rPr>
          <w:sz w:val="24"/>
          <w:szCs w:val="24"/>
          <w:lang w:val="ru-RU"/>
        </w:rPr>
        <w:t xml:space="preserve"> на этапе закупки</w:t>
      </w:r>
      <w:bookmarkEnd w:id="73"/>
      <w:bookmarkEnd w:id="74"/>
    </w:p>
    <w:p>
      <w:pPr>
        <w:pStyle w:val="Normal"/>
        <w:ind w:right="-1" w:firstLine="42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ab/>
        <w:t xml:space="preserve">В обоснование стоимости своей заявки Участник предоставляет Коммерческое предложение по форме (с учетом прилагаемой к ней инструкции по заполнению), с приложением информационной справки о стоимости сопутствующих услуг шефмонтажу, шефналадке в произвольной форме. </w:t>
      </w:r>
    </w:p>
    <w:p>
      <w:pPr>
        <w:pStyle w:val="Normal"/>
        <w:ind w:right="-1" w:firstLine="42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ab/>
        <w:t xml:space="preserve">Вместе с Коммерческим предложением Участник должен предоставить в составе заявки спецификацию поставляемого оборудования по форме, приведенной в требованиях к оформлению и составлению сметной документации к настоящим Техническим требованиям (в случае закупки оборудования (материалов) комплектом в спецификации необходимо разбить его на позиции с указанием полного наименования (тип, марка, артикул) каждой составляющей и стоимости за единицу). </w:t>
      </w:r>
    </w:p>
    <w:p>
      <w:pPr>
        <w:pStyle w:val="Normal"/>
        <w:ind w:right="-1" w:firstLine="42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ab/>
        <w:t xml:space="preserve">Отразить стоимость поставляемого оборудования с учетом затрат на изготовление, транспортировку и поставку основного оборудования, заводских приемо-сдаточных испытаний, погрузки и транспортировки, разгрузки и складирования на Гунибской ГЭС. </w:t>
      </w:r>
    </w:p>
    <w:p>
      <w:pPr>
        <w:pStyle w:val="ListParagraph"/>
        <w:ind w:left="720" w:right="-2" w:hanging="0"/>
        <w:jc w:val="both"/>
        <w:rPr/>
      </w:pPr>
      <w:r>
        <w:rPr>
          <w:rFonts w:eastAsia="Calibri" w:cs="Times New Roman"/>
          <w:color w:val="auto"/>
          <w:kern w:val="0"/>
          <w:sz w:val="24"/>
          <w:szCs w:val="24"/>
          <w:lang w:val="ru-RU" w:eastAsia="ru-RU" w:bidi="ar-SA"/>
        </w:rPr>
        <w:tab/>
        <w:t>Разработка</w:t>
      </w:r>
      <w:r>
        <w:rPr>
          <w:rFonts w:eastAsia="Calibri"/>
          <w:sz w:val="24"/>
          <w:szCs w:val="24"/>
        </w:rPr>
        <w:t xml:space="preserve"> расчета стоимости услуг (шеф-монтажных и шеф-наладочных работ) осуществляется в соответствии с приложением №1 к настоящим Техническим требованиям «Требования к оформлению и составлению сметной документации».</w:t>
      </w:r>
    </w:p>
    <w:p>
      <w:pPr>
        <w:pStyle w:val="Normal"/>
        <w:ind w:right="-1" w:firstLine="426"/>
        <w:jc w:val="both"/>
        <w:rPr>
          <w:rFonts w:eastAsia="Calibri"/>
          <w:color w:val="FF0000"/>
          <w:sz w:val="24"/>
          <w:szCs w:val="24"/>
        </w:rPr>
      </w:pPr>
      <w:r>
        <w:rPr>
          <w:rFonts w:eastAsia="Calibri"/>
          <w:color w:val="FF0000"/>
          <w:sz w:val="24"/>
          <w:szCs w:val="24"/>
        </w:rPr>
      </w:r>
    </w:p>
    <w:p>
      <w:pPr>
        <w:pStyle w:val="Heading1"/>
        <w:keepLines/>
        <w:numPr>
          <w:ilvl w:val="0"/>
          <w:numId w:val="3"/>
        </w:numPr>
        <w:tabs>
          <w:tab w:val="left" w:pos="0" w:leader="none"/>
          <w:tab w:val="left" w:pos="284" w:leader="none"/>
        </w:tabs>
        <w:ind w:left="0" w:firstLine="426"/>
        <w:rPr>
          <w:sz w:val="24"/>
          <w:szCs w:val="24"/>
        </w:rPr>
      </w:pPr>
      <w:bookmarkStart w:id="76" w:name="__RefHeading___Toc54001_2420787884"/>
      <w:bookmarkStart w:id="77" w:name="_Toc208564141"/>
      <w:bookmarkStart w:id="78" w:name="_Toc51339699"/>
      <w:bookmarkStart w:id="79" w:name="_Toc46743519"/>
      <w:bookmarkStart w:id="80" w:name="_Toc227574058"/>
      <w:bookmarkEnd w:id="76"/>
      <w:r>
        <w:rPr>
          <w:iCs/>
          <w:sz w:val="24"/>
          <w:szCs w:val="24"/>
        </w:rPr>
        <w:t>Приложения</w:t>
      </w:r>
      <w:bookmarkEnd w:id="77"/>
      <w:bookmarkEnd w:id="78"/>
      <w:bookmarkEnd w:id="79"/>
      <w:bookmarkEnd w:id="80"/>
    </w:p>
    <w:p>
      <w:pPr>
        <w:pStyle w:val="Normal"/>
        <w:ind w:firstLine="426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Приложение №1. </w:t>
      </w:r>
      <w:r>
        <w:rPr>
          <w:rFonts w:eastAsia="Calibri"/>
          <w:bCs/>
          <w:sz w:val="24"/>
          <w:szCs w:val="24"/>
        </w:rPr>
        <w:t>Требования к оформлению и составлению сметной документации</w:t>
      </w:r>
      <w:r>
        <w:rPr>
          <w:bCs/>
          <w:sz w:val="24"/>
          <w:szCs w:val="24"/>
        </w:rPr>
        <w:t>.</w:t>
      </w:r>
    </w:p>
    <w:p>
      <w:pPr>
        <w:pStyle w:val="Normal"/>
        <w:ind w:hanging="0"/>
        <w:rPr/>
      </w:pPr>
      <w:r>
        <w:rPr/>
      </w:r>
    </w:p>
    <w:sectPr>
      <w:headerReference w:type="default" r:id="rId7"/>
      <w:headerReference w:type="first" r:id="rId8"/>
      <w:type w:val="nextPage"/>
      <w:pgSz w:w="11906" w:h="16838"/>
      <w:pgMar w:left="1134" w:right="851" w:gutter="0" w:header="680" w:top="1134" w:footer="0" w:bottom="992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ambria Math">
    <w:charset w:val="01"/>
    <w:family w:val="roman"/>
    <w:pitch w:val="variable"/>
  </w:font>
  <w:font w:name="Times New Roman">
    <w:altName w:val="serif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633761805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</w:sdtContent>
  </w:sdt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276584712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9</w:t>
        </w:r>
        <w:r>
          <w:rPr/>
          <w:fldChar w:fldCharType="end"/>
        </w:r>
      </w:p>
      <w:p>
        <w:pPr>
          <w:pStyle w:val="Header"/>
          <w:jc w:val="center"/>
          <w:rPr/>
        </w:pPr>
        <w:r>
          <w:rPr/>
        </w:r>
      </w:p>
    </w:sdtContent>
  </w:sdt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4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0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7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1">
    <w:name w:val="Strong1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6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99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10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Style15" w:customStyle="1">
    <w:name w:val="Нижний колонтитул Знак"/>
    <w:basedOn w:val="DefaultParagraphFont"/>
    <w:uiPriority w:val="99"/>
    <w:qFormat/>
    <w:rsid w:val="00de3f29"/>
    <w:rPr>
      <w:sz w:val="28"/>
      <w:szCs w:val="28"/>
    </w:rPr>
  </w:style>
  <w:style w:type="character" w:styleId="Linenumber">
    <w:name w:val="line number"/>
    <w:qFormat/>
    <w:rPr/>
  </w:style>
  <w:style w:type="character" w:styleId="Strong">
    <w:name w:val="Strong"/>
    <w:qFormat/>
    <w:rPr>
      <w:b/>
      <w:bCs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14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1" w:customStyle="1">
    <w:name w:val="index heading11"/>
    <w:basedOn w:val="14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11" w:customStyle="1">
    <w:name w:val="index heading111"/>
    <w:basedOn w:val="14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111" w:customStyle="1">
    <w:name w:val="index heading1111"/>
    <w:basedOn w:val="14"/>
    <w:qFormat/>
    <w:pPr/>
    <w:rPr/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1111" w:customStyle="1">
    <w:name w:val="index heading11111"/>
    <w:basedOn w:val="Title"/>
    <w:qFormat/>
    <w:pPr/>
    <w:rPr/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11111" w:customStyle="1">
    <w:name w:val="index heading111111"/>
    <w:basedOn w:val="Title"/>
    <w:qFormat/>
    <w:pPr/>
    <w:rPr/>
  </w:style>
  <w:style w:type="paragraph" w:styleId="Caption1111111" w:customStyle="1">
    <w:name w:val="caption1111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111111" w:customStyle="1">
    <w:name w:val="index heading1111111"/>
    <w:basedOn w:val="Title"/>
    <w:qFormat/>
    <w:pPr/>
    <w:rPr/>
  </w:style>
  <w:style w:type="paragraph" w:styleId="Caption11111111" w:customStyle="1">
    <w:name w:val="caption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11" w:customStyle="1">
    <w:name w:val="index heading11111111"/>
    <w:basedOn w:val="Title"/>
    <w:qFormat/>
    <w:pPr/>
    <w:rPr/>
  </w:style>
  <w:style w:type="paragraph" w:styleId="Caption111111111" w:customStyle="1">
    <w:name w:val="caption111111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11111111" w:customStyle="1">
    <w:name w:val="index heading111111111"/>
    <w:basedOn w:val="Title"/>
    <w:qFormat/>
    <w:pPr/>
    <w:rPr/>
  </w:style>
  <w:style w:type="paragraph" w:styleId="Caption1111111111" w:customStyle="1">
    <w:name w:val="caption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1111" w:customStyle="1">
    <w:name w:val="index heading1111111111"/>
    <w:basedOn w:val="Title"/>
    <w:qFormat/>
    <w:pPr/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5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6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link w:val="Style15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7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11111111" w:customStyle="1">
    <w:name w:val="caption1111111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99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8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9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10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HEADERTEXT" w:customStyle="1">
    <w:name w:val=".HEADERTEXT"/>
    <w:basedOn w:val="Normal"/>
    <w:uiPriority w:val="99"/>
    <w:qFormat/>
    <w:rsid w:val="00fa4ccd"/>
    <w:pPr/>
    <w:rPr>
      <w:rFonts w:eastAsia="Calibri" w:eastAsiaTheme="minorHAnsi"/>
      <w:color w:val="2B4279"/>
      <w:sz w:val="24"/>
      <w:szCs w:val="24"/>
    </w:rPr>
  </w:style>
  <w:style w:type="paragraph" w:styleId="Default" w:customStyle="1">
    <w:name w:val="Default"/>
    <w:qFormat/>
    <w:rsid w:val="002c774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Style34" w:customStyle="1">
    <w:name w:val="Содержимое врезки"/>
    <w:basedOn w:val="Normal"/>
    <w:qFormat/>
    <w:pPr/>
    <w:rPr/>
  </w:style>
  <w:style w:type="paragraph" w:styleId="Style35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6" w:customStyle="1">
    <w:name w:val="Заголовок таблицы"/>
    <w:basedOn w:val="Style35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9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184E6-2B38-432D-B776-936B1878C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Application>AlterOffice/2025.2.1.0$Linux_X86_64 LibreOffice_project/d2c615264c9535987c375e0f04a158be6015ce3d</Application>
  <AppVersion>15.0000</AppVersion>
  <Pages>9</Pages>
  <Words>1386</Words>
  <Characters>9515</Characters>
  <CharactersWithSpaces>10697</CharactersWithSpaces>
  <Paragraphs>247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2026-05-19T11:32:00Z</dcterms:created>
  <dc:creator>Быстров Олег Геннадьевич</dc:creator>
  <dc:description/>
  <dc:language>ru-RU</dc:language>
  <cp:lastModifiedBy>guseinovmg@corp.gidroogk.com</cp:lastModifiedBy>
  <cp:lastPrinted>2025-03-11T08:28:00Z</cp:lastPrinted>
  <dcterms:modified xsi:type="dcterms:W3CDTF">2026-07-17T10:37:31Z</dcterms:modified>
  <cp:revision>8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