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76"/>
        <w:jc w:val="right"/>
        <w:rPr>
          <w:szCs w:val="26"/>
        </w:rPr>
      </w:pPr>
      <w:r>
        <w:rPr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spacing w:lineRule="auto" w:line="276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spacing w:lineRule="auto" w:line="276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на 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«Поставка и шефмонтаж разъединителей 110 кВ Гунибской ГЭС филиала ПАО «РусГидро» - «Дагестанский филиал»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г. Каспийск, 2026 </w:t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3965_242078788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67_242078788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69_242078788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1_2420787884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3_2420787884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5_2420787884">
            <w:r>
              <w:rPr>
                <w:webHidden/>
                <w:rStyle w:val="Style14"/>
                <w:vanish w:val="false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77_242078788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9_242078788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3981_242078788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83_24207878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85_2420787884">
            <w:r>
              <w:rPr>
                <w:webHidden/>
                <w:rStyle w:val="Style14"/>
                <w:vanish w:val="false"/>
              </w:rPr>
              <w:t>Таблица 1.2 Перечень и объем закупаемых сопутствующих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3987_242078788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89_242078788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91_2420787884">
            <w:r>
              <w:rPr>
                <w:webHidden/>
                <w:rStyle w:val="Style14"/>
                <w:vanish w:val="false"/>
              </w:rPr>
              <w:t>Таблица 2.2 Требования по срокам оказания сопутствующих услуг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93_242078788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95_2420787884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97_2420787884">
            <w:r>
              <w:rPr>
                <w:webHidden/>
                <w:rStyle w:val="Style14"/>
                <w:vanish w:val="false"/>
              </w:rPr>
              <w:t>2.3. В составе заявки необходимо предоставить: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99_242078788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4001_242078788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2" w:name="__RefHeading___Toc53965_2420787884"/>
      <w:bookmarkStart w:id="3" w:name="_Toc51339692"/>
      <w:bookmarkStart w:id="4" w:name="_Toc208564125"/>
      <w:bookmarkStart w:id="5" w:name="_Toc227574042"/>
      <w:bookmarkEnd w:id="2"/>
      <w:r>
        <w:rPr>
          <w:sz w:val="24"/>
          <w:szCs w:val="24"/>
          <w:lang w:val="ru-RU"/>
        </w:rPr>
        <w:t>Общие сведения</w:t>
      </w:r>
      <w:bookmarkEnd w:id="3"/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6" w:name="__RefHeading___Toc53967_2420787884"/>
      <w:bookmarkStart w:id="7" w:name="_Toc208564126"/>
      <w:bookmarkStart w:id="8" w:name="_Toc46743505"/>
      <w:bookmarkStart w:id="9" w:name="_Toc227574043"/>
      <w:bookmarkEnd w:id="6"/>
      <w:r>
        <w:rPr/>
        <w:t>Обозначения и сокращения</w:t>
      </w:r>
      <w:bookmarkEnd w:id="7"/>
      <w:bookmarkEnd w:id="8"/>
      <w:bookmarkEnd w:id="9"/>
    </w:p>
    <w:p>
      <w:pPr>
        <w:pStyle w:val="Normal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7"/>
        <w:gridCol w:w="346"/>
        <w:gridCol w:w="8498"/>
      </w:tblGrid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ОРУ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ГЩУ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Главный щит управления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ВН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Высокое напряжение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НН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Низкое напряжение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НТД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ПСД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Приемо-сдаточная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ПСИ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Приемо-сдаточные испытания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ИД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Исполнительная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КЗ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Короткое замыкание</w:t>
            </w:r>
          </w:p>
        </w:tc>
      </w:tr>
      <w:tr>
        <w:trPr>
          <w:trHeight w:val="321" w:hRule="atLeast"/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РЗА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Релейная защита и автоматика</w:t>
            </w:r>
          </w:p>
        </w:tc>
      </w:tr>
      <w:tr>
        <w:trPr>
          <w:trHeight w:val="321" w:hRule="atLeast"/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x-none"/>
              </w:rPr>
              <w:t>DDP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  <w:lang w:val="en-US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Delivered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Duty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Paid</w:t>
            </w:r>
            <w:r>
              <w:rPr>
                <w:color w:val="000000"/>
                <w:sz w:val="24"/>
                <w:szCs w:val="24"/>
              </w:rPr>
              <w:t xml:space="preserve"> (Поставка с доставкой до пункта назначения)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r>
        <w:br w:type="page"/>
      </w:r>
      <w:bookmarkStart w:id="10" w:name="__RefHeading___Toc53969_2420787884"/>
      <w:bookmarkStart w:id="11" w:name="_Toc208564127"/>
      <w:bookmarkStart w:id="12" w:name="_Toc227574044"/>
      <w:bookmarkEnd w:id="10"/>
      <w:r>
        <w:rPr/>
        <w:t>Наименование закупаемой продукции</w:t>
      </w:r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Поставка и шефмонтаж разъединителей 110 кВ Гунибской ГЭС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»</w:t>
      </w:r>
      <w:r>
        <w:rPr>
          <w:rFonts w:eastAsia="Calibri"/>
          <w:bCs/>
          <w:sz w:val="24"/>
          <w:szCs w:val="24"/>
        </w:rPr>
        <w:t xml:space="preserve"> филиала ПАО «РусГидро» - «Дагестанский филиал</w:t>
      </w:r>
      <w:r>
        <w:rPr>
          <w:rFonts w:eastAsia="Calibri"/>
          <w:sz w:val="24"/>
          <w:szCs w:val="24"/>
          <w:lang w:eastAsia="x-none"/>
        </w:rPr>
        <w:t>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3" w:name="__RefHeading___Toc53971_2420787884"/>
      <w:bookmarkStart w:id="14" w:name="_Toc208564128"/>
      <w:bookmarkStart w:id="15" w:name="_Toc227574045"/>
      <w:bookmarkStart w:id="16" w:name="_Toc46743507"/>
      <w:bookmarkEnd w:id="13"/>
      <w:r>
        <w:rPr/>
        <w:t xml:space="preserve">Цель </w:t>
      </w:r>
      <w:bookmarkEnd w:id="16"/>
      <w:r>
        <w:rPr>
          <w:lang w:val="ru-RU"/>
        </w:rPr>
        <w:t>использования закупаемой продукции</w:t>
      </w:r>
      <w:bookmarkEnd w:id="14"/>
      <w:bookmarkEnd w:id="1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ab/>
        <w:t>Повышение надежности работы коммутационного оборудования и улучшение эксплуатационных характеристик ОРУ 110 кВ Гунибской ГЭС путем замены разъединителей 110 кВ типа РДЗ-2-110Б/1000 УХЛ1 на современные с возможностью дистанционного управления с АРМ ГЩУ.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rPr>
          <w:lang w:val="ru-RU"/>
        </w:rPr>
      </w:pPr>
      <w:bookmarkStart w:id="17" w:name="__RefHeading___Toc53973_2420787884"/>
      <w:bookmarkStart w:id="18" w:name="_Toc46743508"/>
      <w:bookmarkStart w:id="19" w:name="_Toc208564129"/>
      <w:bookmarkStart w:id="20" w:name="_Toc227574046"/>
      <w:bookmarkEnd w:id="17"/>
      <w:r>
        <w:rPr/>
        <w:t>Существующее положение</w:t>
      </w:r>
      <w:bookmarkEnd w:id="18"/>
      <w:bookmarkEnd w:id="19"/>
      <w:bookmarkEnd w:id="20"/>
      <w:r>
        <w:rPr>
          <w:lang w:val="ru-RU"/>
        </w:rPr>
        <w:t xml:space="preserve"> </w:t>
      </w:r>
    </w:p>
    <w:p>
      <w:pPr>
        <w:pStyle w:val="Normal"/>
        <w:ind w:hanging="0"/>
        <w:jc w:val="both"/>
        <w:rPr/>
      </w:pPr>
      <w:r>
        <w:rPr>
          <w:sz w:val="24"/>
          <w:szCs w:val="24"/>
          <w:lang w:eastAsia="x-none"/>
        </w:rPr>
        <w:tab/>
        <w:t xml:space="preserve">Разъединители 110 кВ типа РДЗ-110Б/1000 УХЛ1 с ручными приводами ПР-05-2Б установленные на ОРУ 110 кВ Гунибской ГЭС находятся в эксплуатации с 2004. Оборудованы механическими блокировками, многие из которых неисправны. За годы эксплуатации у разъединителей накопился износ,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ab/>
        <w:t xml:space="preserve">который может </w:t>
      </w: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привести к снижению надёжности работы оборудования и повышению риска аварийных ситуаций, требующего проведения сверхтиповых ремонтных работ с длительным простоем станции.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sz w:val="24"/>
          <w:szCs w:val="24"/>
        </w:rPr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ab/>
      </w:r>
      <w:r>
        <w:rPr>
          <w:sz w:val="24"/>
          <w:szCs w:val="24"/>
          <w:lang w:eastAsia="x-none"/>
        </w:rPr>
        <w:t>Установленные на ОРУ-110 кВ  разъединители морально и физически изношены, требуется замена на более современные.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21" w:name="__RefHeading___Toc53975_2420787884"/>
      <w:bookmarkStart w:id="22" w:name="_Toc208564130"/>
      <w:bookmarkStart w:id="23" w:name="_Toc227574047"/>
      <w:bookmarkEnd w:id="21"/>
      <w:r>
        <w:rPr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22"/>
      <w:bookmarkEnd w:id="23"/>
    </w:p>
    <w:p>
      <w:pPr>
        <w:pStyle w:val="Normal"/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Поставщик должен обеспечить разработку, изготовление, заводские испытания, транспортировку и разгрузку поставляемого оборудования на место, указанное Заказчиком (на условиях DDP).</w:t>
      </w:r>
    </w:p>
    <w:p>
      <w:pPr>
        <w:pStyle w:val="Normal"/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 этапе исполнения Договора предоставляется доступ на объект для проведения обследования и сбора информации (исходных данных) по объему работ и уточнения влияния внешних факторов.</w:t>
      </w:r>
    </w:p>
    <w:p>
      <w:pPr>
        <w:pStyle w:val="Normal"/>
        <w:ind w:firstLine="426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sz w:val="24"/>
          <w:szCs w:val="24"/>
        </w:rPr>
      </w:pPr>
      <w:bookmarkStart w:id="24" w:name="__RefHeading___Toc53977_2420787884"/>
      <w:bookmarkStart w:id="25" w:name="_Toc208564131"/>
      <w:bookmarkStart w:id="26" w:name="_Toc51339693"/>
      <w:bookmarkStart w:id="27" w:name="_Toc227574048"/>
      <w:bookmarkStart w:id="28" w:name="_Toc46743510"/>
      <w:bookmarkEnd w:id="24"/>
      <w:bookmarkEnd w:id="28"/>
      <w:r>
        <w:rPr>
          <w:iCs/>
          <w:sz w:val="24"/>
          <w:szCs w:val="24"/>
        </w:rPr>
        <w:t>Требования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rPr/>
      </w:pPr>
      <w:bookmarkStart w:id="29" w:name="__RefHeading___Toc53979_2420787884"/>
      <w:bookmarkStart w:id="30" w:name="_Toc208564132"/>
      <w:bookmarkStart w:id="31" w:name="_Toc227574049"/>
      <w:bookmarkEnd w:id="29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0"/>
      <w:bookmarkEnd w:id="31"/>
    </w:p>
    <w:p>
      <w:pPr>
        <w:pStyle w:val="Heading3"/>
        <w:numPr>
          <w:ilvl w:val="2"/>
          <w:numId w:val="3"/>
        </w:numPr>
        <w:spacing w:before="120" w:after="0"/>
        <w:rPr/>
      </w:pPr>
      <w:bookmarkStart w:id="32" w:name="__RefHeading___Toc53981_2420787884"/>
      <w:bookmarkStart w:id="33" w:name="_Toc208564133"/>
      <w:bookmarkStart w:id="34" w:name="_Toc227574050"/>
      <w:bookmarkEnd w:id="32"/>
      <w:r>
        <w:rPr>
          <w:lang w:val="ru-RU"/>
        </w:rPr>
        <w:t>Перечень и объем закупаемой продукции</w:t>
      </w:r>
      <w:bookmarkEnd w:id="33"/>
      <w:bookmarkEnd w:id="3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5" w:name="__RefHeading___Toc53983_2420787884"/>
      <w:bookmarkStart w:id="36" w:name="_Toc208564134"/>
      <w:bookmarkStart w:id="37" w:name="_Toc227574051"/>
      <w:bookmarkStart w:id="38" w:name="_Toc51339695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8"/>
      <w:r>
        <w:rPr>
          <w:sz w:val="24"/>
          <w:szCs w:val="24"/>
          <w:lang w:val="ru-RU"/>
        </w:rPr>
        <w:t>и объем закупаемой продукции</w:t>
      </w:r>
      <w:bookmarkEnd w:id="36"/>
      <w:bookmarkEnd w:id="37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77"/>
        <w:gridCol w:w="7747"/>
        <w:gridCol w:w="735"/>
        <w:gridCol w:w="750"/>
      </w:tblGrid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208" w:hanging="229"/>
              <w:jc w:val="center"/>
              <w:rPr/>
            </w:pPr>
            <w:r>
              <w:rPr/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Разъединитель трехполюсный с одним заземляющим ножом 110 кВ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208" w:hanging="229"/>
              <w:jc w:val="center"/>
              <w:rPr/>
            </w:pPr>
            <w:r>
              <w:rPr/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Разъединитель трехполюсный с двумя заземляющими ножами 110 кВ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9" w:name="__RefHeading___Toc53985_2420787884"/>
      <w:bookmarkStart w:id="40" w:name="_Toc75446577"/>
      <w:bookmarkStart w:id="41" w:name="_Toc181255061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40"/>
      <w:bookmarkEnd w:id="4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3"/>
        <w:gridCol w:w="2118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Шефмонтаж </w:t>
            </w:r>
            <w:r>
              <w:rPr>
                <w:iCs/>
                <w:sz w:val="24"/>
                <w:szCs w:val="24"/>
                <w:lang w:val="en-US"/>
              </w:rPr>
              <w:t>Поставщика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</w:tbl>
    <w:p>
      <w:pPr>
        <w:pStyle w:val="Normal"/>
        <w:spacing w:before="0" w:after="0"/>
        <w:rPr>
          <w:i w:val="false"/>
          <w:i w:val="false"/>
        </w:rPr>
      </w:pPr>
      <w:r>
        <w:rPr>
          <w:i w:val="false"/>
        </w:rPr>
      </w:r>
    </w:p>
    <w:p>
      <w:pPr>
        <w:pStyle w:val="Heading3"/>
        <w:numPr>
          <w:ilvl w:val="2"/>
          <w:numId w:val="3"/>
        </w:numPr>
        <w:spacing w:before="120" w:after="0"/>
        <w:rPr/>
      </w:pPr>
      <w:bookmarkStart w:id="42" w:name="__RefHeading___Toc53987_2420787884"/>
      <w:bookmarkStart w:id="43" w:name="_Toc208564135"/>
      <w:bookmarkStart w:id="44" w:name="_Toc227574052"/>
      <w:bookmarkEnd w:id="42"/>
      <w:r>
        <w:rPr>
          <w:lang w:val="ru-RU"/>
        </w:rPr>
        <w:t>Требования к срокам поставки продукции и оказания сопутствующих услуг</w:t>
      </w:r>
      <w:bookmarkEnd w:id="43"/>
      <w:bookmarkEnd w:id="4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5" w:name="__RefHeading___Toc53989_2420787884"/>
      <w:bookmarkStart w:id="46" w:name="_Toc208564136_Копия_1"/>
      <w:bookmarkStart w:id="47" w:name="_Toc227574053_Копия_1"/>
      <w:bookmarkStart w:id="48" w:name="_Toc51339697_Копия_1"/>
      <w:bookmarkStart w:id="49" w:name="_Toc50125127_Копия_1"/>
      <w:bookmarkStart w:id="50" w:name="_Toc50125126_Копия_1"/>
      <w:bookmarkEnd w:id="45"/>
      <w:bookmarkEnd w:id="5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1" w:name="_Hlk50465284_Копия_1"/>
      <w:r>
        <w:rPr>
          <w:sz w:val="24"/>
          <w:szCs w:val="24"/>
        </w:rPr>
        <w:t xml:space="preserve">Требования по срокам </w:t>
      </w:r>
      <w:bookmarkEnd w:id="48"/>
      <w:bookmarkEnd w:id="49"/>
      <w:bookmarkEnd w:id="51"/>
      <w:r>
        <w:rPr>
          <w:sz w:val="24"/>
          <w:szCs w:val="24"/>
          <w:lang w:val="ru-RU"/>
        </w:rPr>
        <w:t>поставки продукции</w:t>
      </w:r>
      <w:bookmarkEnd w:id="46"/>
      <w:bookmarkEnd w:id="4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1"/>
        <w:gridCol w:w="3399"/>
        <w:gridCol w:w="2969"/>
        <w:gridCol w:w="2978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продукции / партии продукции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началу срока поставки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Разъединитель трехполюсный с одним заземляющим ножом 110 кВ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позднее календарных 180 дней с даты подписания договора</w:t>
            </w:r>
          </w:p>
        </w:tc>
      </w:tr>
      <w:tr>
        <w:trPr/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Разъединитель трехполюсный с двумя заземляющими ножами 110 кВ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позднее календарных 180 дней с даты подписания договора</w:t>
            </w:r>
          </w:p>
        </w:tc>
      </w:tr>
    </w:tbl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52" w:name="__RefHeading___Toc53991_2420787884"/>
      <w:bookmarkStart w:id="53" w:name="_Toc208564136"/>
      <w:bookmarkStart w:id="54" w:name="_Toc227574053"/>
      <w:bookmarkStart w:id="55" w:name="_Toc51339697"/>
      <w:bookmarkStart w:id="56" w:name="_Toc50125127"/>
      <w:bookmarkStart w:id="57" w:name="_Toc50125126"/>
      <w:bookmarkEnd w:id="52"/>
      <w:bookmarkEnd w:id="5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58" w:name="_Hlk50465284"/>
      <w:r>
        <w:rPr>
          <w:sz w:val="24"/>
          <w:szCs w:val="24"/>
        </w:rPr>
        <w:t xml:space="preserve">Требования по срокам </w:t>
      </w:r>
      <w:bookmarkEnd w:id="55"/>
      <w:bookmarkEnd w:id="56"/>
      <w:bookmarkEnd w:id="58"/>
      <w:r>
        <w:rPr>
          <w:sz w:val="24"/>
          <w:szCs w:val="24"/>
        </w:rPr>
        <w:t>оказания сопутствующих услуг</w:t>
      </w:r>
      <w:bookmarkEnd w:id="53"/>
      <w:bookmarkEnd w:id="54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1"/>
        <w:gridCol w:w="3399"/>
        <w:gridCol w:w="2970"/>
        <w:gridCol w:w="2977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продукции / партии продукции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началу срока оказания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1.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Шефмонтаж </w:t>
            </w:r>
            <w:r>
              <w:rPr>
                <w:iCs/>
                <w:sz w:val="24"/>
                <w:szCs w:val="24"/>
                <w:lang w:val="en-US"/>
              </w:rPr>
              <w:t>Поставщика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В соответствии с согласованным календарным сетевым графиком на СМР, но не позднее 60 дней с момента окончания срока поставки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60 дней с момента окончания поставки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59" w:name="__RefHeading___Toc53993_2420787884"/>
      <w:bookmarkStart w:id="60" w:name="_Toc51339698"/>
      <w:bookmarkStart w:id="61" w:name="_Toc208564137"/>
      <w:bookmarkStart w:id="62" w:name="_Toc227574054"/>
      <w:bookmarkStart w:id="63" w:name="_Toc46743511"/>
      <w:bookmarkStart w:id="64" w:name="_Toc46743510_Копия_1"/>
      <w:bookmarkEnd w:id="59"/>
      <w:bookmarkEnd w:id="64"/>
      <w:r>
        <w:rPr/>
        <w:t xml:space="preserve">Требования к </w:t>
      </w:r>
      <w:bookmarkEnd w:id="63"/>
      <w:r>
        <w:rPr>
          <w:lang w:val="ru-RU"/>
        </w:rPr>
        <w:t>качеству продукции</w:t>
      </w:r>
      <w:bookmarkEnd w:id="61"/>
      <w:bookmarkEnd w:id="6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65" w:name="__RefHeading___Toc53995_2420787884"/>
      <w:bookmarkEnd w:id="65"/>
      <w:r>
        <w:rPr>
          <w:sz w:val="24"/>
          <w:szCs w:val="24"/>
        </w:rPr>
        <w:t xml:space="preserve"> </w:t>
      </w:r>
      <w:bookmarkStart w:id="66" w:name="_Toc208564138"/>
      <w:bookmarkStart w:id="67" w:name="_Toc22757405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66"/>
      <w:bookmarkEnd w:id="67"/>
      <w:r>
        <w:rPr>
          <w:sz w:val="24"/>
          <w:szCs w:val="24"/>
        </w:rPr>
        <w:t xml:space="preserve"> </w:t>
      </w:r>
      <w:bookmarkEnd w:id="60"/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Style w:val="affff9"/>
        <w:tblW w:w="153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2512"/>
        <w:gridCol w:w="5582"/>
        <w:gridCol w:w="1954"/>
        <w:gridCol w:w="2236"/>
        <w:gridCol w:w="2173"/>
        <w:gridCol w:w="300"/>
      </w:tblGrid>
      <w:tr>
        <w:trPr/>
        <w:tc>
          <w:tcPr>
            <w:tcW w:w="5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5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9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7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Разъединитель высоковольтный с одним заземляющим ножом 110 кВ</w:t>
            </w:r>
          </w:p>
        </w:tc>
        <w:tc>
          <w:tcPr>
            <w:tcW w:w="55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кВ, не менее – 110;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Наибольшее рабочее напряжение, кВ, не менее – 126;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Номинальный ток, А, не менее –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Отключаемый индуктивный ток, А – 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Номинальный кратковременный выдерживаемый ток (ток термической стойкости) кА, не менее –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но не более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Допустимое время протекания тока термической стойкости, с, не менее – 3;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изоляции, см/кВ, не менее – 2,5;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внешней изоляции – фарфор;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Конструктивная схема исполнения – горизонтально-поворотный;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двигателя – однополюсный;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номинальное напряжение электродвигателя – ~380/220;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заземляющих ножей, шт. – 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и категория размещения по ГОСТ 15150-69 – УХЛ1;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Сейсмостойкость, балл, не менее – 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Комплектность поставки: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Разъединитель однополюсный с комплектом валов и тяг – 3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Привод двигательный главного ножа –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Привод двигательный заземляющего ножа –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Дистанционный блок управления – 1 шт.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Разъединитель высоковольтный с двумя заземляющими ножами 110 кВ</w:t>
            </w:r>
          </w:p>
        </w:tc>
        <w:tc>
          <w:tcPr>
            <w:tcW w:w="55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кВ, не менее – 110;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Наибольшее рабочее напряжение, кВ, не менее – 126;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Номинальный ток, А, не менее – 1000;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Отключаемый индуктивный ток, А – 4;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Номинальный кратковременный выдерживаемый ток (ток термической стойкости) кА, не менее – 25, но не более 40;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Допустимое время протекания тока термической стойкости, с, не менее – 3;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изоляции, см/кВ, не менее – 2,5;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внешней изоляции – фарфор;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Конструктивная схема исполнения – горизонтально-поворотный;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двигателя – однополюсный;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номинальное напряжение электродвигателя – ~380/220;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заземляющих ножей, шт. – 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и категория размещения по ГОСТ 15150-69 – УХЛ1;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Сейсмостойкость, балл, не менее – 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Комплектность поставки: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Разъединитель однополюсный с комплектом валов и тяг – 3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Привод двигательный главного ножа –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Привод двигательный заземляющего ножа – 2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Дистанционный блок управления – 1 шт.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арактеристик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Паспорт, 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9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Требования к технической документации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Конструкторская и техническая документация должна соответствовать 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инструкций по безопасности труда.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Поставщик применяет и использует в технической документации Международную систему единиц физических величин (система СИ). 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Вся техническая документация, включая чертежи, схемы, выполняется на русском языке и предоставляется Поставщиком на этапе исполнения договора.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Вся информация и документация должна передаваться Заказчику на русском языке в электронном виде в формате DWG-AvtoCad, VSD-Visio, DOC-Word, XLS-Excel; PDF (в количестве 1-го экземпляра) до отправки оборудования Заказчику.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Документация предоставляется с возможностью работы поиска по документу. Представить документацию на бумажном носителе (в количестве не мене 2-х экземпляров) на русском языке вместе с оборудованием.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9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доставки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Республика Дагестан,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Гунибский район, Гунибская ГЭС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Расходы по доставке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Расходы по доставке должны быть включены в стоимость закупаемой продукции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на месте поставки и перемещение до склада Заказчика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Поставка и разгрузка, а также если перемещение Товара осуществляется Поставщиком по территории Покупателя до подписания Сторонами Накладной ТОРГ-12, Поставщик выполняет своими силами и за свой счет. 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 должна предохранять оборудование от механических и атмосферных воздействий и должна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испытаниям и измерениям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Измерения и испытания должны быть выполнены согласно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ГОСТ 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52726-2007 и проведены в аккредитованной в установленном порядке и независимой лаборатории (испытательного центра), имеющей российский аттестат аккредитации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испытаний и измерений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эксплуатации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Разъединители устанавливаются и эксплуатируются на ОРУ 110 кВ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432" w:hanging="6"/>
        <w:rPr>
          <w:lang w:val="ru-RU"/>
        </w:rPr>
      </w:pPr>
      <w:bookmarkStart w:id="68" w:name="__RefHeading___Toc53997_2420787884"/>
      <w:bookmarkStart w:id="69" w:name="_Toc208564139"/>
      <w:bookmarkStart w:id="70" w:name="_Toc227574056"/>
      <w:bookmarkEnd w:id="68"/>
      <w:r>
        <w:rPr>
          <w:lang w:val="ru-RU"/>
        </w:rPr>
        <w:t>В составе заявки необходимо предоставить:</w:t>
      </w:r>
      <w:bookmarkEnd w:id="69"/>
      <w:bookmarkEnd w:id="70"/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(поставляемой продукции), требованиям настоящих ТТ, предоставляет следующие документы: </w:t>
      </w:r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  <w:tab/>
        <w:t>Техническое предложение, подготовленное в соответствии с настоящими ТТ по форме, представленной в документации о закупке;</w:t>
      </w:r>
    </w:p>
    <w:p>
      <w:pPr>
        <w:pStyle w:val="Normal"/>
        <w:ind w:right="-1" w:firstLine="426"/>
        <w:jc w:val="both"/>
        <w:rPr/>
      </w:pPr>
      <w:r>
        <w:rPr>
          <w:rFonts w:eastAsia="Calibri"/>
          <w:sz w:val="24"/>
          <w:szCs w:val="24"/>
        </w:rPr>
        <w:t>2)</w:t>
        <w:tab/>
        <w:t>А</w:t>
      </w:r>
      <w:r>
        <w:rPr>
          <w:rFonts w:eastAsia="Calibri" w:ascii="Times New Roman;serif" w:hAnsi="Times New Roman;serif"/>
          <w:color w:val="2C2D2E"/>
          <w:sz w:val="24"/>
          <w:szCs w:val="24"/>
        </w:rPr>
        <w:t>кт или протокол испытаний</w:t>
      </w:r>
      <w:r>
        <w:rPr>
          <w:rFonts w:eastAsia="Calibri"/>
          <w:color w:val="2C2D2E"/>
          <w:sz w:val="24"/>
          <w:szCs w:val="24"/>
        </w:rPr>
        <w:t> </w:t>
      </w:r>
      <w:r>
        <w:rPr>
          <w:rFonts w:eastAsia="Calibri" w:ascii="Times New Roman;serif" w:hAnsi="Times New Roman;serif"/>
          <w:color w:val="2C2D2E"/>
          <w:sz w:val="24"/>
          <w:szCs w:val="24"/>
        </w:rPr>
        <w:t>на сейсмостойкость до 9 баллов по ГОСТ 30546.1-98 (MSK-64)</w:t>
      </w:r>
      <w:r>
        <w:rPr>
          <w:rFonts w:eastAsia="Calibri"/>
          <w:sz w:val="24"/>
          <w:szCs w:val="24"/>
        </w:rPr>
        <w:t>;</w:t>
      </w:r>
    </w:p>
    <w:p>
      <w:pPr>
        <w:pStyle w:val="Normal"/>
        <w:ind w:right="-1" w:firstLine="426"/>
        <w:jc w:val="both"/>
        <w:rPr/>
      </w:pPr>
      <w:r>
        <w:rPr>
          <w:rFonts w:eastAsia="Calibri"/>
          <w:sz w:val="24"/>
          <w:szCs w:val="24"/>
        </w:rPr>
        <w:t>3)</w:t>
        <w:tab/>
        <w:t>Копию действующей декларации о соответствии;</w:t>
      </w:r>
    </w:p>
    <w:p>
      <w:pPr>
        <w:pStyle w:val="Normal"/>
        <w:ind w:right="-1" w:firstLine="426"/>
        <w:jc w:val="both"/>
        <w:rPr/>
      </w:pPr>
      <w:r>
        <w:rPr>
          <w:rFonts w:eastAsia="Calibri"/>
          <w:sz w:val="24"/>
          <w:szCs w:val="24"/>
        </w:rPr>
        <w:t>4) Руководство по эксплуатации на продукцию;</w:t>
      </w:r>
    </w:p>
    <w:p>
      <w:pPr>
        <w:pStyle w:val="Normal"/>
        <w:ind w:right="-1" w:firstLine="426"/>
        <w:jc w:val="both"/>
        <w:rPr/>
      </w:pPr>
      <w:bookmarkStart w:id="71" w:name="_Ref184912271"/>
      <w:r>
        <w:rPr>
          <w:rFonts w:eastAsia="Calibri"/>
          <w:sz w:val="24"/>
          <w:szCs w:val="24"/>
        </w:rPr>
        <w:t>5) Габаритно-установочные чертежи с присоединительными и установочными размерами и размерами</w:t>
      </w:r>
      <w:bookmarkEnd w:id="71"/>
      <w:r>
        <w:rPr>
          <w:rFonts w:eastAsia="Calibri"/>
          <w:sz w:val="24"/>
          <w:szCs w:val="24"/>
        </w:rPr>
        <w:t xml:space="preserve"> оборудования;</w:t>
      </w:r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bookmarkStart w:id="72" w:name="_Ref184912294"/>
      <w:r>
        <w:rPr>
          <w:rFonts w:eastAsia="Calibri"/>
          <w:sz w:val="24"/>
          <w:szCs w:val="24"/>
        </w:rPr>
        <w:t xml:space="preserve">) Копии Протоколов испытаний, проведенных в аккредитованной испытательной лаборатории, подтверждающих соответствие оборудования требованиям ГОСТ Р </w:t>
      </w:r>
      <w:bookmarkEnd w:id="72"/>
      <w:r>
        <w:rPr>
          <w:rFonts w:eastAsia="Calibri"/>
          <w:sz w:val="24"/>
          <w:szCs w:val="24"/>
        </w:rPr>
        <w:t>52726-2007.</w:t>
      </w:r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73" w:name="__RefHeading___Toc53999_2420787884"/>
      <w:bookmarkStart w:id="74" w:name="_Toc208564140"/>
      <w:bookmarkStart w:id="75" w:name="_Toc227574057"/>
      <w:bookmarkStart w:id="76" w:name="_Toc53393312"/>
      <w:bookmarkEnd w:id="7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76"/>
      <w:r>
        <w:rPr>
          <w:sz w:val="24"/>
          <w:szCs w:val="24"/>
          <w:lang w:val="ru-RU"/>
        </w:rPr>
        <w:t xml:space="preserve"> на этапе закупки</w:t>
      </w:r>
      <w:bookmarkEnd w:id="74"/>
      <w:bookmarkEnd w:id="75"/>
    </w:p>
    <w:p>
      <w:pPr>
        <w:pStyle w:val="Normal"/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с приложением информационной справки о стоимости сопутствующих услуг шефмонтажу, шефналадке в произвольной форме. </w:t>
      </w:r>
    </w:p>
    <w:p>
      <w:pPr>
        <w:pStyle w:val="Normal"/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требованиях к оформлению и составлению сметной документации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</w:t>
      </w:r>
    </w:p>
    <w:p>
      <w:pPr>
        <w:pStyle w:val="Normal"/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Гунибской ГЭС. </w:t>
      </w:r>
    </w:p>
    <w:p>
      <w:pPr>
        <w:pStyle w:val="ListParagraph"/>
        <w:ind w:left="720" w:right="-2" w:hanging="0"/>
        <w:jc w:val="both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ab/>
        <w:t>Разработка</w:t>
      </w:r>
      <w:r>
        <w:rPr>
          <w:rFonts w:eastAsia="Calibri"/>
          <w:sz w:val="24"/>
          <w:szCs w:val="24"/>
        </w:rPr>
        <w:t xml:space="preserve"> расчета стоимости услуг (шеф-монтажных и шеф-наладочных работ) осуществляется в соответствии с приложением №1 к настоящим Техническим требованиям «Требования к оформлению и составлению сметной документации».</w:t>
      </w:r>
    </w:p>
    <w:p>
      <w:pPr>
        <w:pStyle w:val="Normal"/>
        <w:ind w:right="-1" w:firstLine="426"/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firstLine="426"/>
        <w:rPr>
          <w:sz w:val="24"/>
          <w:szCs w:val="24"/>
        </w:rPr>
      </w:pPr>
      <w:bookmarkStart w:id="77" w:name="__RefHeading___Toc54001_2420787884"/>
      <w:bookmarkStart w:id="78" w:name="_Toc208564141"/>
      <w:bookmarkStart w:id="79" w:name="_Toc51339699"/>
      <w:bookmarkStart w:id="80" w:name="_Toc46743519"/>
      <w:bookmarkStart w:id="81" w:name="_Toc227574058"/>
      <w:bookmarkEnd w:id="77"/>
      <w:r>
        <w:rPr>
          <w:iCs/>
          <w:sz w:val="24"/>
          <w:szCs w:val="24"/>
        </w:rPr>
        <w:t>Приложения</w:t>
      </w:r>
      <w:bookmarkEnd w:id="78"/>
      <w:bookmarkEnd w:id="79"/>
      <w:bookmarkEnd w:id="80"/>
      <w:bookmarkEnd w:id="81"/>
    </w:p>
    <w:p>
      <w:pPr>
        <w:pStyle w:val="Normal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№1. </w:t>
      </w:r>
      <w:r>
        <w:rPr>
          <w:rFonts w:eastAsia="Calibri"/>
          <w:bCs/>
          <w:sz w:val="24"/>
          <w:szCs w:val="24"/>
        </w:rPr>
        <w:t>Требования к оформлению и составлению сметной документации</w:t>
      </w:r>
      <w:r>
        <w:rPr>
          <w:bCs/>
          <w:sz w:val="24"/>
          <w:szCs w:val="24"/>
        </w:rPr>
        <w:t>.</w:t>
      </w:r>
    </w:p>
    <w:p>
      <w:pPr>
        <w:pStyle w:val="Normal"/>
        <w:ind w:hanging="0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048993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03181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99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sid w:val="00de3f29"/>
    <w:rPr>
      <w:sz w:val="28"/>
      <w:szCs w:val="28"/>
    </w:rPr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14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1" w:customStyle="1">
    <w:name w:val="caption1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.HEADERTEXT"/>
    <w:basedOn w:val="Normal"/>
    <w:uiPriority w:val="99"/>
    <w:qFormat/>
    <w:rsid w:val="00fa4ccd"/>
    <w:pPr/>
    <w:rPr>
      <w:rFonts w:eastAsia="Calibri" w:eastAsiaTheme="minorHAnsi"/>
      <w:color w:val="2B4279"/>
      <w:sz w:val="24"/>
      <w:szCs w:val="24"/>
    </w:rPr>
  </w:style>
  <w:style w:type="paragraph" w:styleId="Default" w:customStyle="1">
    <w:name w:val="Default"/>
    <w:qFormat/>
    <w:rsid w:val="002c7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84E6-2B38-432D-B776-936B1878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AlterOffice/2025.2.1.0$Linux_X86_64 LibreOffice_project/d2c615264c9535987c375e0f04a158be6015ce3d</Application>
  <AppVersion>15.0000</AppVersion>
  <Pages>10</Pages>
  <Words>1603</Words>
  <Characters>10954</Characters>
  <CharactersWithSpaces>12347</CharactersWithSpaces>
  <Paragraphs>278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2026-05-19T11:32:00Z</dcterms:created>
  <dc:creator>Быстров Олег Геннадьевич</dc:creator>
  <dc:description/>
  <dc:language>ru-RU</dc:language>
  <cp:lastModifiedBy>guseinovmg@corp.gidroogk.com</cp:lastModifiedBy>
  <cp:lastPrinted>2025-03-11T08:28:00Z</cp:lastPrinted>
  <dcterms:modified xsi:type="dcterms:W3CDTF">2026-07-17T10:42:21Z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