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499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pStyle w:val="Normal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ОКДП2 27.11.41 Поставка трансформатора для формирования аварийного запаса  </w:t>
      </w:r>
    </w:p>
    <w:p>
      <w:pPr>
        <w:pStyle w:val="Normal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для филиала ПАО "РусГидро" - "Приморский"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8320_2341194836" w:tgtFrame="#__RefHeading___Toc8320_2341194836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2_2341194836" w:tgtFrame="#__RefHeading___Toc8322_2341194836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4_2341194836" w:tgtFrame="#__RefHeading___Toc8324_2341194836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6_2341194836" w:tgtFrame="#__RefHeading___Toc8326_2341194836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28_2341194836" w:tgtFrame="#__RefHeading___Toc8328_2341194836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30_2341194836" w:tgtFrame="#__RefHeading___Toc8330_2341194836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32_2341194836" w:tgtFrame="#__RefHeading___Toc8332_2341194836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34_2341194836" w:tgtFrame="#__RefHeading___Toc8334_2341194836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36_2341194836" w:tgtFrame="#__RefHeading___Toc8336_2341194836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340_2341194836" w:tgtFrame="#__RefHeading___Toc8340_2341194836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18_2308192898" w:tgtFrame="#__RefHeading___Toc918_2308192898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346_2341194836" w:tgtFrame="#__RefHeading___Toc8346_2341194836">
            <w:r>
              <w:rPr>
                <w:webHidden/>
                <w:rStyle w:val="Style14"/>
                <w:vanish w:val="false"/>
              </w:rPr>
              <w:t>2.3.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48_2341194836" w:tgtFrame="#__RefHeading___Toc8348_2341194836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 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52_2341194836" w:tgtFrame="#__RefHeading___Toc8352_2341194836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54_2341194836" w:tgtFrame="#__RefHeading___Toc8354_2341194836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356_2341194836" w:tgtFrame="#__RefHeading___Toc8356_2341194836">
            <w:r>
              <w:rPr>
                <w:webHidden/>
                <w:rStyle w:val="Style14"/>
                <w:vanish w:val="false"/>
              </w:rPr>
              <w:t xml:space="preserve">5.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13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_RefHeading___Toc8320_2341194836"/>
      <w:bookmarkStart w:id="1" w:name="_Toc75446566"/>
      <w:bookmarkStart w:id="2" w:name="_Toc51339692"/>
      <w:bookmarkEnd w:id="0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8322_2341194836"/>
      <w:bookmarkStart w:id="4" w:name="_Toc75446567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i w:val="false"/>
                <w:sz w:val="24"/>
                <w:szCs w:val="24"/>
                <w:shd w:fill="auto" w:val="clear"/>
              </w:rPr>
              <w:t>ТЭЦ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i w:val="false"/>
                <w:sz w:val="24"/>
                <w:szCs w:val="24"/>
                <w:shd w:fill="auto" w:val="clear"/>
              </w:rPr>
              <w:t>Теплоэлектроцентраль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АЗ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Аварийный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9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8324_2341194836"/>
      <w:bookmarkStart w:id="7" w:name="_Toc46743506"/>
      <w:bookmarkStart w:id="8" w:name="_Toc75446568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9"/>
          <w:rFonts w:eastAsia="Calibri"/>
          <w:b w:val="false"/>
          <w:bCs/>
          <w:i w:val="false"/>
          <w:sz w:val="24"/>
          <w:szCs w:val="24"/>
          <w:highlight w:val="white"/>
          <w:shd w:fill="auto" w:val="clear"/>
        </w:rPr>
        <w:t xml:space="preserve">ОКДП2 </w:t>
      </w:r>
      <w:r>
        <w:rPr>
          <w:b/>
          <w:bCs/>
          <w:sz w:val="26"/>
          <w:szCs w:val="26"/>
          <w:highlight w:val="white"/>
        </w:rPr>
        <w:t>27.11.4</w:t>
      </w:r>
      <w:r>
        <w:rPr>
          <w:rStyle w:val="Style9"/>
          <w:rFonts w:eastAsia="Calibri"/>
          <w:b w:val="false"/>
          <w:bCs/>
          <w:i w:val="false"/>
          <w:sz w:val="24"/>
          <w:szCs w:val="24"/>
          <w:shd w:fill="auto" w:val="clear"/>
        </w:rPr>
        <w:t xml:space="preserve"> Поставка трансформатора для формирования аварийного запаса Филиала ПАО «РусГидро» - «Приморский» (далее — Продукция).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8326_2341194836"/>
      <w:bookmarkStart w:id="10" w:name="_Toc75446569"/>
      <w:bookmarkStart w:id="11" w:name="_Toc46743507"/>
      <w:bookmarkEnd w:id="9"/>
      <w:r>
        <w:rPr/>
        <w:t xml:space="preserve">Цель </w:t>
      </w:r>
      <w:bookmarkEnd w:id="11"/>
      <w:r>
        <w:rPr/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bookmarkStart w:id="12" w:name="__RefHeading___Toc8328_2341194836"/>
      <w:bookmarkEnd w:id="12"/>
      <w:r>
        <w:rPr>
          <w:rStyle w:val="Style9"/>
          <w:rFonts w:eastAsia="Calibri"/>
          <w:b w:val="false"/>
          <w:bCs/>
          <w:i w:val="false"/>
          <w:color w:val="000000"/>
          <w:sz w:val="24"/>
          <w:szCs w:val="24"/>
          <w:shd w:fill="auto" w:val="clear"/>
        </w:rPr>
        <w:t>Соблюдение норм требований </w:t>
      </w:r>
      <w:r>
        <w:fldChar w:fldCharType="begin"/>
      </w:r>
      <w:r>
        <w:rPr>
          <w:rStyle w:val="Hyperlink"/>
          <w:sz w:val="24"/>
          <w:u w:val="none"/>
          <w:szCs w:val="24"/>
          <w:bCs/>
          <w:rFonts w:eastAsia="Calibri"/>
          <w:color w:val="000000"/>
        </w:rPr>
        <w:instrText xml:space="preserve"> HYPERLINK "https://base.garant.ru/405885259/" \l "block_1000"</w:instrText>
      </w:r>
      <w:r>
        <w:rPr>
          <w:rStyle w:val="Hyperlink"/>
          <w:sz w:val="24"/>
          <w:u w:val="none"/>
          <w:szCs w:val="24"/>
          <w:bCs/>
          <w:rFonts w:eastAsia="Calibri"/>
          <w:color w:val="000000"/>
        </w:rPr>
        <w:fldChar w:fldCharType="separate"/>
      </w:r>
      <w:r>
        <w:rPr>
          <w:rStyle w:val="Hyperlink"/>
          <w:rFonts w:eastAsia="Calibri"/>
          <w:bCs/>
          <w:color w:val="000000"/>
          <w:sz w:val="24"/>
          <w:szCs w:val="24"/>
          <w:u w:val="none"/>
        </w:rPr>
        <w:t>Правил</w:t>
      </w:r>
      <w:r>
        <w:rPr>
          <w:rStyle w:val="Hyperlink"/>
          <w:sz w:val="24"/>
          <w:u w:val="none"/>
          <w:szCs w:val="24"/>
          <w:bCs/>
          <w:rFonts w:eastAsia="Calibri"/>
          <w:color w:val="000000"/>
        </w:rPr>
        <w:fldChar w:fldCharType="end"/>
      </w:r>
      <w:r>
        <w:rPr>
          <w:rStyle w:val="Style9"/>
          <w:rFonts w:eastAsia="Calibri"/>
          <w:b w:val="false"/>
          <w:bCs/>
          <w:i w:val="false"/>
          <w:color w:val="000000"/>
          <w:sz w:val="24"/>
          <w:szCs w:val="24"/>
          <w:shd w:fill="auto" w:val="clear"/>
        </w:rPr>
        <w:t> технической эксплуатации электрических станций и сетей Российской Федерации, утвержденных </w:t>
      </w:r>
      <w:hyperlink r:id="rId2" w:tgtFrame="https://base.garant.ru/405885259/">
        <w:r>
          <w:rPr>
            <w:rStyle w:val="Hyperlink"/>
            <w:rFonts w:eastAsia="Calibri"/>
            <w:bCs/>
            <w:color w:val="000000"/>
            <w:sz w:val="24"/>
            <w:szCs w:val="24"/>
            <w:u w:val="none"/>
          </w:rPr>
          <w:t>приказом</w:t>
        </w:r>
      </w:hyperlink>
      <w:r>
        <w:rPr>
          <w:rStyle w:val="Style9"/>
          <w:rFonts w:eastAsia="Calibri"/>
          <w:b w:val="false"/>
          <w:bCs/>
          <w:i w:val="false"/>
          <w:color w:val="000000"/>
          <w:sz w:val="24"/>
          <w:szCs w:val="24"/>
          <w:shd w:fill="auto" w:val="clear"/>
        </w:rPr>
        <w:t> Минэнерго России от 4 октября 2022 г. № 1070.</w:t>
      </w:r>
    </w:p>
    <w:p>
      <w:pPr>
        <w:pStyle w:val="Heading4"/>
        <w:numPr>
          <w:ilvl w:val="1"/>
          <w:numId w:val="3"/>
        </w:numPr>
        <w:rPr/>
      </w:pPr>
      <w:bookmarkStart w:id="13" w:name="_Toc46743508"/>
      <w:bookmarkStart w:id="14" w:name="_Toc75446570"/>
      <w:r>
        <w:rPr/>
        <w:t>Существующее положение</w:t>
      </w:r>
      <w:bookmarkEnd w:id="13"/>
      <w:bookmarkEnd w:id="14"/>
    </w:p>
    <w:p>
      <w:pPr>
        <w:pStyle w:val="Normal"/>
        <w:spacing w:lineRule="auto" w:line="276"/>
        <w:jc w:val="both"/>
        <w:rPr>
          <w:rStyle w:val="Style9"/>
          <w:b w:val="false"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rStyle w:val="Style9"/>
          <w:b w:val="false"/>
          <w:i w:val="false"/>
          <w:color w:val="000000"/>
          <w:sz w:val="24"/>
          <w:szCs w:val="24"/>
          <w:shd w:fill="auto" w:val="clear"/>
        </w:rPr>
        <w:t xml:space="preserve">Основное оборудование </w:t>
      </w:r>
      <w:r>
        <w:rPr>
          <w:rStyle w:val="Style9"/>
          <w:rFonts w:eastAsia="Calibri"/>
          <w:b w:val="false"/>
          <w:bCs/>
          <w:i w:val="false"/>
          <w:color w:val="000000"/>
          <w:sz w:val="24"/>
          <w:szCs w:val="24"/>
          <w:shd w:fill="auto" w:val="clear"/>
        </w:rPr>
        <w:t xml:space="preserve">Филиала ПАО «РусГидро» - «Приморский» </w:t>
      </w:r>
      <w:r>
        <w:rPr>
          <w:rStyle w:val="Style9"/>
          <w:b w:val="false"/>
          <w:i w:val="false"/>
          <w:color w:val="000000"/>
          <w:sz w:val="24"/>
          <w:szCs w:val="24"/>
          <w:shd w:fill="auto" w:val="clear"/>
        </w:rPr>
        <w:t xml:space="preserve">(Владивостокская ТЭЦ-2)-  не полностью обеспечено аварийным запасом для оперативного устранения последствий аварийных ситуаций. </w:t>
      </w:r>
    </w:p>
    <w:p>
      <w:pPr>
        <w:pStyle w:val="Normal"/>
        <w:spacing w:lineRule="auto" w:line="276"/>
        <w:jc w:val="both"/>
        <w:rPr>
          <w:rStyle w:val="Style9"/>
          <w:b w:val="false"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i w:val="false"/>
          <w:color w:val="000000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15" w:name="__RefHeading___Toc8330_2341194836"/>
      <w:bookmarkStart w:id="16" w:name="_Toc51339693"/>
      <w:bookmarkStart w:id="17" w:name="_Toc75446573"/>
      <w:bookmarkEnd w:id="15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_RefHeading___Toc8332_2341194836"/>
      <w:bookmarkStart w:id="19" w:name="_Toc75446574"/>
      <w:bookmarkEnd w:id="18"/>
      <w:r>
        <w:rPr/>
        <w:t>Требования к объемам и срокам поставки</w:t>
      </w:r>
      <w:bookmarkEnd w:id="19"/>
    </w:p>
    <w:p>
      <w:pPr>
        <w:pStyle w:val="Heading3"/>
        <w:numPr>
          <w:ilvl w:val="2"/>
          <w:numId w:val="3"/>
        </w:numPr>
        <w:rPr/>
      </w:pPr>
      <w:bookmarkStart w:id="20" w:name="__RefHeading___Toc8334_2341194836"/>
      <w:bookmarkStart w:id="21" w:name="_Toc75446575"/>
      <w:bookmarkEnd w:id="20"/>
      <w:r>
        <w:rPr/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2" w:name="__RefHeading___Toc8336_2341194836"/>
      <w:bookmarkStart w:id="23" w:name="_Toc75446576"/>
      <w:bookmarkStart w:id="24" w:name="_Toc51339695"/>
      <w:bookmarkEnd w:id="22"/>
      <w:r>
        <w:rPr>
          <w:sz w:val="24"/>
          <w:szCs w:val="24"/>
        </w:rPr>
        <w:t xml:space="preserve">Таблица 1.1 Перечень </w:t>
      </w:r>
      <w:bookmarkEnd w:id="24"/>
      <w:r>
        <w:rPr>
          <w:sz w:val="24"/>
          <w:szCs w:val="24"/>
        </w:rPr>
        <w:t>и объем закупаемой продукции</w:t>
      </w:r>
      <w:bookmarkEnd w:id="23"/>
    </w:p>
    <w:tbl>
      <w:tblPr>
        <w:tblW w:w="980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3"/>
        <w:gridCol w:w="4624"/>
        <w:gridCol w:w="1963"/>
        <w:gridCol w:w="1493"/>
        <w:gridCol w:w="1072"/>
      </w:tblGrid>
      <w:tr>
        <w:trPr>
          <w:tblHeader w:val="true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blHeader w:val="true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Трансформатор</w:t>
            </w:r>
          </w:p>
          <w:p>
            <w:pPr>
              <w:pStyle w:val="Style35"/>
              <w:widowControl w:val="false"/>
              <w:rPr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highlight w:val="yellow"/>
              </w:rPr>
            </w:pPr>
            <w:r>
              <w:rPr>
                <w:i/>
                <w:iCs/>
                <w:color w:val="000000"/>
                <w:sz w:val="24"/>
                <w:szCs w:val="24"/>
                <w:highlight w:val="white"/>
              </w:rPr>
              <w:t>АТДЦТН-125000/220/110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</w:tbl>
    <w:p>
      <w:pPr>
        <w:pStyle w:val="Heading3"/>
        <w:ind w:left="0" w:hanging="0"/>
        <w:rPr>
          <w:b w:val="false"/>
          <w:sz w:val="28"/>
          <w:szCs w:val="28"/>
          <w:shd w:fill="FFFF00" w:val="clear"/>
        </w:rPr>
      </w:pPr>
      <w:r>
        <w:rPr>
          <w:b w:val="false"/>
          <w:sz w:val="28"/>
          <w:szCs w:val="28"/>
          <w:shd w:fill="FFFF00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5" w:name="__RefHeading___Toc8340_2341194836"/>
      <w:bookmarkStart w:id="26" w:name="_Toc75446578"/>
      <w:bookmarkStart w:id="27" w:name="_Toc51339696"/>
      <w:bookmarkEnd w:id="25"/>
      <w:r>
        <w:rPr/>
        <w:t xml:space="preserve">Требования </w:t>
      </w:r>
      <w:bookmarkEnd w:id="27"/>
      <w:r>
        <w:rPr/>
        <w:t>к срокам поставки продукции и оказания сопутствующих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8" w:name="__RefHeading___Toc8342_2341194836"/>
      <w:bookmarkStart w:id="29" w:name="_Toc75446579"/>
      <w:bookmarkStart w:id="30" w:name="_Toc50125127"/>
      <w:bookmarkStart w:id="31" w:name="_Toc51339697"/>
      <w:bookmarkStart w:id="32" w:name="_Toc501251261"/>
      <w:bookmarkEnd w:id="28"/>
      <w:bookmarkEnd w:id="32"/>
      <w:r>
        <w:rPr>
          <w:sz w:val="24"/>
          <w:szCs w:val="24"/>
        </w:rPr>
        <w:t xml:space="preserve">Таблица 2.1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</w:rPr>
        <w:t>поставки продукции</w:t>
      </w:r>
      <w:bookmarkEnd w:id="29"/>
      <w:r>
        <w:rPr>
          <w:sz w:val="24"/>
          <w:szCs w:val="24"/>
        </w:rPr>
        <w:t xml:space="preserve"> </w:t>
      </w:r>
    </w:p>
    <w:tbl>
      <w:tblPr>
        <w:tblpPr w:bottomFromText="0" w:horzAnchor="margin" w:leftFromText="180" w:rightFromText="180" w:tblpX="0" w:tblpY="191" w:topFromText="0" w:vertAnchor="text"/>
        <w:tblW w:w="97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3230"/>
        <w:gridCol w:w="2302"/>
        <w:gridCol w:w="3109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Трансформатор АТДЦТН-125000/220/110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В течение 200 (двухсот) календарных дней с даты заключения договора.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before="240" w:after="60"/>
        <w:ind w:firstLine="708"/>
        <w:jc w:val="both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Cs w:val="24"/>
        </w:rPr>
        <w:t>.</w:t>
      </w:r>
    </w:p>
    <w:p>
      <w:pPr>
        <w:pStyle w:val="Heading4"/>
        <w:numPr>
          <w:ilvl w:val="1"/>
          <w:numId w:val="3"/>
        </w:numPr>
        <w:rPr/>
      </w:pPr>
      <w:bookmarkStart w:id="34" w:name="__RefHeading___Toc8346_2341194836"/>
      <w:bookmarkStart w:id="35" w:name="_Toc51339698"/>
      <w:bookmarkStart w:id="36" w:name="_Toc75446581"/>
      <w:bookmarkStart w:id="37" w:name="_Toc46743511"/>
      <w:bookmarkEnd w:id="34"/>
      <w:r>
        <w:rPr/>
        <w:t xml:space="preserve">Требования к </w:t>
      </w:r>
      <w:bookmarkEnd w:id="37"/>
      <w:r>
        <w:rPr/>
        <w:t>качеству продукции</w:t>
      </w:r>
      <w:bookmarkEnd w:id="3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8" w:name="__RefHeading___Toc8348_2341194836"/>
      <w:bookmarkEnd w:id="38"/>
      <w:r>
        <w:rPr>
          <w:sz w:val="24"/>
          <w:szCs w:val="24"/>
        </w:rPr>
        <w:t xml:space="preserve"> </w:t>
      </w:r>
      <w:bookmarkStart w:id="39" w:name="_Toc75446582"/>
      <w:r>
        <w:rPr>
          <w:sz w:val="24"/>
          <w:szCs w:val="24"/>
        </w:rPr>
        <w:t>Таблица 3. Требования к продукции</w:t>
      </w:r>
      <w:bookmarkEnd w:id="39"/>
      <w:r>
        <w:rPr>
          <w:sz w:val="24"/>
          <w:szCs w:val="24"/>
        </w:rPr>
        <w:t xml:space="preserve"> </w:t>
      </w:r>
      <w:bookmarkEnd w:id="35"/>
    </w:p>
    <w:p>
      <w:pPr>
        <w:pStyle w:val="Normal"/>
        <w:rPr/>
      </w:pPr>
      <w:r>
        <w:rPr>
          <w:rStyle w:val="Style9"/>
          <w:rFonts w:eastAsia="Calibri"/>
          <w:b w:val="false"/>
          <w:i w:val="false"/>
          <w:sz w:val="24"/>
          <w:szCs w:val="24"/>
          <w:shd w:fill="auto" w:val="clear"/>
        </w:rPr>
        <w:t>Силовой трансформатор, согласно Таблицы 1.1 настоящих ТТ</w:t>
      </w:r>
    </w:p>
    <w:p>
      <w:pPr>
        <w:pStyle w:val="Normal"/>
        <w:rPr>
          <w:rStyle w:val="Style9"/>
          <w:rFonts w:eastAsia="Calibri"/>
          <w:b w:val="false"/>
          <w:iCs/>
          <w:sz w:val="24"/>
          <w:szCs w:val="24"/>
          <w:shd w:fill="auto" w:val="clear"/>
        </w:rPr>
      </w:pPr>
      <w:r>
        <w:rPr>
          <w:rStyle w:val="Style9"/>
          <w:rFonts w:eastAsia="Calibri"/>
          <w:bCs/>
          <w:i w:val="false"/>
          <w:sz w:val="24"/>
          <w:szCs w:val="24"/>
          <w:shd w:fill="auto" w:val="clear"/>
        </w:rPr>
        <w:t>Наименование продукции:</w:t>
      </w:r>
      <w:r>
        <w:rPr>
          <w:rStyle w:val="Style9"/>
          <w:rFonts w:eastAsia="Calibri"/>
          <w:b w:val="false"/>
          <w:i w:val="false"/>
          <w:sz w:val="24"/>
          <w:szCs w:val="24"/>
          <w:shd w:fill="auto" w:val="clear"/>
        </w:rPr>
        <w:t xml:space="preserve"> </w:t>
      </w:r>
      <w:r>
        <w:rPr>
          <w:rStyle w:val="Style9"/>
          <w:rFonts w:eastAsia="Calibri"/>
          <w:b w:val="false"/>
          <w:iCs/>
          <w:sz w:val="24"/>
          <w:szCs w:val="24"/>
          <w:shd w:fill="auto" w:val="clear"/>
        </w:rPr>
        <w:t>Силовой трансформатор</w:t>
      </w:r>
    </w:p>
    <w:p>
      <w:pPr>
        <w:pStyle w:val="Normal"/>
        <w:rPr>
          <w:rStyle w:val="Style9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</w:rPr>
      </w:r>
    </w:p>
    <w:tbl>
      <w:tblPr>
        <w:tblW w:w="1548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486"/>
        <w:gridCol w:w="1774"/>
        <w:gridCol w:w="143"/>
        <w:gridCol w:w="1133"/>
        <w:gridCol w:w="2551"/>
        <w:gridCol w:w="2409"/>
        <w:gridCol w:w="2335"/>
        <w:gridCol w:w="2941"/>
      </w:tblGrid>
      <w:tr>
        <w:trPr/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6" w:type="dxa"/>
            <w:gridSpan w:val="4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Согласие с требованием/ указание характеристик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87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37"/>
              <w:widowControl w:val="false"/>
              <w:spacing w:lineRule="auto" w:line="240"/>
              <w:ind w:lef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Тип (марка)</w:t>
            </w:r>
          </w:p>
          <w:p>
            <w:pPr>
              <w:pStyle w:val="ListParagraph"/>
              <w:widowControl w:val="false"/>
              <w:ind w:left="57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>АТДЦТН-125000/220/110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16"/>
              <w:ind w:lef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Номинальная мощность обмоток, кВА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125000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127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125000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63000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5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при холостом ходе, кВ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230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121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10,5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 рабочее напряжение, кВ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252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126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Номинальное напряжение нейтрали, кВ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35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1.7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Yн авто / Δ - 0 - 11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 холостого хода, %, не более, </w:t>
            </w:r>
            <w:r>
              <w:rPr>
                <w:color w:val="000000"/>
                <w:sz w:val="20"/>
                <w:szCs w:val="20"/>
                <w:highlight w:val="white"/>
              </w:rPr>
              <w:t>в соответствии с  ГОСТ 17544-85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ahoma" w:cs="Times New Roman" w:ascii="Times New Roman" w:hAnsi="Times New Roman"/>
                <w:sz w:val="20"/>
                <w:szCs w:val="20"/>
                <w:lang w:eastAsia="en-US" w:bidi="en-US"/>
              </w:rPr>
              <w:t>Согласно ГОСТ – 0,40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58" w:hRule="atLeast"/>
        </w:trPr>
        <w:tc>
          <w:tcPr>
            <w:tcW w:w="709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</w:t>
            </w:r>
          </w:p>
        </w:tc>
        <w:tc>
          <w:tcPr>
            <w:tcW w:w="3403" w:type="dxa"/>
            <w:gridSpan w:val="3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Напряжение короткого замыкания %, приведенное к мощности. </w:t>
            </w:r>
            <w:r>
              <w:rPr>
                <w:color w:val="000000"/>
                <w:sz w:val="20"/>
                <w:szCs w:val="20"/>
                <w:highlight w:val="white"/>
              </w:rPr>
              <w:t>В соответствии с  ГОСТ 17544-85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-100"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ВН-СН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  <w:lang w:eastAsia="en-US" w:bidi="en-US"/>
              </w:rPr>
              <w:t>Согласно ГОСТ – 11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ВН-НН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  <w:lang w:eastAsia="en-US" w:bidi="en-US"/>
              </w:rPr>
              <w:t>Согласно ГОСТ – 45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gridSpan w:val="3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-100" w:right="-10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СН-НН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  <w:lang w:eastAsia="en-US" w:bidi="en-US"/>
              </w:rPr>
              <w:t>Согласно ГОСТ – 28</w:t>
            </w:r>
          </w:p>
        </w:tc>
        <w:tc>
          <w:tcPr>
            <w:tcW w:w="2409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lef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Потери холостого хода, не более, кВт, </w:t>
            </w:r>
            <w:r>
              <w:rPr>
                <w:color w:val="000000"/>
                <w:sz w:val="20"/>
                <w:szCs w:val="20"/>
                <w:highlight w:val="white"/>
              </w:rPr>
              <w:t>В соответствии с  ГОСТ 17544-85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ahoma" w:cs="Times New Roman" w:ascii="Times New Roman" w:hAnsi="Times New Roman"/>
                <w:sz w:val="20"/>
                <w:szCs w:val="20"/>
                <w:lang w:eastAsia="en-US" w:bidi="en-US"/>
              </w:rPr>
              <w:t>Согласно ГОСТ – 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Потери КЗ, не более, кВт </w:t>
            </w:r>
            <w:r>
              <w:rPr>
                <w:color w:val="000000"/>
                <w:sz w:val="20"/>
                <w:szCs w:val="20"/>
                <w:highlight w:val="white"/>
              </w:rPr>
              <w:t>В соответствии с  ГОСТ 17544-85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ВН-СН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jc w:val="center"/>
              <w:rPr>
                <w:sz w:val="20"/>
                <w:szCs w:val="20"/>
              </w:rPr>
            </w:pPr>
            <w:r>
              <w:rPr>
                <w:rFonts w:eastAsia="Tahoma"/>
                <w:sz w:val="20"/>
                <w:szCs w:val="20"/>
                <w:lang w:eastAsia="en-US" w:bidi="en-US"/>
              </w:rPr>
              <w:t>Согласно ГОСТ – 315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Допустимые превышения температуры отдельных элементов автотрансформатора над температурой окружающей среды, 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Масло в верхних слоях</w:t>
            </w:r>
            <w:r>
              <w:rPr>
                <w:rFonts w:cs="Times New Roman" w:ascii="Times New Roman" w:hAnsi="Times New Roman"/>
                <w:b w:val="false"/>
                <w:b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 xml:space="preserve">не более 60 °С,  обмотки  не более 70 °С, </w:t>
            </w: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Поверхности магнитной системы и элементов металлоконструкций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 </w:t>
            </w: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не более 75 °С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Автотрансформатор должен выдерживать внешние короткие замыкания на любом ответвлении обмотки при любых сочетаниях сторон питания, соответствующих режимам работы трансформатора, указанным в НД. Мощность трехфазного короткого замыкания сети – по ГОСТ Р 52719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Предоставить Расчет (расчетное обоснование) по методике изготовителя на стойкость при коротких замыканиях на предлагаемый автотрансфор-матор в соответствии с п. 6.4.1 и п. 9.3-9.7 ГОСТ Р 52719-2007, а также п. 3.13.4.1. технической политики группы РусГидро.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(расчетное обоснование) по методике изготовителя на стойкость при коротких замыканиях на предлагаемый автотрансформатор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Способ и диапазон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РПН в линии СН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РПН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Тип, производитель: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PHOA-110/1000</w:t>
            </w:r>
          </w:p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15 СТУПЕНЕЙ Uн 1,65 кВ</w:t>
            </w:r>
          </w:p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ahoma" w:cs="Times New Roman" w:ascii="Times New Roman" w:hAnsi="Times New Roman"/>
                <w:sz w:val="20"/>
                <w:szCs w:val="20"/>
                <w:lang w:eastAsia="en-US" w:bidi="en-US"/>
              </w:rPr>
              <w:t>В соответствии с Приложением 1 к ТТ.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highlight w:val="white"/>
              </w:rPr>
            </w:pPr>
            <w:r>
              <w:rPr>
                <w:iCs/>
                <w:color w:val="000000"/>
                <w:sz w:val="20"/>
                <w:szCs w:val="20"/>
                <w:highlight w:val="white"/>
              </w:rPr>
              <w:t>Предложение участника по характеристикам и параметрам, но с отклонением не более +-0,5% от требования заказчика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переключений до первой ревизии,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Соответствие требованиям МЭК 214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Механический ресурс контактора, количество переключений,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Износостойкость контактов при (0,7-1,0)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0"/>
                <w:szCs w:val="20"/>
                <w:vertAlign w:val="subscript"/>
              </w:rPr>
              <w:t>ном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количество переключений,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60 000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поддержка на территории России (в том числе сервисное обслуживание)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Датчик положения РПН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Аналоговые выходы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Система охлаждения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системы охлаждения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Комбинированная система охлаждения М/Д и М/Д/ДЦ с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ручным и автоматическим режимами управления)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Компоновка охладителей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Навесная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Конструкция охлаждающих устройств</w:t>
            </w:r>
          </w:p>
          <w:p>
            <w:pPr>
              <w:pStyle w:val="37"/>
              <w:widowControl w:val="false"/>
              <w:spacing w:lineRule="auto" w:line="216"/>
              <w:ind w:left="170"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Определяется поставщиком/изготовителем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охладителей / из них резервных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Включение циркуляции масла на отключённом трансформаторе при температуре окружающего воздуха (для системы ДЦ)  - 30°С, 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16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мощность электродвигателей системы охлаждения, кВт (обдув +циркуляция)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Напряжение питания системы охлаждения и РПН, 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170" w:right="57" w:hanging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~ 380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Цепей управления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170" w:right="57" w:hanging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>~ 220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righ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Цепей сигнализации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170" w:right="57" w:hanging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=220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конструкции насоса охладителя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6"/>
              <w:ind w:left="170" w:right="57" w:hanging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Центробежные насосы с принудительной циркуляцией масла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highlight w:val="white"/>
              </w:rPr>
              <w:t>Встроенные трансформаторы тока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</w:t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 вводах ВН:</w:t>
            </w:r>
          </w:p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По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Первичный ток, А: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предельная кратность вторичных обмоток для РЗ, 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Коэффициент защиты приборов обмотки для измерения,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Измерения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29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РЗ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10PR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под систему мониторинга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(параметры и место установки определяет Изготовитель)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firstLine="7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 вводах СН:</w:t>
            </w:r>
          </w:p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Первичный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F1115"/>
                <w:sz w:val="20"/>
                <w:szCs w:val="20"/>
                <w:highlight w:val="white"/>
              </w:rPr>
              <w:t>2000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предельная кратность вторичных обмоток для РЗ, 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Коэффициент защиты приборов обмотки для измерения,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Измерения</w:t>
            </w:r>
          </w:p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   РЗ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10PR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 вводах НН:</w:t>
            </w:r>
          </w:p>
          <w:p>
            <w:pPr>
              <w:pStyle w:val="37"/>
              <w:widowControl w:val="false"/>
              <w:spacing w:lineRule="auto" w:line="228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Первичный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6000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предельная кратность вторичных обмоток для РЗ, 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tabs>
                <w:tab w:val="clear" w:pos="708"/>
                <w:tab w:val="left" w:pos="702" w:leader="none"/>
              </w:tabs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Коэффициент защиты приборов обмотки для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        РЗ</w:t>
            </w:r>
          </w:p>
          <w:p>
            <w:pPr>
              <w:pStyle w:val="37"/>
              <w:widowControl w:val="false"/>
              <w:spacing w:lineRule="auto" w:line="228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10PR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4.5</w:t>
            </w:r>
          </w:p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 вводе нейтрали</w:t>
            </w:r>
          </w:p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Первичный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предельная кратность вторичных обмоток для РЗ, 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Коэффициент защиты приборов обмотки для измерения,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Измерения</w:t>
            </w:r>
          </w:p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        РЗ</w:t>
            </w:r>
          </w:p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10PR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 отводе общей обмотки</w:t>
            </w:r>
          </w:p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Первичный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Вторичный ток, 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Номинальная предельная кратность вторичных обмоток для РЗ, 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Коэффициент защиты приборов обмотки для измерения,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Измерения</w:t>
            </w:r>
          </w:p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0,5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153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Обмотка №                    РЗ</w:t>
            </w:r>
          </w:p>
          <w:p>
            <w:pPr>
              <w:pStyle w:val="37"/>
              <w:widowControl w:val="false"/>
              <w:spacing w:lineRule="auto" w:line="24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Класс точности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Вторичная нагрузка, 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Технические требования к конструкции, изготовлению и материалам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rPr>
                <w:sz w:val="20"/>
                <w:szCs w:val="20"/>
              </w:rPr>
            </w:pPr>
            <w:r>
              <w:rPr>
                <w:rFonts w:eastAsia="Tahoma"/>
                <w:spacing w:val="-2"/>
                <w:sz w:val="20"/>
                <w:szCs w:val="20"/>
                <w:lang w:eastAsia="en-US" w:bidi="en-US"/>
              </w:rPr>
              <w:t>Уровень разъема бака согласно п. Г 20 ГОСТ</w:t>
            </w:r>
            <w:r>
              <w:rPr>
                <w:rFonts w:eastAsia="Tahoma"/>
                <w:spacing w:val="-2"/>
                <w:sz w:val="20"/>
                <w:szCs w:val="20"/>
                <w:lang w:val="en-US" w:eastAsia="en-US" w:bidi="en-US"/>
              </w:rPr>
              <w:t> </w:t>
            </w:r>
            <w:r>
              <w:rPr>
                <w:rFonts w:eastAsia="Tahoma"/>
                <w:spacing w:val="-2"/>
                <w:sz w:val="20"/>
                <w:szCs w:val="20"/>
                <w:lang w:eastAsia="en-US" w:bidi="en-US"/>
              </w:rPr>
              <w:t>Р</w:t>
            </w:r>
            <w:r>
              <w:rPr>
                <w:rFonts w:eastAsia="Tahoma"/>
                <w:spacing w:val="-2"/>
                <w:sz w:val="20"/>
                <w:szCs w:val="20"/>
                <w:lang w:val="en-US" w:eastAsia="en-US" w:bidi="en-US"/>
              </w:rPr>
              <w:t> </w:t>
            </w:r>
            <w:r>
              <w:rPr>
                <w:rFonts w:eastAsia="Tahoma"/>
                <w:spacing w:val="-2"/>
                <w:sz w:val="20"/>
                <w:szCs w:val="20"/>
                <w:lang w:eastAsia="en-US" w:bidi="en-US"/>
              </w:rPr>
              <w:t>52719-2007</w:t>
            </w:r>
            <w:r>
              <w:rPr>
                <w:rFonts w:eastAsia="Tahoma"/>
                <w:sz w:val="20"/>
                <w:szCs w:val="20"/>
                <w:lang w:eastAsia="en-US" w:bidi="en-US"/>
              </w:rPr>
              <w:t>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ahoma" w:cs="Times New Roman" w:ascii="Times New Roman" w:hAnsi="Times New Roman"/>
                <w:sz w:val="20"/>
                <w:szCs w:val="20"/>
                <w:lang w:eastAsia="en-US" w:bidi="en-US"/>
              </w:rPr>
              <w:t>Верхний/нижний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Заземление магнитопровода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Снаружи бака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Разность сопротивлений пакетов электротехнической стали не более 10%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Отсутствие необходимости подпрессовки  обмоток и магнитопровода и замены уплотнений на весь срок службы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Наличие фильтра очистки масла от механических примесей по ГОСТР52719-2007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Панель дистанционной сигнализации режимов работы автотрансформатора и РПН на щите управления подстанции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устройств раскрепления активной части в баке от смещения (да, нет)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при транспортировке и в эксплуатации.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гибкой оболочки для защиты масла от соприкосновения с окружающим воздухом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5.9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термосифонного фильтра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5.10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Наличие газового реле АТ с двумя отключающими контактами и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двумя сигнальными контактами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струйного реле РПН с двумя отключающими контактами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индикатора потока масла в охладителях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необслуживаемого  воздухоосушителя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автоматической системы управления состоянием изоляции трансформаторов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57" w:right="-108" w:hang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Возможность подключения датчиков для определения газосодержания и влагосодержания в масле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57" w:right="-108" w:hang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Наличие внутренних и внешних датчиков для подключения системы мониторинга 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Цвет покраски автотрансформатора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Марки, типы и производители основных комплектующих: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Масло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Обмоточный провод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Электрокартон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5.19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Установка автотрансформатора горизонтальная (без уклона в сторону расширителя)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5.20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Требования к внутренней изоляции 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1516.3-96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Уровень частичных разрядов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1516.3-96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Допустимые повышения напряжения 50 Гц в сети при длительности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и количестве повышений в год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(в относительных единицах по отношению к максимальному рабочему напряжению)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1516.3-96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Допустимые перегрузки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14209-85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Степень полимеризации исходной намоточной бумаги обмоток.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менее 1250 единиц.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highlight w:val="white"/>
              </w:rPr>
              <w:t>Вводы: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>
          <w:trHeight w:val="31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ВН Типы вводов: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 твердой изоляцией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RIP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  <w:lang w:val="en-US"/>
              </w:rPr>
              <w:t>RIN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СН Типы вводов: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bCs/>
                <w:spacing w:val="-2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 твердой изоляцией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RIP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RIN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right="57"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НН Типы вводов: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 твердой изоляцией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RIP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  <w:lang w:val="en-US"/>
              </w:rPr>
              <w:t>RIN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Нейтрального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 твердой изоляцией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RIP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pacing w:val="-20"/>
                <w:sz w:val="20"/>
                <w:szCs w:val="20"/>
                <w:highlight w:val="white"/>
                <w:lang w:val="en-US"/>
              </w:rPr>
              <w:t>RIN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Требования к изоляции вводов по ГОСТ 1516.3-96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Удельная длина пути утечки внешней изоляции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9920-89 см/кВ,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2,25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Допустимые испытательные нагрузки на клеммы вводов 110 кВ и выше в горизонтальном направлении, Н, не менее. В соответствии с ГОСТ 55187-2012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eastAsia="Tahoma" w:cs="Times New Roman" w:ascii="Times New Roman" w:hAnsi="Times New Roman"/>
                <w:sz w:val="20"/>
                <w:szCs w:val="20"/>
                <w:lang w:eastAsia="en-US" w:bidi="en-US"/>
              </w:rPr>
              <w:t>В соответствии с таб. 2 ГОСТ 55187-2012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Цвет покрышек вводов ВН, СН, НН и нейтрали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6.9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Измерительный вывод для контроля изоляции вводов ВН и СН с возможностью постоянного и периодического подключения внешних устройств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 xml:space="preserve">Климатическое исполнение и стойкость к </w:t>
            </w:r>
            <w:r>
              <w:rPr>
                <w:rFonts w:cs="Times New Roman" w:ascii="Times New Roman" w:hAnsi="Times New Roman"/>
                <w:b/>
                <w:spacing w:val="-4"/>
                <w:sz w:val="20"/>
                <w:szCs w:val="20"/>
                <w:highlight w:val="white"/>
              </w:rPr>
              <w:t>воздействующим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0"/>
                <w:szCs w:val="20"/>
                <w:highlight w:val="white"/>
              </w:rPr>
              <w:t>климатическим факторам по ГОСТ 15150-69 и  ГОСТ 15543.1-89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left="-200" w:firstLine="20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Климатическое исполнение и категория размеще-          н  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highlight w:val="white"/>
              </w:rPr>
              <w:t>У1 /УХЛ1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Температура окружающего воздуха, °С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верхняя рабочая</w:t>
            </w:r>
          </w:p>
          <w:p>
            <w:pPr>
              <w:pStyle w:val="37"/>
              <w:widowControl w:val="false"/>
              <w:spacing w:lineRule="atLeast" w:line="20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нижняя рабочая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+40/+40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-45/-60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Допустимая высота установки над уровнем моря,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 1000м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Сейсмостойкость, баллов по шкале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MSK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-64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Не менее 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 расчет на сейсмостойкость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Габаритные размеры, мм: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длина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ширина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высота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Габариты транспортные, мм: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длина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ширина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высота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Масса, кг: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Транспортная (с маслом)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полная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масла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Определяется поставщиком/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изготовителем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Требования по надежности: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Срок службы до среднего ремонта,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Срок службы,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Периодичность и объем технического обслуживания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Согласно руководству по эксплуатации и ПТЭ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tabs>
                <w:tab w:val="clear" w:pos="708"/>
                <w:tab w:val="left" w:pos="475" w:leader="none"/>
              </w:tabs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Российских Сертификатов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Гарантии изготовителя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Гарантийный срок эксплуатации, месяцев, не менее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highlight w:val="white"/>
              </w:rPr>
              <w:t>Требования по экологии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Допустимый корректированный уровень звуковой мощности на расстоянии 2м от контура автотрансформатора при номинальном напряжении и частоте, дБА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Не более 85 дБа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Требования по безопасности: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Номер и дата выдачи сертификатов безопасности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Комплектность поставки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Автотрансформатор трехфазный в комплекте по ГОСТ 17544-85, ГОСТ Р 52719-2007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8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Отправка (с маслом, без масла)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 маслом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Резервное количество трансформаторного масла</w:t>
            </w:r>
          </w:p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для долива и технологических операций при монтаже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Указатель уровня масла в расширителе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стрелочного типа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со шкалой и возможностью дистанционного контроля уровня масла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(min и max)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Индикатор температуры обмотки с 4-мя контактами, с выходом 4-20 мА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Индикатор температуры масла с 4-мя контактами, с выходом 4-20 мА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  <w:highlight w:val="white"/>
              </w:rPr>
              <w:t>Датчики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  <w:highlight w:val="white"/>
              </w:rPr>
              <w:t xml:space="preserve"> температуры масла на входе и выходе охладителей (количество согласовывается дополнительно)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  <w:highlight w:val="white"/>
              </w:rPr>
              <w:t>Силикагель типа КСКГ ГОСТ-3956 для полноценной заправки термосифонных фильтров.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12.9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  <w:highlight w:val="white"/>
              </w:rPr>
              <w:t>Ус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тройство для отбора проб газа из газового реле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с уровня установки трансформатора</w:t>
            </w:r>
            <w:r>
              <w:rPr>
                <w:rFonts w:cs="Times New Roman" w:ascii="Times New Roman" w:hAnsi="Times New Roman"/>
                <w:color w:val="000000"/>
                <w:spacing w:val="-4"/>
                <w:sz w:val="20"/>
                <w:szCs w:val="20"/>
                <w:highlight w:val="white"/>
              </w:rPr>
              <w:t xml:space="preserve">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tLeast" w:line="1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12.10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52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Предохранительные клапаны с двумя контактами 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Тип отсечного клапана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электромагнитный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Тип газового реле (с двумя отключающими контактами)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Реле Бухгольца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Тип струйного реле (с двумя отключающими контактами)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Реле Бухгольца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Прибор для определения газосодержания и влагосодержания в масле (да, нет)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Контрольные кабели медные, многожильные,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в металлорукаве,  сечением  мм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(не менее):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от трансформаторов тока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от приборов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2.5</w:t>
            </w:r>
          </w:p>
          <w:p>
            <w:pPr>
              <w:pStyle w:val="37"/>
              <w:widowControl w:val="false"/>
              <w:spacing w:lineRule="auto" w:line="240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 xml:space="preserve">Все шкафы (управления системой охлаждения, сигнализации, клеммные коробки) должны быть изготовлены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со степенью защиты не менее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  <w:lang w:val="en-US"/>
              </w:rPr>
              <w:t>IP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-54 по ГОСТ 14254-96 (да, нет).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1"/>
              <w:widowControl w:val="false"/>
              <w:spacing w:lineRule="auto" w:line="228"/>
              <w:jc w:val="center"/>
              <w:rPr>
                <w:szCs w:val="20"/>
              </w:rPr>
            </w:pPr>
            <w:r>
              <w:rPr>
                <w:szCs w:val="20"/>
              </w:rPr>
              <w:t>Да</w:t>
            </w:r>
          </w:p>
          <w:p>
            <w:pPr>
              <w:pStyle w:val="111"/>
              <w:widowControl w:val="false"/>
              <w:spacing w:lineRule="auto" w:line="228"/>
              <w:jc w:val="center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характеристик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highlight w:val="white"/>
              </w:rPr>
              <w:t>Наличие контактных клемм для крепления аппаратных зажимов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Эксплуатационная документация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highlight w:val="white"/>
              </w:rPr>
              <w:t>(Технический паспорт, Протоколы испытаний, Руководство по эксплуатации и техническое описание)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на русском языке, экз./компл.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2 экз (1 на бумаге +1 экз. на электронный носитель 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highlight w:val="white"/>
              </w:rPr>
              <w:t>Маркировка, упаковка, транспортировка, условия хранения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Маркировка, упаковка и консервация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Р 52719-2007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Условия транспортирования:</w:t>
            </w:r>
          </w:p>
          <w:p>
            <w:pPr>
              <w:pStyle w:val="Annotationtext"/>
              <w:widowControl w:val="false"/>
              <w:numPr>
                <w:ilvl w:val="0"/>
                <w:numId w:val="8"/>
              </w:numPr>
              <w:rPr/>
            </w:pPr>
            <w:r>
              <w:rPr/>
              <w:t>При транспортировании оборудования категории размещения 1 без упаковки все проемы должны быть закрыты заглушками и защищены от попадания атмосферных осадков. Должна быть исключена возможность открывания дверей и крышек с целью защиты бьющихся и легко снимаемых частей.</w:t>
            </w:r>
          </w:p>
          <w:p>
            <w:pPr>
              <w:pStyle w:val="Annotationtext"/>
              <w:widowControl w:val="false"/>
              <w:numPr>
                <w:ilvl w:val="0"/>
                <w:numId w:val="8"/>
              </w:numPr>
              <w:rPr/>
            </w:pPr>
            <w:r>
              <w:rPr/>
              <w:t>Все неокрашенные металлические поверхности оборудования (винты, таблички, замки, ручки проводов и др.) должны быть подвергнуты консервации по ГОСТ 23216-78.</w:t>
            </w:r>
          </w:p>
          <w:p>
            <w:pPr>
              <w:pStyle w:val="Annotationtext"/>
              <w:widowControl w:val="false"/>
              <w:numPr>
                <w:ilvl w:val="0"/>
                <w:numId w:val="8"/>
              </w:numPr>
              <w:rPr/>
            </w:pPr>
            <w:r>
              <w:rPr>
                <w:color w:val="000000"/>
              </w:rPr>
              <w:t>Условия хранения по ГОСТ 15150 - 8ОЖ3</w:t>
            </w:r>
          </w:p>
          <w:p>
            <w:pPr>
              <w:pStyle w:val="Annotationtext"/>
              <w:widowControl w:val="false"/>
              <w:numPr>
                <w:ilvl w:val="0"/>
                <w:numId w:val="8"/>
              </w:numPr>
              <w:rPr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Условия транспортирования согласно таблицы 1 п. 2.1 ГОСТ 23216 –жесткие (Ж)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Срок сохраняемости, не менее, лет - 2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Передвижение трансформатора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Продольно-поперечное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13.4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Форма катков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С ребордой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13.5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Ширина колеи, мм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продольного перемещения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поперечного перемещения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1524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1524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13.6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Доставка оборудования до места назначения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ж/д транспортом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13.7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Наличие «шок-индикатора» на транспортной упаковке для контроля условий транспортировки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13.8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highlight w:val="white"/>
              </w:rPr>
              <w:t>Условия хранения, срок хранения, отдельно хранящихся деталей, сборочных единиц, ЗИП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Р 52719-2007</w:t>
            </w:r>
          </w:p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white"/>
              </w:rPr>
              <w:t>ГОСТ 15150-69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13.9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highlight w:val="white"/>
              </w:rPr>
              <w:t xml:space="preserve">Монтаж автотрансформатора выполняется с участием шеф-инженера  </w:t>
            </w: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фирмы - изготовителя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7"/>
              <w:widowControl w:val="false"/>
              <w:spacing w:lineRule="auto" w:line="228"/>
              <w:ind w:hanging="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bookmarkStart w:id="40" w:name="_GoBack"/>
            <w:r>
              <w:rPr>
                <w:rFonts w:cs="Times New Roman" w:ascii="Times New Roman" w:hAnsi="Times New Roman"/>
                <w:sz w:val="20"/>
                <w:szCs w:val="20"/>
              </w:rPr>
              <w:t>Сервис инженер для обеспечения гарантийных обязательств, в том числе для обеспечения консервации.</w:t>
            </w:r>
            <w:bookmarkEnd w:id="4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-//-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>14.1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Поставка эквивалентной продукции других про-изводителей возможна, но требуется соответ-ствие существующей схеме, параметрам РПН для параллельной работы с существующим ав-тотрансформатором на период замены.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rPr>
                <w:sz w:val="20"/>
                <w:szCs w:val="20"/>
                <w:highlight w:val="white"/>
              </w:rPr>
            </w:pPr>
            <w:r>
              <w:rPr>
                <w:rFonts w:eastAsia="Times New Roman"/>
                <w:color w:val="0F1115"/>
                <w:sz w:val="20"/>
                <w:szCs w:val="20"/>
                <w:highlight w:val="white"/>
              </w:rPr>
              <w:t>Новый автотрансформатор должен быть спроектирован и изготовлен с возможностью </w:t>
            </w:r>
            <w:r>
              <w:rPr>
                <w:rFonts w:eastAsia="Times New Roman"/>
                <w:b/>
                <w:color w:val="0F1115"/>
                <w:sz w:val="20"/>
                <w:szCs w:val="20"/>
                <w:highlight w:val="white"/>
              </w:rPr>
              <w:t>временной параллельной работы</w:t>
            </w:r>
            <w:r>
              <w:rPr>
                <w:rFonts w:eastAsia="Times New Roman"/>
                <w:color w:val="0F1115"/>
                <w:sz w:val="20"/>
                <w:szCs w:val="20"/>
                <w:highlight w:val="white"/>
              </w:rPr>
              <w:t> с существующим автотрансформатором типа на период поэтапной замены.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>14.2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Во всем неоговоренном автотрансф</w:t>
            </w:r>
            <w:r>
              <w:rPr>
                <w:sz w:val="20"/>
                <w:szCs w:val="20"/>
              </w:rPr>
              <w:t>орматоры должны соответствовать ГОСТ 17544-85, ГОСТ Р 52719-2007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>14.3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Отсутствие необходимости проведения КР на весь срок службы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>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t>14.4</w:t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Оснащение устройствами контроля вводов 220 кВ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14.5</w:t>
            </w:r>
          </w:p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4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комплект трансформаторов тока для пуска охлаждения по нагрузке (сторону установки определяет завод-изготовитель) Iвтор.ном - 5А, Кб.пр.- не более 5, Кл.точности - 0,5, Sном 30ВА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14.6</w:t>
            </w:r>
          </w:p>
        </w:tc>
        <w:tc>
          <w:tcPr>
            <w:tcW w:w="4536" w:type="dxa"/>
            <w:gridSpan w:val="4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Поставка эквивалентной продукции других про-изводителей возможна, но требуется соответ-ствие существующей схеме, параметрам РПН для параллельной работы с существующим ав-тотрансформатором на период замены.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к документам предоставляемым Участником в составе заявки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15.1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подтверждения соответствия заявленных характеристик и конструктива предложенной продукции (поставляемой продукции), в составе заявки необходимо предоставить в полном объёме:</w:t>
            </w:r>
          </w:p>
          <w:p>
            <w:pPr>
              <w:pStyle w:val="31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2. 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соответствия».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Декларация о соответствии должна иметь электронную регистрацию (статус действующего документа)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Высоковольтное оборудование должно иметь декларацию о соответствии (силовые трансформаторы ГОСТ Р 52719-2007, ГОСТ 1516.3-96, ГОСТ 12.2.007.2-75).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3. Габаритные чертежи с присоединительными и установочными размерами и размерами силового трансформатора выполненный в соответствии с ГОСТ Р 2.109-2023.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4. Свидетельство об утверждении типа на трансформаторы тока. Измерительные трансформаторы тока, применяемые в сфере государственного регулирования, должны иметь действующее «Свидетельство об утверждении типа», согласно Федеральному Закону от 26.06.2008 г. № 102-ФЗ «Об обеспечении единства измерений».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5. Отсканированные копии утвержденных технических условий (все страницы документа) в соответствии с которыми выпускается силовой трансформатор.</w:t>
            </w:r>
          </w:p>
          <w:p>
            <w:pPr>
              <w:pStyle w:val="Normal"/>
              <w:widowControl w:val="false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6. Ведомость ЗИП.</w:t>
            </w:r>
          </w:p>
          <w:p>
            <w:pPr>
              <w:pStyle w:val="Annotationtext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Документы, подтверждающие страну происхождения поставляемой продукции в соответствии с нормами постановления Правительства Российской Федерации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 декабря 2024 г. № 1875.</w:t>
            </w:r>
          </w:p>
          <w:p>
            <w:pPr>
              <w:pStyle w:val="311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Предоставить в составе технического предложения Участника: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1. Техническое предложение;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2. Декларацию о соответствии в соответствии с Федеральным законом от 27.12.2002 №184-ФЗ, Постановлением Правительства РФ от 23.12.2021 г. № 2425 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3. Габаритные чертежи с присоединительными и установочными размерами и размерами силового трансформатора выполненный в соответствии с ГОСТ Р 2.109-2023;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4. Свидетельство об утверждении типа на трансформаторы тока, согласно Федеральному Закону от 26.06.2008 г. № 102-ФЗ;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5. Технические условия в соответствии с которыми выпускается силовой трансформатор;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6. Ведомость ЗИП;</w:t>
            </w:r>
          </w:p>
          <w:p>
            <w:pPr>
              <w:pStyle w:val="Normal"/>
              <w:widowControl w:val="false"/>
              <w:overflowPunct w:val="false"/>
              <w:rPr>
                <w:sz w:val="16"/>
                <w:szCs w:val="16"/>
              </w:rPr>
            </w:pPr>
            <w:r>
              <w:rPr>
                <w:rFonts w:eastAsia="Tahoma" w:cs="Tahoma" w:ascii="Liberation Serif" w:hAnsi="Liberation Serif"/>
                <w:sz w:val="16"/>
                <w:szCs w:val="16"/>
                <w:lang w:eastAsia="en-US" w:bidi="en-US"/>
              </w:rPr>
              <w:t>7. Документы, подтверждающие страну происхождения поставляемой продукции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Примечание: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 Во всем, не оговоренном, трансформатор должен соответствовать требованиям ГОСТ Р 52719-2007, ГОСТ 17544-85, ГОСТ 11677-85.”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iCs/>
          <w:sz w:val="24"/>
          <w:szCs w:val="24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  <w:r>
        <w:rPr>
          <w:sz w:val="24"/>
          <w:szCs w:val="24"/>
        </w:rPr>
        <w:t>.”</w:t>
      </w:r>
    </w:p>
    <w:p>
      <w:pPr>
        <w:pStyle w:val="Normal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4103" w:leader="none"/>
        </w:tabs>
        <w:rPr/>
      </w:pPr>
      <w:r>
        <w:rPr/>
        <w:tab/>
      </w:r>
    </w:p>
    <w:p>
      <w:pPr>
        <w:pStyle w:val="Heading1"/>
        <w:numPr>
          <w:ilvl w:val="0"/>
          <w:numId w:val="3"/>
        </w:numPr>
        <w:ind w:left="357" w:hanging="357"/>
        <w:jc w:val="center"/>
        <w:rPr/>
      </w:pPr>
      <w:bookmarkStart w:id="41" w:name="__RefHeading___Toc8352_2341194836"/>
      <w:bookmarkStart w:id="42" w:name="_Toc75446583"/>
      <w:bookmarkStart w:id="43" w:name="_Toc53393312"/>
      <w:bookmarkEnd w:id="41"/>
      <w:r>
        <w:rPr/>
        <w:t>Требования к документации по ценообразованию</w:t>
      </w:r>
      <w:bookmarkEnd w:id="43"/>
      <w:r>
        <w:rPr/>
        <w:t xml:space="preserve"> на этапе закупки</w:t>
      </w:r>
      <w:bookmarkEnd w:id="4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4" w:name="_Hlk88325985"/>
      <w:r>
        <w:rPr>
          <w:sz w:val="24"/>
          <w:szCs w:val="24"/>
        </w:rPr>
        <w:t>(с учетом прилагаемой к ней инструкции по заполнению)</w:t>
      </w:r>
      <w:bookmarkEnd w:id="44"/>
      <w:r>
        <w:rPr>
          <w:sz w:val="24"/>
          <w:szCs w:val="24"/>
        </w:rPr>
        <w:t>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bookmarkStart w:id="45" w:name="_Hlk88327292"/>
      <w:r>
        <w:rPr>
          <w:sz w:val="24"/>
          <w:szCs w:val="24"/>
        </w:rPr>
        <w:t>3.2. Дополнительные документы по ценообразованию</w:t>
      </w:r>
      <w:bookmarkEnd w:id="45"/>
      <w:r>
        <w:rPr>
          <w:sz w:val="24"/>
          <w:szCs w:val="24"/>
        </w:rPr>
        <w:t xml:space="preserve"> в состав заявки не включаются.</w:t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Annotationtext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46" w:name="__RefHeading___Toc8354_2341194836"/>
      <w:bookmarkStart w:id="47" w:name="_Toc75446584"/>
      <w:bookmarkEnd w:id="46"/>
      <w:r>
        <w:rPr/>
        <w:t>Требования к документации по ценообразованию на этапе заключения (исполнения) договора</w:t>
      </w:r>
      <w:bookmarkEnd w:id="47"/>
    </w:p>
    <w:p>
      <w:pPr>
        <w:pStyle w:val="Normal"/>
        <w:numPr>
          <w:ilvl w:val="1"/>
          <w:numId w:val="3"/>
        </w:numPr>
        <w:spacing w:before="60" w:after="6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Дополнительные документы по ценообразованию не включаются.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</w:rPr>
      </w:pPr>
      <w:r>
        <w:rPr>
          <w:rFonts w:eastAsia="Calibri"/>
          <w:b/>
          <w:iC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8" w:name="__RefHeading___Toc8356_2341194836"/>
      <w:bookmarkStart w:id="49" w:name="_Toc75446585"/>
      <w:bookmarkStart w:id="50" w:name="_Toc51339699"/>
      <w:bookmarkStart w:id="51" w:name="_Toc46743519"/>
      <w:bookmarkEnd w:id="48"/>
      <w:r>
        <w:rPr>
          <w:iCs/>
        </w:rPr>
        <w:t>Приложения</w:t>
      </w:r>
      <w:bookmarkEnd w:id="49"/>
      <w:bookmarkEnd w:id="50"/>
      <w:bookmarkEnd w:id="5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9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color w:val="000000"/>
          <w:sz w:val="24"/>
          <w:szCs w:val="24"/>
          <w:shd w:fill="auto" w:val="clear"/>
        </w:rPr>
      </w:pPr>
      <w:r>
        <w:rPr>
          <w:b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i w:val="false"/>
          <w:i w:val="false"/>
          <w:color w:val="000000"/>
          <w:sz w:val="24"/>
          <w:szCs w:val="24"/>
        </w:rPr>
      </w:pPr>
      <w:r>
        <w:rPr>
          <w:rStyle w:val="Style9"/>
          <w:b w:val="false"/>
          <w:bCs/>
          <w:iCs/>
          <w:color w:val="000000"/>
          <w:sz w:val="24"/>
          <w:szCs w:val="24"/>
          <w:shd w:fill="auto" w:val="clear"/>
        </w:rPr>
        <w:t>Приложение 1. Заводской щиток АТ-4А,Б АТДЦТН-125000.110.220.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highlight w:val="yellow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highlight w:val="yellow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>
          <w:b w:val="false"/>
          <w:bCs/>
          <w:i w:val="false"/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60" w:after="0"/>
        <w:jc w:val="both"/>
        <w:rPr>
          <w:rStyle w:val="Style9"/>
          <w:b w:val="false"/>
          <w:bCs/>
          <w:i w:val="false"/>
          <w:i w:val="false"/>
          <w:color w:val="000000"/>
          <w:sz w:val="24"/>
          <w:szCs w:val="24"/>
          <w:shd w:fill="auto" w:val="clear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11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1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11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t>5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111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1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  <w:p>
    <w:pPr>
      <w:pStyle w:val="1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enforcement="1" w:cryptAlgorithmSid="14" w:cryptSpinCount="100000" w:cryptProviderType="rsaAES" w:cryptAlgorithmClass="hash" w:cryptAlgorithmType="typeAny" w:salt="2BGbfnK8IfrOqe6pf+U4uw==" w:hash="kKy235GXyHg5K46TleYIIRM6fxT2skuX3su+F9QlOqp+IUVlz+PII4q3/fggDquMek1qDVv6XRcppTPB0myp9g==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outlineLvl w:val="1"/>
    </w:pPr>
    <w:rPr/>
  </w:style>
  <w:style w:type="paragraph" w:styleId="Heading3">
    <w:name w:val="Heading 3"/>
    <w:basedOn w:val="Normal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qFormat/>
    <w:pPr>
      <w:outlineLvl w:val="3"/>
    </w:pPr>
    <w:rPr>
      <w:bCs/>
    </w:rPr>
  </w:style>
  <w:style w:type="paragraph" w:styleId="Heading5">
    <w:name w:val="Heading 5"/>
    <w:basedOn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val="4472C4" w:themeColor="accent1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1" w:customStyle="1">
    <w:name w:val="Гиперссылка1"/>
    <w:uiPriority w:val="99"/>
    <w:qFormat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uiPriority w:val="10"/>
    <w:qFormat/>
    <w:rPr>
      <w:sz w:val="28"/>
    </w:rPr>
  </w:style>
  <w:style w:type="character" w:styleId="Style3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uiPriority w:val="29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6" w:customStyle="1">
    <w:name w:val="Текст сноски Знак"/>
    <w:uiPriority w:val="99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Style12" w:customStyle="1">
    <w:name w:val="Текст примечания Знак"/>
    <w:semiHidden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5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WW8Num59z0" w:customStyle="1">
    <w:name w:val="WW8Num59z0"/>
    <w:qFormat/>
    <w:rPr/>
  </w:style>
  <w:style w:type="character" w:styleId="WW8Num58z0" w:customStyle="1">
    <w:name w:val="WW8Num58z0"/>
    <w:qFormat/>
    <w:rPr>
      <w:rFonts w:ascii="Wingdings" w:hAnsi="Wingdings" w:cs="Wingdings"/>
    </w:rPr>
  </w:style>
  <w:style w:type="character" w:styleId="WW8Num58z1" w:customStyle="1">
    <w:name w:val="WW8Num58z1"/>
    <w:qFormat/>
    <w:rPr>
      <w:rFonts w:ascii="Courier New" w:hAnsi="Courier New" w:cs="Courier New"/>
    </w:rPr>
  </w:style>
  <w:style w:type="character" w:styleId="WW8Num58z3" w:customStyle="1">
    <w:name w:val="WW8Num58z3"/>
    <w:qFormat/>
    <w:rPr>
      <w:rFonts w:ascii="Symbol" w:hAnsi="Symbol" w:cs="Symbol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Style15" w:customStyle="1">
    <w:name w:val="Символ нумерации"/>
    <w:qFormat/>
    <w:rPr>
      <w:sz w:val="24"/>
      <w:szCs w:val="24"/>
    </w:rPr>
  </w:style>
  <w:style w:type="character" w:styleId="WW8Num49z0" w:customStyle="1">
    <w:name w:val="WW8Num49z0"/>
    <w:qFormat/>
    <w:rPr/>
  </w:style>
  <w:style w:type="character" w:styleId="WW8Num47z0" w:customStyle="1">
    <w:name w:val="WW8Num47z0"/>
    <w:qFormat/>
    <w:rPr/>
  </w:style>
  <w:style w:type="character" w:styleId="WW8Num32z0" w:customStyle="1">
    <w:name w:val="WW8Num32z0"/>
    <w:qFormat/>
    <w:rPr>
      <w:rFonts w:ascii="Symbol" w:hAnsi="Symbol" w:cs="Symbol"/>
    </w:rPr>
  </w:style>
  <w:style w:type="character" w:styleId="WW8Num32z1" w:customStyle="1">
    <w:name w:val="WW8Num32z1"/>
    <w:qFormat/>
    <w:rPr>
      <w:rFonts w:ascii="Times New Roman" w:hAnsi="Times New Roman" w:eastAsia="Times New Roman" w:cs="Times New Roman"/>
    </w:rPr>
  </w:style>
  <w:style w:type="character" w:styleId="WW8Num32z3" w:customStyle="1">
    <w:name w:val="WW8Num32z3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7z0" w:customStyle="1">
    <w:name w:val="WW8Num7z0"/>
    <w:qFormat/>
    <w:rPr/>
  </w:style>
  <w:style w:type="character" w:styleId="WW8Num44z0" w:customStyle="1">
    <w:name w:val="WW8Num44z0"/>
    <w:qFormat/>
    <w:rPr>
      <w:b w:val="false"/>
      <w:i w:val="false"/>
      <w:color w:val="000000"/>
    </w:rPr>
  </w:style>
  <w:style w:type="character" w:styleId="WW8Num44z1" w:customStyle="1">
    <w:name w:val="WW8Num44z1"/>
    <w:qFormat/>
    <w:rPr>
      <w:sz w:val="24"/>
    </w:rPr>
  </w:style>
  <w:style w:type="character" w:styleId="17" w:customStyle="1">
    <w:name w:val="Номер строки1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Linenumber2" w:customStyle="1">
    <w:name w:val="line number2"/>
    <w:qFormat/>
    <w:rPr/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18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8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8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18"/>
    <w:qFormat/>
    <w:pPr/>
    <w:rPr/>
  </w:style>
  <w:style w:type="paragraph" w:styleId="Style18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9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uiPriority w:val="99"/>
    <w:pPr/>
    <w:rPr>
      <w:sz w:val="20"/>
      <w:szCs w:val="20"/>
    </w:rPr>
  </w:style>
  <w:style w:type="paragraph" w:styleId="19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0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21" w:customStyle="1">
    <w:name w:val="Колонтитул"/>
    <w:basedOn w:val="Normal"/>
    <w:qFormat/>
    <w:pPr/>
    <w:rPr/>
  </w:style>
  <w:style w:type="paragraph" w:styleId="111" w:customStyle="1">
    <w:name w:val="Верхний колонтитул1"/>
    <w:basedOn w:val="Normal"/>
    <w:semiHidden/>
    <w:qFormat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pPr/>
    <w:rPr/>
  </w:style>
  <w:style w:type="paragraph" w:styleId="Style24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pPr/>
    <w:rPr>
      <w:b/>
      <w:bCs/>
    </w:rPr>
  </w:style>
  <w:style w:type="paragraph" w:styleId="112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26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3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1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4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5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37" w:customStyle="1">
    <w:name w:val="Стиль3"/>
    <w:qFormat/>
    <w:pPr>
      <w:keepLines/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311" w:customStyle="1">
    <w:name w:val="Основной текст 31"/>
    <w:qFormat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SimSun" w:cs="Times New Roman"/>
      <w:color w:val="auto"/>
      <w:kern w:val="0"/>
      <w:sz w:val="16"/>
      <w:szCs w:val="16"/>
      <w:lang w:val="ru-RU" w:eastAsia="zh-CN" w:bidi="ar-SA"/>
    </w:rPr>
  </w:style>
  <w:style w:type="paragraph" w:styleId="Header">
    <w:name w:val="Header"/>
    <w:basedOn w:val="Style21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6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numbering" w:styleId="WW8Num59" w:customStyle="1">
    <w:name w:val="WW8Num59"/>
    <w:qFormat/>
  </w:style>
  <w:style w:type="numbering" w:styleId="WW8Num58" w:customStyle="1">
    <w:name w:val="WW8Num58"/>
    <w:qFormat/>
  </w:style>
  <w:style w:type="numbering" w:styleId="WW8Num39" w:customStyle="1">
    <w:name w:val="WW8Num39"/>
    <w:qFormat/>
  </w:style>
  <w:style w:type="numbering" w:styleId="WW8Num14" w:customStyle="1">
    <w:name w:val="WW8Num14"/>
    <w:qFormat/>
  </w:style>
  <w:style w:type="numbering" w:styleId="WW8Num26" w:customStyle="1">
    <w:name w:val="WW8Num26"/>
    <w:qFormat/>
  </w:style>
  <w:style w:type="numbering" w:styleId="WW8Num38" w:customStyle="1">
    <w:name w:val="WW8Num38"/>
    <w:qFormat/>
  </w:style>
  <w:style w:type="numbering" w:styleId="WW8Num48" w:customStyle="1">
    <w:name w:val="WW8Num48"/>
    <w:qFormat/>
  </w:style>
  <w:style w:type="numbering" w:styleId="WW8Num50" w:customStyle="1">
    <w:name w:val="WW8Num50"/>
    <w:qFormat/>
  </w:style>
  <w:style w:type="numbering" w:styleId="WW8Num49" w:customStyle="1">
    <w:name w:val="WW8Num49"/>
    <w:qFormat/>
  </w:style>
  <w:style w:type="numbering" w:styleId="WW8Num47" w:customStyle="1">
    <w:name w:val="WW8Num47"/>
    <w:qFormat/>
  </w:style>
  <w:style w:type="numbering" w:styleId="WW8Num32" w:customStyle="1">
    <w:name w:val="WW8Num32"/>
    <w:qFormat/>
  </w:style>
  <w:style w:type="numbering" w:styleId="WW8Num43" w:customStyle="1">
    <w:name w:val="WW8Num43"/>
    <w:qFormat/>
  </w:style>
  <w:style w:type="numbering" w:styleId="WW8Num8" w:customStyle="1">
    <w:name w:val="WW8Num8"/>
    <w:qFormat/>
  </w:style>
  <w:style w:type="numbering" w:styleId="WW8Num7" w:customStyle="1">
    <w:name w:val="WW8Num7"/>
    <w:qFormat/>
  </w:style>
  <w:style w:type="numbering" w:styleId="WW8Num44" w:customStyle="1">
    <w:name w:val="WW8Num4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e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b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3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5B9BD5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e.garant.ru/405885259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876D-93D9-417D-8960-FD1FE60E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AlterOffice/2025.3.0.0$Linux_X86_64 LibreOffice_project/4ba31b6a4271509a884f95065d0a726e9cb2bdbb</Application>
  <AppVersion>15.0000</AppVersion>
  <Pages>20</Pages>
  <Words>3349</Words>
  <Characters>22259</Characters>
  <CharactersWithSpaces>24910</CharactersWithSpaces>
  <Paragraphs>869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2023-11-29T13:29:00Z</dcterms:created>
  <dc:creator>Быстров Олег Геннадьевич</dc:creator>
  <dc:description/>
  <dc:language>ru-RU</dc:language>
  <cp:lastModifiedBy>konyushokdo@corp.gidroogk.com</cp:lastModifiedBy>
  <dcterms:modified xsi:type="dcterms:W3CDTF">2026-07-13T15:03:36Z</dcterms:modified>
  <cp:revision>80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