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/>
      </w:pPr>
      <w:r>
        <w:rPr/>
        <w:t xml:space="preserve">на «Поставку компрессорного оборудования высокого давления Гоцатлинской ГЭС» филиала ПАО «РусГидро»-«Дагестанского филиала» </w:t>
      </w:r>
    </w:p>
    <w:p>
      <w:pPr>
        <w:pStyle w:val="Normal"/>
        <w:jc w:val="center"/>
        <w:rPr/>
      </w:pPr>
      <w:r>
        <w:rPr>
          <w:rStyle w:val="Style8"/>
          <w:rFonts w:eastAsia="Calibri"/>
          <w:b w:val="false"/>
          <w:bCs w:val="false"/>
          <w:i w:val="false"/>
          <w:iCs w:val="false"/>
          <w:sz w:val="26"/>
          <w:szCs w:val="26"/>
          <w:shd w:fill="FFFFFF" w:val="clear"/>
          <w:lang w:val="en-US"/>
        </w:rPr>
        <w:t>Лот№ --ТПиР-2029-ДФ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kern w:val="2"/>
              <w:lang w:val="en-US" w:eastAsia="en-US"/>
              <w14:ligatures w14:val="standardContextual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2276701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2"/>
                <w:lang w:val="en-US" w:eastAsia="en-US"/>
                <w14:ligatures w14:val="standardContextual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_Toc227670194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76701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_Toc227670195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76701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_Toc227670196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76701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_Toc227670197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7670198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>
              <w:rPr>
                <w:rStyle w:val="Style14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_Toc227670198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kern w:val="2"/>
              <w:lang w:val="en-US" w:eastAsia="en-US"/>
              <w14:ligatures w14:val="standardContextual"/>
            </w:rPr>
          </w:pPr>
          <w:hyperlink w:anchor="_Toc2276701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_Toc227670199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7670200">
            <w:r>
              <w:rPr>
                <w:webHidden/>
                <w:rStyle w:val="Style14"/>
                <w:iCs/>
                <w:vanish w:val="false"/>
              </w:rPr>
              <w:t>1.5.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_Toc227670200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kern w:val="2"/>
              <w:lang w:val="en-US" w:eastAsia="en-US"/>
              <w14:ligatures w14:val="standardContextual"/>
            </w:rPr>
          </w:pPr>
          <w:hyperlink w:anchor="_Toc227670201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2"/>
                <w:lang w:val="en-US" w:eastAsia="en-US"/>
                <w14:ligatures w14:val="standardContextual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_Toc227670201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7670202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_Toc227670202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7670203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_Toc227670203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kern w:val="2"/>
              <w:lang w:val="en-US" w:eastAsia="en-US"/>
              <w14:ligatures w14:val="standardContextual"/>
            </w:rPr>
          </w:pPr>
          <w:hyperlink w:anchor="_Toc22767020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_Toc227670204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 Перечень и объем закупаемой продукции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7670205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_Toc227670205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kern w:val="2"/>
              <w:lang w:val="en-US" w:eastAsia="en-US"/>
              <w14:ligatures w14:val="standardContextual"/>
            </w:rPr>
          </w:pPr>
          <w:hyperlink w:anchor="_Toc22767020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_Toc227670206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7670207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_Toc227670207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kern w:val="2"/>
              <w:lang w:val="en-US" w:eastAsia="en-US"/>
              <w14:ligatures w14:val="standardContextual"/>
            </w:rPr>
          </w:pPr>
          <w:hyperlink w:anchor="_Toc22767020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_Toc227670208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kern w:val="2"/>
              <w:lang w:val="en-US" w:eastAsia="en-US"/>
              <w14:ligatures w14:val="standardContextual"/>
            </w:rPr>
          </w:pPr>
          <w:hyperlink w:anchor="_Toc227670209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2"/>
                <w:lang w:val="en-US" w:eastAsia="en-US"/>
                <w14:ligatures w14:val="standardContextual"/>
              </w:rPr>
              <w:tab/>
            </w:r>
            <w:r>
              <w:rPr>
                <w:rStyle w:val="Style14"/>
              </w:rPr>
              <w:t>Требования к документации по ценообразованию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_Toc227670209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kern w:val="2"/>
              <w:lang w:val="en-US" w:eastAsia="en-US"/>
              <w14:ligatures w14:val="standardContextual"/>
            </w:rPr>
          </w:pPr>
          <w:hyperlink w:anchor="_Toc227670210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2"/>
                <w:lang w:val="en-US" w:eastAsia="en-US"/>
                <w14:ligatures w14:val="standardContextual"/>
              </w:rPr>
              <w:tab/>
            </w:r>
            <w:r>
              <w:rPr>
                <w:rStyle w:val="Style14"/>
                <w:iCs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_Toc227670210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7670211">
            <w:r>
              <w:rPr>
                <w:webHidden/>
                <w:rStyle w:val="Style14"/>
                <w:iCs/>
                <w:vanish w:val="false"/>
              </w:rPr>
              <w:t>4.1.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>
              <w:rPr>
                <w:rStyle w:val="Style14"/>
              </w:rPr>
              <w:t>Приложение №1: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_Toc227670211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7670212">
            <w:r>
              <w:rPr>
                <w:webHidden/>
                <w:rStyle w:val="Style14"/>
                <w:bCs/>
                <w:vanish w:val="false"/>
              </w:rPr>
              <w:t>4.1.1.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>
              <w:rPr>
                <w:rStyle w:val="Style14"/>
                <w:bCs/>
              </w:rPr>
              <w:t>;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_Toc227670212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7670213">
            <w:r>
              <w:rPr>
                <w:webHidden/>
                <w:rStyle w:val="Style14"/>
                <w:bCs/>
                <w:vanish w:val="false"/>
              </w:rPr>
              <w:t>4.1.2.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  <w:t xml:space="preserve">Приложение №2 </w:t>
            </w:r>
            <w:r>
              <w:rPr>
                <w:rStyle w:val="Style14"/>
                <w:bCs/>
              </w:rPr>
              <w:t>;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_Toc227670213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7670214">
            <w:r>
              <w:rPr>
                <w:webHidden/>
                <w:rStyle w:val="Style14"/>
                <w:bCs/>
                <w:vanish w:val="false"/>
              </w:rPr>
              <w:t>4.1.3.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</w:hyperlink>
          <w:r>
            <w:rPr>
              <w:rFonts w:eastAsia="" w:cs="" w:ascii="Calibri" w:hAnsi="Calibri" w:asciiTheme="minorHAnsi" w:cstheme="minorBidi" w:eastAsiaTheme="minorEastAsia" w:hAnsiTheme="minorHAnsi"/>
              <w:kern w:val="2"/>
              <w:sz w:val="24"/>
              <w:szCs w:val="24"/>
              <w:lang w:val="en-US" w:eastAsia="en-US"/>
              <w14:ligatures w14:val="standardContextual"/>
            </w:rPr>
            <w:t xml:space="preserve"> Приложение №3 </w:t>
          </w:r>
          <w:r>
            <w:rPr>
              <w:sz w:val="24"/>
              <w:kern w:val="2"/>
              <w:szCs w:val="24"/>
              <w:rFonts w:eastAsia="" w:cs="" w:ascii="Calibri" w:hAnsi="Calibri"/>
              <w:lang w:val="en-US" w:eastAsia="en-US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214892763"/>
      <w:bookmarkStart w:id="1" w:name="_Toc227670194"/>
      <w:bookmarkStart w:id="2" w:name="_Toc125709831"/>
      <w:r>
        <w:rPr>
          <w:lang w:val="ru-RU"/>
        </w:rPr>
        <w:t>Общие сведения</w:t>
      </w:r>
      <w:bookmarkEnd w:id="0"/>
      <w:bookmarkEnd w:id="1"/>
      <w:bookmarkEnd w:id="2"/>
    </w:p>
    <w:p>
      <w:pPr>
        <w:pStyle w:val="Heading4"/>
        <w:numPr>
          <w:ilvl w:val="1"/>
          <w:numId w:val="3"/>
        </w:numPr>
        <w:rPr/>
      </w:pPr>
      <w:bookmarkStart w:id="3" w:name="_Toc214892764"/>
      <w:bookmarkStart w:id="4" w:name="_Toc46743505"/>
      <w:bookmarkStart w:id="5" w:name="_Toc227670195"/>
      <w:bookmarkStart w:id="6" w:name="_Toc125709832"/>
      <w:r>
        <w:rPr/>
        <w:t>Обозначения и сокращения</w:t>
      </w:r>
      <w:bookmarkEnd w:id="3"/>
      <w:bookmarkEnd w:id="4"/>
      <w:bookmarkEnd w:id="5"/>
      <w:bookmarkEnd w:id="6"/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ffff7"/>
        <w:tblW w:w="7366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8"/>
        <w:gridCol w:w="274"/>
        <w:gridCol w:w="5954"/>
      </w:tblGrid>
      <w:tr>
        <w:trPr/>
        <w:tc>
          <w:tcPr>
            <w:tcW w:w="11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ТТ</w:t>
            </w:r>
          </w:p>
        </w:tc>
        <w:tc>
          <w:tcPr>
            <w:tcW w:w="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-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технические требования;</w:t>
            </w:r>
          </w:p>
        </w:tc>
      </w:tr>
      <w:tr>
        <w:trPr/>
        <w:tc>
          <w:tcPr>
            <w:tcW w:w="11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ПАО</w:t>
            </w:r>
          </w:p>
        </w:tc>
        <w:tc>
          <w:tcPr>
            <w:tcW w:w="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-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публичное акционерное общество;</w:t>
            </w:r>
          </w:p>
        </w:tc>
      </w:tr>
      <w:tr>
        <w:trPr/>
        <w:tc>
          <w:tcPr>
            <w:tcW w:w="11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ОП</w:t>
            </w:r>
          </w:p>
        </w:tc>
        <w:tc>
          <w:tcPr>
            <w:tcW w:w="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-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обособленное подразделение;</w:t>
            </w:r>
          </w:p>
        </w:tc>
      </w:tr>
      <w:tr>
        <w:trPr/>
        <w:tc>
          <w:tcPr>
            <w:tcW w:w="11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ГЭС</w:t>
            </w:r>
          </w:p>
        </w:tc>
        <w:tc>
          <w:tcPr>
            <w:tcW w:w="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-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>гидроэлектростанция;</w:t>
            </w:r>
          </w:p>
        </w:tc>
      </w:tr>
      <w:tr>
        <w:trPr/>
        <w:tc>
          <w:tcPr>
            <w:tcW w:w="11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ПНР</w:t>
            </w:r>
          </w:p>
        </w:tc>
        <w:tc>
          <w:tcPr>
            <w:tcW w:w="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-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пусконаладочные работы;</w:t>
            </w:r>
          </w:p>
        </w:tc>
      </w:tr>
      <w:tr>
        <w:trPr/>
        <w:tc>
          <w:tcPr>
            <w:tcW w:w="11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ППР</w:t>
            </w:r>
          </w:p>
        </w:tc>
        <w:tc>
          <w:tcPr>
            <w:tcW w:w="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-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проект производства работ;</w:t>
            </w:r>
          </w:p>
        </w:tc>
      </w:tr>
      <w:tr>
        <w:trPr/>
        <w:tc>
          <w:tcPr>
            <w:tcW w:w="11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ПБ</w:t>
            </w:r>
          </w:p>
        </w:tc>
        <w:tc>
          <w:tcPr>
            <w:tcW w:w="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-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пожарная безопасность;</w:t>
            </w:r>
          </w:p>
        </w:tc>
      </w:tr>
      <w:tr>
        <w:trPr/>
        <w:tc>
          <w:tcPr>
            <w:tcW w:w="11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ПТС</w:t>
            </w:r>
          </w:p>
        </w:tc>
        <w:tc>
          <w:tcPr>
            <w:tcW w:w="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-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производственно-техническая служба;</w:t>
            </w:r>
          </w:p>
        </w:tc>
      </w:tr>
      <w:tr>
        <w:trPr/>
        <w:tc>
          <w:tcPr>
            <w:tcW w:w="11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ВОР</w:t>
            </w:r>
          </w:p>
        </w:tc>
        <w:tc>
          <w:tcPr>
            <w:tcW w:w="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-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ведомость объема работ;</w:t>
            </w:r>
          </w:p>
        </w:tc>
      </w:tr>
      <w:tr>
        <w:trPr/>
        <w:tc>
          <w:tcPr>
            <w:tcW w:w="11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ТПиР</w:t>
            </w:r>
          </w:p>
        </w:tc>
        <w:tc>
          <w:tcPr>
            <w:tcW w:w="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-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техническое перевооружение и реконструкция;</w:t>
            </w:r>
          </w:p>
        </w:tc>
      </w:tr>
      <w:tr>
        <w:trPr/>
        <w:tc>
          <w:tcPr>
            <w:tcW w:w="11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РД</w:t>
            </w:r>
          </w:p>
        </w:tc>
        <w:tc>
          <w:tcPr>
            <w:tcW w:w="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-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рабочая документация;</w:t>
            </w:r>
          </w:p>
        </w:tc>
      </w:tr>
      <w:tr>
        <w:trPr/>
        <w:tc>
          <w:tcPr>
            <w:tcW w:w="11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СМР</w:t>
            </w:r>
          </w:p>
        </w:tc>
        <w:tc>
          <w:tcPr>
            <w:tcW w:w="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-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строительно-монтажные работы;</w:t>
            </w:r>
          </w:p>
        </w:tc>
      </w:tr>
      <w:tr>
        <w:trPr/>
        <w:tc>
          <w:tcPr>
            <w:tcW w:w="11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СИЗ</w:t>
            </w:r>
          </w:p>
        </w:tc>
        <w:tc>
          <w:tcPr>
            <w:tcW w:w="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-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средства индивидуальной защиты;</w:t>
            </w:r>
          </w:p>
        </w:tc>
      </w:tr>
      <w:tr>
        <w:trPr/>
        <w:tc>
          <w:tcPr>
            <w:tcW w:w="11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НТД</w:t>
            </w:r>
          </w:p>
        </w:tc>
        <w:tc>
          <w:tcPr>
            <w:tcW w:w="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-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нормативно-техническая документация;</w:t>
            </w:r>
          </w:p>
        </w:tc>
      </w:tr>
      <w:tr>
        <w:trPr/>
        <w:tc>
          <w:tcPr>
            <w:tcW w:w="11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ИД</w:t>
            </w:r>
          </w:p>
        </w:tc>
        <w:tc>
          <w:tcPr>
            <w:tcW w:w="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-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исполнительная документация;</w:t>
            </w:r>
          </w:p>
        </w:tc>
      </w:tr>
      <w:tr>
        <w:trPr/>
        <w:tc>
          <w:tcPr>
            <w:tcW w:w="11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ПС</w:t>
            </w:r>
          </w:p>
        </w:tc>
        <w:tc>
          <w:tcPr>
            <w:tcW w:w="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-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подъемное сооружение;</w:t>
            </w:r>
          </w:p>
        </w:tc>
      </w:tr>
      <w:tr>
        <w:trPr/>
        <w:tc>
          <w:tcPr>
            <w:tcW w:w="11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РТН</w:t>
            </w:r>
          </w:p>
        </w:tc>
        <w:tc>
          <w:tcPr>
            <w:tcW w:w="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-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Ростехнадзор;</w:t>
            </w:r>
          </w:p>
        </w:tc>
      </w:tr>
      <w:tr>
        <w:trPr/>
        <w:tc>
          <w:tcPr>
            <w:tcW w:w="11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ДФ</w:t>
            </w:r>
          </w:p>
        </w:tc>
        <w:tc>
          <w:tcPr>
            <w:tcW w:w="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-</w:t>
            </w:r>
          </w:p>
        </w:tc>
        <w:tc>
          <w:tcPr>
            <w:tcW w:w="59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Дагестанский Филиал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7" w:name="_Toc46743506"/>
      <w:bookmarkStart w:id="8" w:name="_Toc214892765"/>
      <w:bookmarkStart w:id="9" w:name="_Toc227670196"/>
      <w:r>
        <w:rPr/>
        <w:t>Наименование закупаемой продукции</w:t>
      </w:r>
      <w:bookmarkEnd w:id="7"/>
      <w:bookmarkEnd w:id="8"/>
      <w:bookmarkEnd w:id="9"/>
    </w:p>
    <w:p>
      <w:pPr>
        <w:pStyle w:val="Normal"/>
        <w:suppressAutoHyphens w:val="true"/>
        <w:ind w:firstLine="708"/>
        <w:jc w:val="both"/>
        <w:rPr>
          <w:sz w:val="24"/>
          <w:szCs w:val="24"/>
        </w:rPr>
      </w:pPr>
      <w:r>
        <w:rPr>
          <w:b w:val="false"/>
          <w:sz w:val="24"/>
          <w:szCs w:val="24"/>
          <w:lang w:val="ru-RU"/>
        </w:rPr>
        <w:t xml:space="preserve"> </w:t>
      </w:r>
      <w:r>
        <w:rPr>
          <w:b w:val="false"/>
          <w:sz w:val="24"/>
          <w:szCs w:val="24"/>
          <w:lang w:val="ru-RU"/>
        </w:rPr>
        <w:t>Поставка компрессорного оборудования высокого давления Гоцатлинской ГЭС</w:t>
      </w:r>
      <w:bookmarkStart w:id="10" w:name="_Toc46743507"/>
      <w:r>
        <w:rPr>
          <w:sz w:val="24"/>
          <w:szCs w:val="24"/>
        </w:rPr>
        <w:t xml:space="preserve"> филиала ПАО «РусГидро» - «Дагестанский филиал».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11" w:name="_Toc214892766"/>
      <w:bookmarkStart w:id="12" w:name="_Toc227670197"/>
      <w:r>
        <w:rPr/>
        <w:t xml:space="preserve">Цель </w:t>
      </w:r>
      <w:bookmarkEnd w:id="10"/>
      <w:r>
        <w:rPr>
          <w:lang w:val="ru-RU"/>
        </w:rPr>
        <w:t>оказания услуг</w:t>
      </w:r>
      <w:bookmarkEnd w:id="11"/>
      <w:bookmarkEnd w:id="12"/>
      <w:r>
        <w:rPr/>
        <w:t xml:space="preserve"> </w:t>
      </w:r>
    </w:p>
    <w:p>
      <w:pPr>
        <w:pStyle w:val="ListParagraph"/>
        <w:numPr>
          <w:ilvl w:val="0"/>
          <w:numId w:val="10"/>
        </w:numPr>
        <w:spacing w:before="120" w:after="120"/>
        <w:ind w:left="0" w:firstLine="426"/>
        <w:contextualSpacing/>
        <w:rPr/>
      </w:pPr>
      <w:r>
        <w:rPr/>
        <w:t>повышение надежности работы компрессорной высокого давления;</w:t>
      </w:r>
    </w:p>
    <w:p>
      <w:pPr>
        <w:pStyle w:val="ListParagraph"/>
        <w:numPr>
          <w:ilvl w:val="0"/>
          <w:numId w:val="10"/>
        </w:numPr>
        <w:spacing w:before="120" w:after="120"/>
        <w:ind w:left="0" w:firstLine="426"/>
        <w:contextualSpacing/>
        <w:rPr/>
      </w:pPr>
      <w:r>
        <w:rPr/>
        <w:t>снижение эксплуатационных и ремонтных затрат.</w:t>
      </w:r>
    </w:p>
    <w:p>
      <w:pPr>
        <w:pStyle w:val="ListParagraph"/>
        <w:numPr>
          <w:ilvl w:val="0"/>
          <w:numId w:val="0"/>
        </w:numPr>
        <w:spacing w:before="120" w:after="120"/>
        <w:ind w:left="0" w:hanging="0"/>
        <w:contextualSpacing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auto" w:val="clear"/>
        </w:rPr>
      </w:pPr>
      <w:r>
        <w:rPr>
          <w:b w:val="false"/>
          <w:bCs/>
          <w:i w:val="false"/>
          <w:sz w:val="24"/>
          <w:szCs w:val="24"/>
          <w:shd w:fill="auto" w:val="clear"/>
        </w:rPr>
      </w:r>
    </w:p>
    <w:p>
      <w:pPr>
        <w:pStyle w:val="Heading4"/>
        <w:numPr>
          <w:ilvl w:val="1"/>
          <w:numId w:val="3"/>
        </w:numPr>
        <w:rPr/>
      </w:pPr>
      <w:bookmarkStart w:id="13" w:name="_Toc214892767"/>
      <w:bookmarkStart w:id="14" w:name="_Toc227670198"/>
      <w:bookmarkStart w:id="15" w:name="_Toc46743508"/>
      <w:r>
        <w:rPr/>
        <w:t>Существующее положение</w:t>
      </w:r>
      <w:bookmarkEnd w:id="13"/>
      <w:bookmarkEnd w:id="14"/>
      <w:bookmarkEnd w:id="15"/>
      <w:r>
        <w:rPr>
          <w:lang w:val="ru-RU"/>
        </w:rPr>
        <w:t xml:space="preserve"> </w:t>
      </w:r>
    </w:p>
    <w:p>
      <w:pPr>
        <w:pStyle w:val="Normal"/>
        <w:keepLines/>
        <w:spacing w:before="240" w:after="60"/>
        <w:jc w:val="both"/>
        <w:rPr/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 xml:space="preserve">   </w:t>
      </w:r>
      <w:r>
        <w:rPr>
          <w:rStyle w:val="Style8"/>
          <w:b w:val="false"/>
          <w:i w:val="false"/>
          <w:sz w:val="24"/>
          <w:szCs w:val="24"/>
          <w:shd w:fill="auto" w:val="clear"/>
        </w:rPr>
        <w:t xml:space="preserve">На Гоцатлинской ГЭС эксплуатируется два компрессора высокого давления ВШВ 3/100 для подачи давления сжатого воздуха в 6,3МПа в систему МНУ через два ресивера. Оборудование компрессорной системы высокого давления функционирует с 2015 г.. Для поддержания в системе необходимого давления и безаварийной эксплуатации оборудования и автоматики управления появилась необходимость реконструкции системы высокого давления в частности: </w:t>
      </w:r>
    </w:p>
    <w:p>
      <w:pPr>
        <w:pStyle w:val="Normal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замена компрессоров высокого давления ВШВ 3/100-2шт на новые компрессорные установки ВШВ 3/70 -2комплект и осушителя воздуха-1комплект;</w:t>
      </w:r>
    </w:p>
    <w:p>
      <w:pPr>
        <w:pStyle w:val="Normal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замена запорной арматуры трубопровода (перепускных, предохранительных и обратных клапанов) высокого давления на новые;</w:t>
      </w:r>
    </w:p>
    <w:p>
      <w:pPr>
        <w:pStyle w:val="Normal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замена шкафов управления компрессорами на новое:</w:t>
      </w:r>
    </w:p>
    <w:p>
      <w:pPr>
        <w:pStyle w:val="Normal"/>
        <w:numPr>
          <w:ilvl w:val="0"/>
        </w:numPr>
        <w:ind w:left="783" w:hanging="0"/>
        <w:jc w:val="both"/>
        <w:rPr>
          <w:sz w:val="24"/>
          <w:szCs w:val="24"/>
        </w:rPr>
      </w:pPr>
      <w:r>
        <w:rPr>
          <w:sz w:val="24"/>
          <w:szCs w:val="24"/>
        </w:rPr>
        <w:t>- с возможностью дистанционное местного перевода основной и резервный;                            - включения необходимого количества компрессоров в зависимости от расхода воздуха;</w:t>
      </w:r>
    </w:p>
    <w:p>
      <w:pPr>
        <w:pStyle w:val="Normal"/>
        <w:ind w:left="783" w:hanging="0"/>
        <w:jc w:val="both"/>
        <w:rPr>
          <w:sz w:val="24"/>
          <w:szCs w:val="24"/>
        </w:rPr>
      </w:pPr>
      <w:r>
        <w:rPr>
          <w:sz w:val="24"/>
          <w:szCs w:val="24"/>
        </w:rPr>
        <w:t>-  распределения времени работы компрессоров и выдачи аварийных, предупредительных сигналов в систему сигнализации станции.</w:t>
      </w:r>
    </w:p>
    <w:p>
      <w:pPr>
        <w:pStyle w:val="Normal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строительные работы по устройству полов и фундамента под компрессором.</w:t>
      </w:r>
    </w:p>
    <w:p>
      <w:pPr>
        <w:pStyle w:val="Normal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приобретение и доставка комплект ЗиП на текущий ремонт к компрессорам ВШВ3/70. </w:t>
      </w:r>
    </w:p>
    <w:p>
      <w:pPr>
        <w:pStyle w:val="Heading4"/>
        <w:numPr>
          <w:ilvl w:val="1"/>
          <w:numId w:val="3"/>
        </w:numPr>
        <w:rPr/>
      </w:pPr>
      <w:bookmarkStart w:id="16" w:name="_Toc46743509"/>
      <w:bookmarkStart w:id="17" w:name="_Toc214892769"/>
      <w:bookmarkStart w:id="18" w:name="_Hlk49857604"/>
      <w:bookmarkStart w:id="19" w:name="_Toc227670200"/>
      <w:r>
        <w:rPr/>
        <w:t xml:space="preserve">Информация в отношении исполнения договора, </w:t>
      </w:r>
      <w:bookmarkStart w:id="20" w:name="_Hlk46492347"/>
      <w:r>
        <w:rPr/>
        <w:t xml:space="preserve">которая должна быть учтена при подготовке заявки </w:t>
      </w:r>
      <w:bookmarkEnd w:id="20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6"/>
      <w:bookmarkEnd w:id="17"/>
      <w:bookmarkEnd w:id="18"/>
      <w:bookmarkEnd w:id="19"/>
      <w:r>
        <w:rPr>
          <w:lang w:val="ru-RU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426"/>
        <w:jc w:val="both"/>
        <w:rPr>
          <w:rFonts w:eastAsia="Calibri"/>
          <w:sz w:val="24"/>
          <w:szCs w:val="24"/>
          <w:lang w:eastAsia="x-none"/>
        </w:rPr>
      </w:pPr>
      <w:bookmarkStart w:id="21" w:name="_Hlk48209761"/>
      <w:bookmarkEnd w:id="21"/>
      <w:r>
        <w:rPr>
          <w:rFonts w:eastAsia="Calibri"/>
          <w:sz w:val="24"/>
          <w:szCs w:val="24"/>
          <w:lang w:eastAsia="x-none"/>
        </w:rPr>
        <w:t xml:space="preserve">Заказчик предоставляет подрядчику: </w:t>
      </w:r>
    </w:p>
    <w:p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kern w:val="0"/>
          <w:sz w:val="24"/>
          <w:szCs w:val="24"/>
          <w:lang w:val="ru-RU" w:eastAsia="ru-RU" w:bidi="ar-SA"/>
        </w:rPr>
        <w:t xml:space="preserve">Рабочая документация по техническому перевооружению компрессорной высокого давления Гоцатлинской ГЭС </w:t>
      </w:r>
      <w:r>
        <w:rPr>
          <w:rFonts w:eastAsia="Calibri" w:cs="Times New Roman"/>
          <w:b w:val="false"/>
          <w:bCs w:val="false"/>
          <w:i w:val="false"/>
          <w:iCs w:val="false"/>
          <w:kern w:val="0"/>
          <w:sz w:val="24"/>
          <w:szCs w:val="24"/>
          <w:lang w:val="ru-RU" w:eastAsia="x-none" w:bidi="ar-SA"/>
        </w:rPr>
        <w:t xml:space="preserve">(электротехническая, технологическая и строительная часть) </w:t>
      </w:r>
      <w:r>
        <w:rPr>
          <w:rFonts w:eastAsia="Times New Roman" w:cs="Times New Roman"/>
          <w:b w:val="false"/>
          <w:bCs w:val="false"/>
          <w:kern w:val="0"/>
          <w:sz w:val="24"/>
          <w:szCs w:val="24"/>
          <w:lang w:val="ru-RU" w:eastAsia="ru-RU" w:bidi="ar-SA"/>
        </w:rPr>
        <w:t>будут предоставлена после завершения её разработки и процедуры согласования</w:t>
      </w:r>
      <w:r>
        <w:rPr>
          <w:rFonts w:eastAsia="Times New Roman" w:cs="Times New Roman"/>
          <w:b w:val="false"/>
          <w:bCs/>
          <w:kern w:val="0"/>
          <w:sz w:val="24"/>
          <w:szCs w:val="24"/>
          <w:lang w:val="ru-RU" w:eastAsia="ru-RU" w:bidi="ar-SA"/>
        </w:rPr>
        <w:t>.</w:t>
      </w:r>
    </w:p>
    <w:p>
      <w:pPr>
        <w:pStyle w:val="ListParagraph"/>
        <w:numPr>
          <w:ilvl w:val="0"/>
          <w:numId w:val="0"/>
        </w:numPr>
        <w:ind w:left="1069" w:hanging="0"/>
        <w:jc w:val="both"/>
        <w:rPr>
          <w:bCs/>
        </w:rPr>
      </w:pPr>
      <w:r>
        <w:rPr>
          <w:bCs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2" w:name="_Toc51339693"/>
      <w:bookmarkStart w:id="23" w:name="_Toc227670201"/>
      <w:bookmarkStart w:id="24" w:name="_Toc214892770"/>
      <w:bookmarkStart w:id="25" w:name="_Hlk48209761_Копия_1"/>
      <w:bookmarkStart w:id="26" w:name="_Toc50125126"/>
      <w:bookmarkEnd w:id="25"/>
      <w:bookmarkEnd w:id="26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22"/>
      <w:bookmarkEnd w:id="23"/>
      <w:bookmarkEnd w:id="24"/>
    </w:p>
    <w:p>
      <w:pPr>
        <w:pStyle w:val="Heading4"/>
        <w:numPr>
          <w:ilvl w:val="1"/>
          <w:numId w:val="3"/>
        </w:numPr>
        <w:rPr/>
      </w:pPr>
      <w:bookmarkStart w:id="27" w:name="_Toc214892771"/>
      <w:bookmarkStart w:id="28" w:name="_Toc227670202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7"/>
      <w:bookmarkEnd w:id="28"/>
    </w:p>
    <w:p>
      <w:pPr>
        <w:pStyle w:val="Heading3"/>
        <w:numPr>
          <w:ilvl w:val="2"/>
          <w:numId w:val="3"/>
        </w:numPr>
        <w:rPr/>
      </w:pPr>
      <w:bookmarkStart w:id="29" w:name="_Toc227670203"/>
      <w:bookmarkStart w:id="30" w:name="_Toc214892772"/>
      <w:r>
        <w:rPr>
          <w:lang w:val="ru-RU"/>
        </w:rPr>
        <w:t>Перечень и объем закупаемой продукции</w:t>
      </w:r>
      <w:bookmarkEnd w:id="29"/>
      <w:bookmarkEnd w:id="30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1" w:name="_Toc227670204"/>
      <w:bookmarkStart w:id="32" w:name="_Toc214892773"/>
      <w:bookmarkStart w:id="33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33"/>
      <w:r>
        <w:rPr>
          <w:sz w:val="24"/>
          <w:szCs w:val="24"/>
          <w:lang w:val="ru-RU"/>
        </w:rPr>
        <w:t>и объем закупаемой продукции</w:t>
      </w:r>
      <w:bookmarkEnd w:id="31"/>
      <w:bookmarkEnd w:id="32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96"/>
        <w:gridCol w:w="5960"/>
        <w:gridCol w:w="1552"/>
        <w:gridCol w:w="1701"/>
      </w:tblGrid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283" w:hRule="atLeast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firstLine="708"/>
              <w:jc w:val="both"/>
              <w:rPr/>
            </w:pPr>
            <w:r>
              <w:rPr>
                <w:b w:val="false"/>
                <w:sz w:val="24"/>
                <w:szCs w:val="24"/>
                <w:lang w:val="ru-RU"/>
              </w:rPr>
              <w:t xml:space="preserve"> </w:t>
            </w:r>
            <w:r>
              <w:rPr>
                <w:b w:val="false"/>
                <w:sz w:val="24"/>
                <w:szCs w:val="24"/>
                <w:lang w:val="ru-RU"/>
              </w:rPr>
              <w:t>Поставка компрессорного оборудования высокого давления Гоцатлинской ГЭС</w:t>
            </w:r>
          </w:p>
        </w:tc>
      </w:tr>
      <w:tr>
        <w:trPr>
          <w:trHeight w:val="283" w:hRule="atLeast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ind w:left="0" w:hanging="0"/>
              <w:rPr/>
            </w:pPr>
            <w:r>
              <w:rPr/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Компрессорная установка ВШВ-3/70-                      2 комплекта;</w:t>
            </w:r>
          </w:p>
        </w:tc>
        <w:tc>
          <w:tcPr>
            <w:tcW w:w="3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ТТ</w:t>
            </w:r>
          </w:p>
        </w:tc>
      </w:tr>
      <w:tr>
        <w:trPr>
          <w:trHeight w:val="283" w:hRule="atLeast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ind w:left="0" w:hanging="0"/>
              <w:rPr/>
            </w:pPr>
            <w:r>
              <w:rPr/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Система управления группой компрессоров Metacentre P4 c комплектом визуализации-            1 комплект;</w:t>
            </w:r>
          </w:p>
        </w:tc>
        <w:tc>
          <w:tcPr>
            <w:tcW w:w="325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ind w:left="0" w:hanging="0"/>
              <w:rPr/>
            </w:pPr>
            <w:r>
              <w:rPr/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Осушитель воздуха ОВА0655 PN100 Q=10,9 м3/мин, Р=100 кг/см2 -1 комплект.</w:t>
            </w:r>
          </w:p>
        </w:tc>
        <w:tc>
          <w:tcPr>
            <w:tcW w:w="325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Heading1"/>
        <w:numPr>
          <w:ilvl w:val="0"/>
          <w:numId w:val="0"/>
        </w:numPr>
        <w:ind w:left="0" w:hanging="0"/>
        <w:rPr>
          <w:i/>
          <w:i/>
        </w:rPr>
      </w:pPr>
      <w:bookmarkStart w:id="34" w:name="_Toc54785620"/>
      <w:r>
        <w:rPr>
          <w:sz w:val="24"/>
          <w:szCs w:val="24"/>
        </w:rPr>
        <w:t>Таблица 1.2 «Перечень и объем закупаемых сопутствующих услуг»</w:t>
      </w:r>
      <w:bookmarkEnd w:id="34"/>
      <w:r>
        <w:rPr>
          <w:sz w:val="24"/>
          <w:szCs w:val="24"/>
        </w:rPr>
        <w:t xml:space="preserve"> </w:t>
      </w:r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5275"/>
        <w:gridCol w:w="1417"/>
        <w:gridCol w:w="2268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Сборка и доставка оборудования </w:t>
            </w:r>
            <w:r>
              <w:rPr>
                <w:rFonts w:eastAsia="Times New Roman" w:cs="Times New Roman"/>
                <w:b w:val="false"/>
                <w:bCs w:val="false"/>
                <w:iCs/>
                <w:kern w:val="0"/>
                <w:sz w:val="24"/>
                <w:szCs w:val="24"/>
                <w:lang w:val="ru-RU" w:eastAsia="ru-RU" w:bidi="ar-SA"/>
              </w:rPr>
              <w:t xml:space="preserve"> компрессорной высокого давления Гоцатлинской ГЭС</w:t>
            </w:r>
            <w:r>
              <w:rPr>
                <w:iCs/>
                <w:sz w:val="24"/>
                <w:szCs w:val="24"/>
              </w:rPr>
              <w:t xml:space="preserve">, Гергебильский район, c. Чалда. Республика Дагестан </w:t>
            </w:r>
            <w:r>
              <w:rPr>
                <w:sz w:val="24"/>
                <w:szCs w:val="24"/>
              </w:rPr>
              <w:t>с оплатой таможенных сборов и пошлин, погрузка/разгрузка. Входной контроль оборудования на месте доставки (расконсервация нового оборудования, визуальный осмотр оборудования и комплектующих, проверка комплектации, проверка качества сборки и отсутствия повреждений. Ревизия оборудования (в присутствии представителей Заказчика и Подрядчика, выполняющего поставку оборудования по согласованию)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en-US"/>
              </w:rPr>
              <w:t>комплект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5.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</w:rPr>
              <w:t>Шефналадка</w:t>
            </w:r>
            <w:r>
              <w:rPr>
                <w:iCs/>
                <w:sz w:val="24"/>
                <w:szCs w:val="24"/>
                <w:lang w:val="en-US"/>
              </w:rPr>
              <w:t xml:space="preserve"> Поставщика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комплекс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6.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Разработка и согласование программ приемо-сдаточных испытаний с Заказчиком, проведение полного комплекса приемо-сдаточных испытаний поставляемого электрооборудования на месте монтажа (в присутствии представителей Заказчика и Подрядчика, выполняющего СМР и ПНР)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en-US"/>
              </w:rPr>
              <w:t>комплекс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en-US"/>
              </w:rPr>
              <w:t>1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35" w:name="_Toc214892774"/>
      <w:bookmarkStart w:id="36" w:name="_Toc227670205"/>
      <w:bookmarkStart w:id="37" w:name="_Toc51339696"/>
      <w:r>
        <w:rPr>
          <w:lang w:val="ru-RU"/>
        </w:rPr>
        <w:t xml:space="preserve">Требования </w:t>
      </w:r>
      <w:bookmarkEnd w:id="37"/>
      <w:r>
        <w:rPr>
          <w:lang w:val="ru-RU"/>
        </w:rPr>
        <w:t>к срокам оказания услуг</w:t>
      </w:r>
      <w:bookmarkEnd w:id="35"/>
      <w:bookmarkEnd w:id="3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8" w:name="_Toc227670206"/>
      <w:bookmarkStart w:id="39" w:name="_Toc214892775"/>
      <w:bookmarkStart w:id="40" w:name="_Toc50125127"/>
      <w:bookmarkStart w:id="41" w:name="_Toc51339697"/>
      <w:bookmarkStart w:id="42" w:name="_Toc50125126_Копия_1"/>
      <w:bookmarkEnd w:id="42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2.1</w:t>
      </w:r>
      <w:r>
        <w:rPr>
          <w:sz w:val="24"/>
          <w:szCs w:val="24"/>
        </w:rPr>
        <w:t xml:space="preserve">. </w:t>
      </w:r>
      <w:bookmarkStart w:id="43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40"/>
      <w:bookmarkEnd w:id="41"/>
      <w:bookmarkEnd w:id="43"/>
      <w:r>
        <w:rPr>
          <w:sz w:val="24"/>
          <w:szCs w:val="24"/>
          <w:lang w:val="ru-RU"/>
        </w:rPr>
        <w:t>оказания услуг</w:t>
      </w:r>
      <w:bookmarkEnd w:id="38"/>
      <w:bookmarkEnd w:id="39"/>
    </w:p>
    <w:tbl>
      <w:tblPr>
        <w:tblW w:w="9781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7"/>
        <w:gridCol w:w="4393"/>
        <w:gridCol w:w="2128"/>
        <w:gridCol w:w="2692"/>
      </w:tblGrid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услуг/ этапа услуг</w:t>
            </w:r>
          </w:p>
        </w:tc>
      </w:tr>
      <w:tr>
        <w:trPr>
          <w:trHeight w:val="12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44" w:name="_Toc46743510"/>
            <w:r>
              <w:rPr>
                <w:b/>
                <w:sz w:val="24"/>
                <w:szCs w:val="24"/>
              </w:rPr>
              <w:t>4</w:t>
            </w:r>
            <w:bookmarkEnd w:id="44"/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Поставка и наладка  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оборудования </w:t>
            </w:r>
            <w:r>
              <w:rPr>
                <w:rFonts w:eastAsia="Times New Roman" w:cs="Times New Roman"/>
                <w:b w:val="false"/>
                <w:bCs w:val="false"/>
                <w:iCs/>
                <w:kern w:val="0"/>
                <w:sz w:val="24"/>
                <w:szCs w:val="24"/>
                <w:lang w:val="ru-RU" w:eastAsia="ru-RU" w:bidi="ar-SA"/>
              </w:rPr>
              <w:t xml:space="preserve"> компрессорной высокого давления Гоцатлинской ГЭС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течении 4 месяцев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hd w:val="clear" w:color="auto" w:fill="FFFFFF"/>
        <w:spacing w:before="120" w:after="60"/>
        <w:ind w:left="0" w:hanging="0"/>
        <w:outlineLvl w:val="0"/>
        <w:rPr>
          <w:rFonts w:eastAsia="Calibri"/>
          <w:b/>
          <w:sz w:val="24"/>
          <w:szCs w:val="24"/>
          <w:lang w:val="x-none" w:eastAsia="x-none"/>
        </w:rPr>
      </w:pPr>
      <w:bookmarkStart w:id="45" w:name="_Toc203466672"/>
      <w:r>
        <w:rPr>
          <w:rFonts w:eastAsia="Calibri"/>
          <w:b/>
          <w:sz w:val="24"/>
          <w:szCs w:val="24"/>
          <w:lang w:val="x-none" w:eastAsia="x-none"/>
        </w:rPr>
        <w:t xml:space="preserve">Таблица </w:t>
      </w:r>
      <w:r>
        <w:rPr>
          <w:rFonts w:eastAsia="Calibri"/>
          <w:b/>
          <w:sz w:val="24"/>
          <w:szCs w:val="24"/>
          <w:lang w:eastAsia="x-none"/>
        </w:rPr>
        <w:t>2</w:t>
      </w:r>
      <w:r>
        <w:rPr>
          <w:rFonts w:eastAsia="Calibri"/>
          <w:b/>
          <w:sz w:val="24"/>
          <w:szCs w:val="24"/>
          <w:lang w:val="x-none" w:eastAsia="x-none"/>
        </w:rPr>
        <w:t>.</w:t>
      </w:r>
      <w:r>
        <w:rPr>
          <w:rFonts w:eastAsia="Calibri"/>
          <w:b/>
          <w:sz w:val="24"/>
          <w:szCs w:val="24"/>
          <w:lang w:eastAsia="x-none"/>
        </w:rPr>
        <w:t>2</w:t>
      </w:r>
      <w:r>
        <w:rPr>
          <w:rFonts w:eastAsia="Calibri"/>
          <w:b/>
          <w:sz w:val="24"/>
          <w:szCs w:val="24"/>
          <w:lang w:val="x-none" w:eastAsia="x-none"/>
        </w:rPr>
        <w:t xml:space="preserve"> Требования по срокам </w:t>
      </w:r>
      <w:r>
        <w:rPr>
          <w:rFonts w:eastAsia="Calibri"/>
          <w:b/>
          <w:sz w:val="24"/>
          <w:szCs w:val="24"/>
          <w:lang w:eastAsia="x-none"/>
        </w:rPr>
        <w:t xml:space="preserve">оказания </w:t>
      </w:r>
      <w:r>
        <w:rPr>
          <w:rFonts w:eastAsia="Calibri"/>
          <w:b/>
          <w:sz w:val="24"/>
          <w:szCs w:val="24"/>
          <w:lang w:val="x-none" w:eastAsia="x-none"/>
        </w:rPr>
        <w:t>сопутствующих услуг</w:t>
      </w:r>
      <w:bookmarkEnd w:id="45"/>
    </w:p>
    <w:tbl>
      <w:tblPr>
        <w:tblW w:w="9781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7"/>
        <w:gridCol w:w="1927"/>
        <w:gridCol w:w="3176"/>
        <w:gridCol w:w="2204"/>
        <w:gridCol w:w="1907"/>
      </w:tblGrid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40" w:after="40"/>
              <w:ind w:left="57" w:right="57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en-US"/>
              </w:rPr>
              <w:t>1</w:t>
            </w:r>
            <w:r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Шефналадка</w:t>
            </w:r>
            <w:r>
              <w:rPr>
                <w:sz w:val="24"/>
                <w:szCs w:val="24"/>
              </w:rPr>
              <w:t xml:space="preserve"> поставщика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 соответствии с согласованным календарным сетевым графиком, но не позднее 60 дней с момента окончания срока поставки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 позднее 30 дней с момента окончания СМР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default" r:id="rId5"/>
          <w:type w:val="nextPage"/>
          <w:pgSz w:w="11906" w:h="16838"/>
          <w:pgMar w:left="1134" w:right="851" w:gutter="0" w:header="680" w:top="1134" w:footer="737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46" w:name="_Toc51339698"/>
      <w:bookmarkStart w:id="47" w:name="_Toc214892776"/>
      <w:bookmarkStart w:id="48" w:name="_Toc227670207"/>
      <w:bookmarkStart w:id="49" w:name="_Toc46743511"/>
      <w:r>
        <w:rPr/>
        <w:t xml:space="preserve">Требования к </w:t>
      </w:r>
      <w:bookmarkEnd w:id="49"/>
      <w:r>
        <w:rPr>
          <w:lang w:val="ru-RU"/>
        </w:rPr>
        <w:t>качеству услуг</w:t>
      </w:r>
      <w:bookmarkEnd w:id="47"/>
      <w:bookmarkEnd w:id="48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50" w:name="_Toc214892777"/>
      <w:bookmarkStart w:id="51" w:name="_Toc227670208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46"/>
      <w:r>
        <w:rPr>
          <w:sz w:val="24"/>
          <w:szCs w:val="24"/>
          <w:lang w:val="ru-RU"/>
        </w:rPr>
        <w:t>качеству услуг</w:t>
      </w:r>
      <w:bookmarkEnd w:id="50"/>
      <w:bookmarkEnd w:id="51"/>
      <w:r>
        <w:rPr>
          <w:sz w:val="24"/>
          <w:szCs w:val="24"/>
        </w:rPr>
        <w:t xml:space="preserve"> </w:t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tbl>
      <w:tblPr>
        <w:tblStyle w:val="af"/>
        <w:tblW w:w="1516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9"/>
        <w:gridCol w:w="2413"/>
        <w:gridCol w:w="4540"/>
        <w:gridCol w:w="1981"/>
        <w:gridCol w:w="3117"/>
        <w:gridCol w:w="2267"/>
      </w:tblGrid>
      <w:tr>
        <w:trPr>
          <w:tblHeader w:val="true"/>
        </w:trPr>
        <w:tc>
          <w:tcPr>
            <w:tcW w:w="84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41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54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09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26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blHeader w:val="true"/>
        </w:trPr>
        <w:tc>
          <w:tcPr>
            <w:tcW w:w="84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1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5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1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6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blHeader w:val="true"/>
        </w:trPr>
        <w:tc>
          <w:tcPr>
            <w:tcW w:w="8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4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5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9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1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0" w:right="747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953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3"/>
                <w:u w:val="none"/>
                <w:em w:val="non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3"/>
                <w:szCs w:val="24"/>
                <w:u w:val="none"/>
                <w:em w:val="none"/>
                <w:lang w:val="ru-RU" w:eastAsia="ru-RU" w:bidi="ar-SA"/>
              </w:rPr>
              <w:t>К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3"/>
                <w:u w:val="none"/>
                <w:em w:val="none"/>
              </w:rPr>
              <w:t>омпрессорная установка ВШВ-3/70 на раме с блоком управления компрессором (БУК) с контроль температуры всех ступеней, Q=3,02 м3/мин, Р=7,0 МПа, Nдв=45 кВт, с соединительными шлангами с фитингами, весом 1,52 т   -2комплекта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3"/>
                <w:u w:val="none"/>
                <w:em w:val="no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ind w:left="142" w:firstLine="567"/>
              <w:contextualSpacing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9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 составе заявки Участник должен предоставить ведомость покупных позиций с параметрами оборудования и материалов для монтажа и сборки с указанием производителя, ГОСТ, ТУ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0" w:right="747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953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3"/>
                <w:u w:val="none"/>
                <w:em w:val="none"/>
              </w:rPr>
              <w:t>Система управления группой компрессоров Metacentre P4 c комплектом визуализации  -1комплект.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3"/>
                <w:u w:val="none"/>
                <w:em w:val="no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31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 составе заявки Участник должен предоставить ведомость покупных позиций с параметрами оборудования и материалов для монтажа и сборки с указанием производителя, ГОСТ, ТУ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0" w:right="747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95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3"/>
                <w:u w:val="none"/>
                <w:em w:val="non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3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О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3"/>
                <w:u w:val="none"/>
                <w:em w:val="none"/>
              </w:rPr>
              <w:t>сушитель воздуха ОВА0655 PN100 Q=10,9 м3/мин, Р=100 кг/см2, Nдв=40 вт, весом 0,35т  -1комплект.</w:t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ind w:left="142" w:firstLine="567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98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311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 составе заявки Участник должен предоставить ведомость покупных позиций с параметрами оборудования и материалов для монтажа и сборки с указанием производителя, ГОСТ, ТУ</w:t>
            </w:r>
          </w:p>
        </w:tc>
        <w:tc>
          <w:tcPr>
            <w:tcW w:w="226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95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Место поставки</w:t>
            </w:r>
          </w:p>
        </w:tc>
        <w:tc>
          <w:tcPr>
            <w:tcW w:w="4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183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Республика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Дагестан, Гергебильский район   Гоцатлинская ГЭС, в 130 км от г. Махачкала.</w:t>
            </w:r>
          </w:p>
        </w:tc>
        <w:tc>
          <w:tcPr>
            <w:tcW w:w="19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3117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Требования к маркировке</w:t>
            </w:r>
          </w:p>
        </w:tc>
        <w:tc>
          <w:tcPr>
            <w:tcW w:w="4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183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Упаковка оборудования должна соответствовать категории упаковки КУ-0, КУ-1 и КУ-2 по ГОСТ 23170-78*,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и производиться в соответствии с чертежами.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183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Каждое грузовое место с упакованным оборудованием должно сопровождаться упаковочным листом, содержащим все данные, приведенные в отправочной ведомости, согласно которой комплектуются и отгружаются грузовые места.</w:t>
            </w:r>
          </w:p>
        </w:tc>
        <w:tc>
          <w:tcPr>
            <w:tcW w:w="19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117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551" w:hRule="atLeast"/>
        </w:trPr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95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Срок гарантии</w:t>
            </w:r>
          </w:p>
        </w:tc>
        <w:tc>
          <w:tcPr>
            <w:tcW w:w="4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183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Срок гарантии на оборудование и все поставленные запасные части должен составлять не менее 60 месяцев с даты ввода оборудования в эксплуатацию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(подписания Акта приемки)</w:t>
            </w:r>
          </w:p>
        </w:tc>
        <w:tc>
          <w:tcPr>
            <w:tcW w:w="19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Предложение по сроку гарантии на оборудование и запасные части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95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 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оборудованием</w:t>
            </w:r>
          </w:p>
        </w:tc>
        <w:tc>
          <w:tcPr>
            <w:tcW w:w="4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183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32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Технические паспорта и эксплуатационная документация на оборудование и аппаратуру (паспорта и инструкции, соответствующие ГОСТ, ТУ указанные в спецификации);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32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  <w:t>Паспорта;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32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  <w:t>Р</w:t>
            </w:r>
            <w:r>
              <w:rPr>
                <w:rFonts w:cs="Times New Roman"/>
                <w:kern w:val="0"/>
                <w:lang w:val="ru-RU" w:eastAsia="ru-RU" w:bidi="ar-SA"/>
              </w:rPr>
              <w:t>уководства по эксплуатации;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32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cs="Times New Roman"/>
                <w:kern w:val="0"/>
                <w:lang w:eastAsia="ru-RU" w:bidi="ar-SA"/>
              </w:rPr>
              <w:t>Принципиальные схемы;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32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  <w:t>Электрические (исполнительные) схемы;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32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  <w:t>У</w:t>
            </w:r>
            <w:r>
              <w:rPr>
                <w:rFonts w:cs="Times New Roman"/>
                <w:kern w:val="0"/>
                <w:lang w:val="ru-RU" w:eastAsia="ru-RU" w:bidi="ar-SA"/>
              </w:rPr>
              <w:t>паковочные листы, упаковочные ярлыки;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32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товарно-транспортную накладную формы №1-Т;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32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товарную накладную унифицированной формы ТОРГ-12 в 2 экз.;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32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протоколы заводских испытаний и измерений.</w:t>
            </w:r>
          </w:p>
        </w:tc>
        <w:tc>
          <w:tcPr>
            <w:tcW w:w="19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конструкторской и технической документации</w:t>
            </w:r>
          </w:p>
        </w:tc>
        <w:tc>
          <w:tcPr>
            <w:tcW w:w="45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183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Вся конструкторская и техническая документация должна разрабатываться в соответствии с нормативно-техническими документами.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Конструкторская и техническая документация должна соответствовать требованиям национальных стандартов, нормативных документов федерального органа государственной власти, уполномоченного в области технического надзора в электроэнергетике, стандартов и руководящих документов, действующих в отрасли, правил, норм и инструкций по безопасности труда.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1"/>
                <w:u w:val="none"/>
                <w:em w:val="none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З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>амена отдельных позиций на аналогичное оборудование нужно официально согласовать с проектировщиками — без их подтверждения изменения не имеют силы. Все расходы, которые возникают из</w:t>
              <w:noBreakHyphen/>
              <w:t>за процедуры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1"/>
                <w:u w:val="none"/>
                <w:em w:val="none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>согласования  участник берёт на себя. Заказчик их не компенсирует.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183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Поставщик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применяет и использует в технической документации Международную систему единиц физических величин (система СИ).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Вся техническая документация, включая чертежи, схемы, а также применяемое программное обеспечение, выполняется на русском языке.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Состав представляемой документации на шкафы автоматизации, должен включать: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полный перечень поставляемого оборудования и материалов;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перечень запасных частей на гарантийный период эксплуатации;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перечень рекомендуемых запасных частей на послегарантийный пятилетний период - перечень специального инструмента и оборудования, необходимого для монтажа, испытаний и эксплуатации;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принципиальные схемы управления и контроля с указанием технических характеристик входных и выходных сигналов и параметров элементов схем;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чертежи шкафов автоматизации, а также кабельных связей этих шкафов с поставляемым оборудованием;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183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Поставщик должен представить Заказчику через 2 (четыре) месяца после даты подписания договора следующую документацию: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окончательные ведомости поставляемого оборудования, включая документацию по средствам и приборам управления;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чертежи и инструкции по упаковке, транспортировке и хранению оборудования;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183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Поставляемое оборудование должно сопровождаться комплектом подробных инструкций по монтажу, наладке, испытаниям и текущей эксплуатации, содержащих наряду с описанием чертежи, схемы, иллюстрирующие все этапы установки и сборки оборудования и их специфику.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183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инструкциях должна содержаться информация по наладке и испытаниям оборудования на месте монтажа.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183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Технические решения Конструкторской документации должны соответствовать требованиям экологических, санитарно-гигиенических, противопожарных и других норм, действующих на территории Российской Федерации и обеспечивающих безопасную для жизни и здоровья людей, эксплуатацию объекта при соблюдении предусмотренных рабочими чертежами мероприятий.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183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Вся информация и документация должна передаваться Заказчику на русском языке в электронном виде в формате DWG-AvtoCad, VSD-Visio, DOC-Word, XLS-Excel; PDF (в количестве 1-го экземпляра). Документация предоставляется возможностью работы поиска по документу. Представить конструкторскую и эксплуатационную документацию на бумажном носителе (в количестве не мене 4-х экземпляров) на русском языке.</w:t>
            </w:r>
          </w:p>
        </w:tc>
        <w:tc>
          <w:tcPr>
            <w:tcW w:w="19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Комплект КД  предоставить на бумажном носителе – 4 экз., а также на электронном носителе в формате –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pdf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95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сопутствующим услугам: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95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 xml:space="preserve"> оборудованию высокого давления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568" w:hanging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695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183"/>
              <w:jc w:val="both"/>
              <w:rPr>
                <w:b w:val="false"/>
                <w:bCs w:val="false"/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Компоновка</w:t>
            </w:r>
            <w:r>
              <w:rPr>
                <w:rFonts w:eastAsia="Times New Roman" w:cs="Times New Roman"/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и размещение </w:t>
            </w:r>
            <w:r>
              <w:rPr>
                <w:rFonts w:eastAsia="Times New Roman" w:cs="Times New Roman"/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en-US" w:eastAsia="ru-RU" w:bidi="ar-SA"/>
              </w:rPr>
              <w:t>оборудованию высокого давления</w:t>
            </w:r>
            <w:r>
              <w:rPr>
                <w:rFonts w:eastAsia="Times New Roman" w:cs="Times New Roman"/>
                <w:b w:val="false"/>
                <w:bCs w:val="false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выполнить в строгом соответствии с рабочей документации.</w:t>
            </w:r>
          </w:p>
        </w:tc>
        <w:tc>
          <w:tcPr>
            <w:tcW w:w="19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568" w:hanging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695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ГОСТ Р 54522-2011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 «Сосуды и аппараты высокого давления. Нормы и методы расчёта на прочность». Здесь собраны нормы и методики расчёта элементов (обечаек, днищ, фланцев, крышек) при статическом нагружении. Стандарт применяется для стальных сосудов (кованых, кованосварных, многослойных и однослойных), которые работают под внутренним давлением свыше 10 до 130 МПа. Он актуален для газовой, нефтяной, нефтехимической, химической промышленности и производства минеральных удобрений.</w:t>
            </w:r>
          </w:p>
        </w:tc>
        <w:tc>
          <w:tcPr>
            <w:tcW w:w="198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11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568" w:hanging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695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left"/>
              <w:rPr/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ГОСТ Р 50599-93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 «Сосуды и аппараты стальные сварные высокого давления. Контроль неразрушающий при изготовлении и эксплуатации». В нём прописаны методы неразрушающего контроля (визуальный, цветной, магнитопорошковый, ультразвуковой, радиографический) для таких сосудов. Также стандарт задаёт основные требования к проведению контроля и правила оценки качества по его результатам.</w:t>
            </w:r>
          </w:p>
        </w:tc>
        <w:tc>
          <w:tcPr>
            <w:tcW w:w="198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11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568" w:hanging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695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</w:numPr>
              <w:jc w:val="left"/>
              <w:rPr/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ГОСТ 34347-2017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 «Сосуды и аппараты стальные сварные. Общие технические условия». Устанавливает общие технические требования к стальным сварным сосудам и аппаратам</w:t>
            </w:r>
          </w:p>
        </w:tc>
        <w:tc>
          <w:tcPr>
            <w:tcW w:w="198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11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568" w:hanging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695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</w:numPr>
              <w:jc w:val="left"/>
              <w:rPr/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ГОСТ 12.2.085-2002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 «Сосуды, работающие под давлением. Клапаны предохранительные. Требования безопасности». Регулирует требования к предохранительным клапанам — критически важному элементу безопасности любого оборудования под давлением</w:t>
            </w:r>
          </w:p>
        </w:tc>
        <w:tc>
          <w:tcPr>
            <w:tcW w:w="198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11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568" w:hanging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695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left"/>
              <w:rPr/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ГОСТ 34233.1-2017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 «Сосуды и аппараты. Нормы и методы расчёта на прочность. Общие требования». Заменяет более раннюю версию (ГОСТ 34233.1-78) и закладывает базовые принципы, на которых строятся все последующие расчёты</w:t>
            </w:r>
          </w:p>
        </w:tc>
        <w:tc>
          <w:tcPr>
            <w:tcW w:w="198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11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568" w:hanging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695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both"/>
              <w:rPr>
                <w:sz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оборудование, работающий под избыточным давлением, базовым является </w:t>
            </w:r>
            <w:r>
              <w:rPr>
                <w:rStyle w:val="Strong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ТР ТС 032/2013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 «О безопасности оборудования, работающего под избыточным давлением». Именно он определяет, какие именно параметры (давление, температура, вместимость) переводят устройство в категорию «оборудование высокого давления»,</w:t>
            </w:r>
          </w:p>
        </w:tc>
        <w:tc>
          <w:tcPr>
            <w:tcW w:w="198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11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6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568" w:hanging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695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lineRule="atLeast" w:line="330" w:before="0" w:after="120"/>
              <w:ind w:left="0" w:right="0" w:hanging="0"/>
              <w:jc w:val="left"/>
              <w:rPr/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Приказ Ростехнадзора от 15.12.2020 № 536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 утверждает ФНП «Правила промышленной безопасности при использовании оборудования, работающего под избыточным давлением».</w:t>
            </w:r>
          </w:p>
        </w:tc>
        <w:tc>
          <w:tcPr>
            <w:tcW w:w="198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11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6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568" w:hanging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695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183"/>
              <w:jc w:val="both"/>
              <w:rPr>
                <w:sz w:val="24"/>
              </w:rPr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Формирование комплекта ЗИП 6000ч.</w:t>
            </w:r>
            <w:r>
              <w:rPr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 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Наличие запасных частей и инструментов для оперативной замены</w:t>
            </w:r>
          </w:p>
        </w:tc>
        <w:tc>
          <w:tcPr>
            <w:tcW w:w="198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11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6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95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iCs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шефналадке</w:t>
            </w:r>
          </w:p>
        </w:tc>
        <w:tc>
          <w:tcPr>
            <w:tcW w:w="19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1803" w:hanging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В соответствии с</w:t>
            </w:r>
          </w:p>
        </w:tc>
        <w:tc>
          <w:tcPr>
            <w:tcW w:w="4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183"/>
              <w:jc w:val="left"/>
              <w:rPr/>
            </w:pPr>
            <w:r>
              <w:rPr>
                <w:rStyle w:val="Strong"/>
                <w:rFonts w:eastAsia="Times New Roman" w:cs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ГОСТ Р 58176-2018</w:t>
            </w:r>
            <w:r>
              <w:rPr>
                <w:rFonts w:eastAsia="Times New Roman" w:cs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 «Электроэнергетика. Энергетическое строительство. Организация пусконаладочных работ на объектах тепловых электрических станций»                                                            </w:t>
            </w:r>
            <w:r>
              <w:rPr>
                <w:rStyle w:val="Strong"/>
                <w:rFonts w:eastAsia="Times New Roman" w:cs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СП 77.13330.2016</w:t>
            </w:r>
            <w:r>
              <w:rPr>
                <w:rFonts w:eastAsia="Times New Roman" w:cs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 «Системы автоматизации»</w:t>
            </w:r>
          </w:p>
        </w:tc>
        <w:tc>
          <w:tcPr>
            <w:tcW w:w="19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Гарантированное участие Поставщика при выполнении строительно-монтажных работ. Соответствие установленному требованию подтверждается путем представления Участниками закупки в составе заявки гарантийного письма о готовности выполнения шеф-услуг при выполнении строительно-монтажных работ.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95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согласованию конструкторской документации</w:t>
            </w:r>
          </w:p>
        </w:tc>
        <w:tc>
          <w:tcPr>
            <w:tcW w:w="45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183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ru-RU"/>
              </w:rPr>
              <w:t>Разработанную конструкторскую документацию поставщик должен согласовать с Заказчиком/Покупателем  до начала изготовления продукции</w:t>
            </w:r>
          </w:p>
        </w:tc>
        <w:tc>
          <w:tcPr>
            <w:tcW w:w="19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Требования к сопутствующим затратам</w:t>
            </w:r>
          </w:p>
        </w:tc>
        <w:tc>
          <w:tcPr>
            <w:tcW w:w="45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183"/>
              <w:jc w:val="both"/>
              <w:rPr>
                <w:sz w:val="24"/>
                <w:szCs w:val="24"/>
                <w:lang w:bidi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Стоимость упаковки, доставки, сборки, погрузочно-разгрузочных работ, транспортные расходы, расходы по уборке и вывозу упаковочного материала, таможенному оформлению и страхованию, </w:t>
            </w: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все налоги, сборы и другие обязательные платежи, взимаемые на территории Российской Федерации,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а также все затраты, издержки и расходы Поставщика, связанные с исполнением обязательств включены в цену Контракта.</w:t>
            </w:r>
          </w:p>
        </w:tc>
        <w:tc>
          <w:tcPr>
            <w:tcW w:w="19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в части ограничения по привлечению субподрядных организаций (указать свойства, которыми должна обладать или не обладать субподрядная организация, например: наличие лицензий, отсутствие налоговых задолженностей и т.п.)</w:t>
            </w:r>
          </w:p>
        </w:tc>
        <w:tc>
          <w:tcPr>
            <w:tcW w:w="45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183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В случае привлечения к выполнению работ субподрядных организаций Поставщик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выполнения ими работ</w:t>
            </w:r>
          </w:p>
        </w:tc>
        <w:tc>
          <w:tcPr>
            <w:tcW w:w="19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95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Cs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Требования к надежности</w:t>
            </w:r>
          </w:p>
        </w:tc>
        <w:tc>
          <w:tcPr>
            <w:tcW w:w="45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183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соответствии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с ГОСТ 27.003-2016 «Надежность в технике. Состав и общие правила задания требований по надежности»</w:t>
            </w:r>
          </w:p>
        </w:tc>
        <w:tc>
          <w:tcPr>
            <w:tcW w:w="19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Проведение испытаний</w:t>
            </w:r>
          </w:p>
        </w:tc>
        <w:tc>
          <w:tcPr>
            <w:tcW w:w="45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183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Участие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ru-RU"/>
              </w:rPr>
              <w:t xml:space="preserve"> в приемо-сдаточных испытаниях представителя Поставщика</w:t>
            </w:r>
          </w:p>
        </w:tc>
        <w:tc>
          <w:tcPr>
            <w:tcW w:w="19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Гарантированное участие Поставщика в приемо-сдаточных испытаниях.  Соответствие установленному требованию подтверждается путем представления Участниками закупки в составе заявки гарантийного письма о готовности участия Поставщика в приемо-сдаточных испытаниях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Обучение персонала Заказчика</w:t>
            </w:r>
          </w:p>
        </w:tc>
        <w:tc>
          <w:tcPr>
            <w:tcW w:w="45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183"/>
              <w:jc w:val="both"/>
              <w:rPr>
                <w:rFonts w:ascii="Times New Roman" w:hAnsi="Times New Roman" w:eastAsia="Times New Roman" w:cs="Times New Roman"/>
                <w:kern w:val="0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Перед вводом эксплуатацию персонал осуществляющий эксплуатацию компрессорного оборудования должны быть обучены.</w:t>
            </w:r>
          </w:p>
        </w:tc>
        <w:tc>
          <w:tcPr>
            <w:tcW w:w="19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Гарантированное участие Поставщика в обучении персонала Заказчика.  Соответствие установленному требованию подтверждается путем представления Участниками закупки в составе заявки гарантийного письма о готовности участия Поставщика в обучении персонала Заказчика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167" w:type="dxa"/>
            <w:gridSpan w:val="6"/>
            <w:tcBorders/>
            <w:vAlign w:val="center"/>
          </w:tcPr>
          <w:p>
            <w:pPr>
              <w:pStyle w:val="LHP1"/>
              <w:widowControl w:val="false"/>
              <w:shd w:val="clear" w:color="auto" w:fill="FFFFFF" w:themeFill="background1"/>
              <w:spacing w:before="0" w:after="0"/>
              <w:rPr>
                <w:i/>
                <w:i/>
                <w:sz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lang w:val="ru-RU" w:eastAsia="ru-RU" w:bidi="ar-SA"/>
              </w:rPr>
              <w:t>Примечание:</w:t>
            </w:r>
          </w:p>
          <w:p>
            <w:pPr>
              <w:pStyle w:val="LHP1"/>
              <w:widowControl w:val="false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855" w:right="284" w:hanging="360"/>
              <w:rPr>
                <w:i/>
                <w:i/>
                <w:sz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lang w:val="ru-RU" w:eastAsia="ru-RU" w:bidi="ar-SA"/>
              </w:rPr>
              <w:t>Указанные в настоящих ТТ ссылки на ТУ, марку (тип) продукции носят описательный, а не обязательный характер. В случае, если Участником предлагается эквивалентная продукция1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настоящих ТТ требований.</w:t>
            </w:r>
          </w:p>
          <w:p>
            <w:pPr>
              <w:pStyle w:val="LHP1"/>
              <w:widowControl w:val="false"/>
              <w:shd w:val="clear" w:color="auto" w:fill="FFFFFF" w:themeFill="background1"/>
              <w:spacing w:before="0" w:after="0"/>
              <w:ind w:left="1855" w:right="284" w:hanging="0"/>
              <w:rPr>
                <w:i/>
                <w:i/>
                <w:sz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lang w:val="ru-RU" w:eastAsia="ru-RU" w:bidi="ar-SA"/>
              </w:rPr>
              <w:t>Эквивалентная продукция (эквивалент)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В качестве альтернативы Участник может предложить свое решение (на основе собственного опыта), изменив типы, состав, конструктив перечисленного выше оборудования, но сохранив его функциональные возможности с аналогичными (или лучшими) техническими характеристиками.</w:t>
            </w:r>
          </w:p>
          <w:p>
            <w:pPr>
              <w:pStyle w:val="LHP1"/>
              <w:widowControl w:val="false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855" w:right="284" w:hanging="360"/>
              <w:rPr>
                <w:i/>
                <w:i/>
                <w:sz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lang w:val="ru-RU" w:eastAsia="ru-RU" w:bidi="ar-SA"/>
              </w:rPr>
              <w:t>В случае если какой-либо из указанных в настоящих Технических требованиях ГОСТ или нормативный документ был заменен/отменен в процессе проведения закупки в связи с выпуском новой редакции стандарта, то Участнику необходимо применять ГОСТ или нормативный документ, принятый в его развитие.</w:t>
            </w:r>
          </w:p>
          <w:p>
            <w:pPr>
              <w:pStyle w:val="LHP1"/>
              <w:widowControl w:val="false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855" w:right="284" w:hanging="360"/>
              <w:rPr>
                <w:i/>
                <w:i/>
                <w:sz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lang w:val="ru-RU" w:eastAsia="ru-RU" w:bidi="ar-SA"/>
              </w:rPr>
              <w:t>Участник в составе своей заявки для подтверждения соответствия заявленных характеристик и конструктива предложенной продукции, поставляемой продукции, требованиям настоящих ТТ, предоставляет следующие документы:</w:t>
            </w:r>
          </w:p>
          <w:p>
            <w:pPr>
              <w:pStyle w:val="LHP1"/>
              <w:widowControl w:val="false"/>
              <w:shd w:val="clear" w:color="auto" w:fill="FFFFFF" w:themeFill="background1"/>
              <w:spacing w:before="0" w:after="0"/>
              <w:ind w:left="1855" w:right="284" w:hanging="0"/>
              <w:rPr>
                <w:i/>
                <w:i/>
                <w:sz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lang w:val="ru-RU" w:eastAsia="ru-RU" w:bidi="ar-SA"/>
              </w:rPr>
              <w:t>3.1.1) Техническое предложение, подготовленное в соответствии с настоящими ТТ по форме, представленной в документации о закупке. При описании продукции Участник обязан подтвердить соответствие поставляемой продукции требованиям в отношении всех показателей, которые установлены в ТТ. При этом должны указываться точные и не допускающие двусмысленного толкования показатели.</w:t>
            </w:r>
          </w:p>
          <w:p>
            <w:pPr>
              <w:pStyle w:val="LHP1"/>
              <w:widowControl w:val="false"/>
              <w:shd w:val="clear" w:color="auto" w:fill="FFFFFF" w:themeFill="background1"/>
              <w:spacing w:before="0" w:after="0"/>
              <w:ind w:left="1855" w:right="284" w:hanging="0"/>
              <w:rPr>
                <w:i/>
                <w:i/>
                <w:color w:val="000000"/>
                <w:sz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lang w:val="ru-RU" w:eastAsia="ru-RU" w:bidi="ar-SA"/>
              </w:rPr>
              <w:t xml:space="preserve">3.2.2) В составе заявки предоставить Коммерческое предложение по форме, установленной документацией о закупке, с указанием в отношении поставляемой продукции информации о номере реестровой записи из реестра российской промышленной продукции или номере реестровой записи из евразийского экономического союза в соответствии с требованиями Постановления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 (далее - Постановление № 1875) </w:t>
            </w:r>
            <w:r>
              <w:rPr>
                <w:rFonts w:eastAsia="Times New Roman" w:cs="Times New Roman"/>
                <w:i/>
                <w:color w:val="000000"/>
                <w:kern w:val="0"/>
                <w:sz w:val="24"/>
                <w:lang w:val="ru-RU" w:eastAsia="ru-RU" w:bidi="ar-SA"/>
              </w:rPr>
              <w:t>или гарантийное письмо (в соответствие с разъяснением Министерства Финансов РФ от 31.01.2025 №24-01-06/8697) о представлении поставщиком информации и документов, подтверждающих страну происхождения товара в соответствии с требованиями Постановления № 1875 до момента поставки товара заказчику (указанные требования должны быть отражены в гарантийном письме).</w:t>
            </w:r>
          </w:p>
          <w:p>
            <w:pPr>
              <w:pStyle w:val="LHP1"/>
              <w:widowControl w:val="false"/>
              <w:shd w:val="clear" w:color="auto" w:fill="FFFFFF" w:themeFill="background1"/>
              <w:spacing w:before="0" w:after="0"/>
              <w:ind w:left="1855" w:right="284" w:hanging="0"/>
              <w:rPr>
                <w:i/>
                <w:i/>
                <w:sz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lang w:val="ru-RU" w:eastAsia="ru-RU" w:bidi="ar-SA"/>
              </w:rPr>
              <w:t>3.2.3) Декларация соответствия, в соответствии с Федеральным Законом от 27.12.2002 г. № 184-ФЗ «О техническом регулировании», Постановлением Правительства РФ от 23.12.2021 г.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соответствия»</w:t>
            </w:r>
          </w:p>
          <w:p>
            <w:pPr>
              <w:pStyle w:val="LHP1"/>
              <w:widowControl w:val="false"/>
              <w:shd w:val="clear" w:color="auto" w:fill="FFFFFF" w:themeFill="background1"/>
              <w:spacing w:before="0" w:after="0"/>
              <w:ind w:left="1855" w:right="284" w:hanging="0"/>
              <w:rPr>
                <w:sz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lang w:val="ru-RU" w:eastAsia="ru-RU" w:bidi="ar-SA"/>
              </w:rPr>
              <w:t xml:space="preserve">Декларация о соответствии должна иметь электронную регистрацию в едином реестре деклараций на сайте </w:t>
            </w:r>
            <w:r>
              <w:rPr>
                <w:rFonts w:eastAsia="Times New Roman" w:cs="Times New Roman"/>
                <w:i/>
                <w:kern w:val="0"/>
                <w:sz w:val="24"/>
                <w:lang w:val="en-US" w:eastAsia="ru-RU" w:bidi="ar-SA"/>
              </w:rPr>
              <w:t>https</w:t>
            </w:r>
            <w:r>
              <w:rPr>
                <w:rFonts w:eastAsia="Times New Roman" w:cs="Times New Roman"/>
                <w:i/>
                <w:kern w:val="0"/>
                <w:sz w:val="24"/>
                <w:lang w:val="ru-RU" w:eastAsia="ru-RU" w:bidi="ar-SA"/>
              </w:rPr>
              <w:t>://</w:t>
            </w:r>
            <w:r>
              <w:rPr>
                <w:rFonts w:eastAsia="Times New Roman" w:cs="Times New Roman"/>
                <w:i/>
                <w:kern w:val="0"/>
                <w:sz w:val="24"/>
                <w:lang w:val="en-US" w:eastAsia="ru-RU" w:bidi="ar-SA"/>
              </w:rPr>
              <w:t>fsa</w:t>
            </w:r>
            <w:r>
              <w:rPr>
                <w:rFonts w:eastAsia="Times New Roman" w:cs="Times New Roman"/>
                <w:i/>
                <w:kern w:val="0"/>
                <w:sz w:val="24"/>
                <w:lang w:val="ru-RU" w:eastAsia="ru-RU" w:bidi="ar-SA"/>
              </w:rPr>
              <w:t>.</w:t>
            </w:r>
            <w:r>
              <w:rPr>
                <w:rFonts w:eastAsia="Times New Roman" w:cs="Times New Roman"/>
                <w:i/>
                <w:kern w:val="0"/>
                <w:sz w:val="24"/>
                <w:lang w:val="en-US" w:eastAsia="ru-RU" w:bidi="ar-SA"/>
              </w:rPr>
              <w:t>gov</w:t>
            </w:r>
            <w:r>
              <w:rPr>
                <w:rFonts w:eastAsia="Times New Roman" w:cs="Times New Roman"/>
                <w:i/>
                <w:kern w:val="0"/>
                <w:sz w:val="24"/>
                <w:lang w:val="ru-RU" w:eastAsia="ru-RU" w:bidi="ar-SA"/>
              </w:rPr>
              <w:t>.</w:t>
            </w:r>
            <w:r>
              <w:rPr>
                <w:rFonts w:eastAsia="Times New Roman" w:cs="Times New Roman"/>
                <w:i/>
                <w:kern w:val="0"/>
                <w:sz w:val="24"/>
                <w:lang w:val="en-US" w:eastAsia="ru-RU" w:bidi="ar-SA"/>
              </w:rPr>
              <w:t>ru</w:t>
            </w:r>
            <w:r>
              <w:rPr>
                <w:rFonts w:eastAsia="Times New Roman" w:cs="Times New Roman"/>
                <w:i/>
                <w:kern w:val="0"/>
                <w:sz w:val="24"/>
                <w:lang w:val="ru-RU" w:eastAsia="ru-RU" w:bidi="ar-SA"/>
              </w:rPr>
              <w:t>/(требование п.6 ст.24 ФЗ-184.</w:t>
            </w:r>
          </w:p>
        </w:tc>
      </w:tr>
    </w:tbl>
    <w:p>
      <w:pPr>
        <w:sectPr>
          <w:headerReference w:type="default" r:id="rId6"/>
          <w:headerReference w:type="first" r:id="rId7"/>
          <w:footerReference w:type="default" r:id="rId8"/>
          <w:footerReference w:type="first" r:id="rId9"/>
          <w:type w:val="nextPage"/>
          <w:pgSz w:orient="landscape" w:w="16838" w:h="11906"/>
          <w:pgMar w:left="992" w:right="567" w:gutter="0" w:header="680" w:top="851" w:footer="737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52" w:name="_Toc227670209"/>
      <w:bookmarkStart w:id="53" w:name="_Toc125709846"/>
      <w:bookmarkStart w:id="54" w:name="_Toc53393312"/>
      <w:bookmarkStart w:id="55" w:name="_Toc53395937"/>
      <w:bookmarkStart w:id="56" w:name="_Toc214892778"/>
      <w:bookmarkStart w:id="57" w:name="_Toc46743519"/>
      <w:bookmarkStart w:id="58" w:name="_Toc51339699"/>
      <w:bookmarkEnd w:id="57"/>
      <w:bookmarkEnd w:id="58"/>
      <w:r>
        <w:rPr>
          <w:lang w:val="ru-RU"/>
        </w:rPr>
        <w:t>Требования к документации по ценообразованию</w:t>
      </w:r>
      <w:bookmarkEnd w:id="52"/>
      <w:bookmarkEnd w:id="53"/>
      <w:bookmarkEnd w:id="54"/>
      <w:bookmarkEnd w:id="55"/>
      <w:bookmarkEnd w:id="56"/>
    </w:p>
    <w:p>
      <w:pPr>
        <w:pStyle w:val="ConsPlusNormal1"/>
        <w:spacing w:before="0" w:after="0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определении стоимости работ (услуг) и оформлению сметной документации применять в обязательном порядке «Требования к оформлению и составлению сметной документации …», указанные в Приложениях №№ 2 Технических требований.</w:t>
      </w:r>
    </w:p>
    <w:p>
      <w:pPr>
        <w:pStyle w:val="Heading1"/>
        <w:keepLines/>
        <w:numPr>
          <w:ilvl w:val="0"/>
          <w:numId w:val="0"/>
        </w:numPr>
        <w:ind w:left="357" w:hanging="0"/>
        <w:rPr>
          <w:iCs/>
          <w:caps/>
          <w:lang w:val="ru-RU"/>
        </w:rPr>
      </w:pPr>
      <w:r>
        <w:rPr>
          <w:iCs/>
          <w:caps/>
          <w:lang w:val="ru-RU"/>
        </w:rPr>
      </w:r>
    </w:p>
    <w:p>
      <w:pPr>
        <w:pStyle w:val="Normal"/>
        <w:rPr>
          <w:iCs/>
          <w:caps/>
        </w:rPr>
      </w:pPr>
      <w:r>
        <w:rPr>
          <w:iCs/>
          <w:caps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</w:rPr>
      </w:pPr>
      <w:bookmarkStart w:id="59" w:name="_Toc214892779"/>
      <w:bookmarkStart w:id="60" w:name="_Toc227670210"/>
      <w:bookmarkStart w:id="61" w:name="_Toc125709847"/>
      <w:r>
        <w:rPr>
          <w:iCs/>
          <w:lang w:val="ru-RU"/>
        </w:rPr>
        <w:t>Приложения</w:t>
      </w:r>
      <w:bookmarkEnd w:id="59"/>
      <w:bookmarkEnd w:id="60"/>
      <w:bookmarkEnd w:id="61"/>
    </w:p>
    <w:p>
      <w:pPr>
        <w:pStyle w:val="Heading4"/>
        <w:numPr>
          <w:ilvl w:val="1"/>
          <w:numId w:val="3"/>
        </w:numPr>
        <w:rPr>
          <w:bCs w:val="false"/>
          <w:lang w:val="ru-RU"/>
        </w:rPr>
      </w:pPr>
      <w:bookmarkStart w:id="62" w:name="_Toc227670211"/>
      <w:r>
        <w:rPr>
          <w:bCs w:val="false"/>
          <w:lang w:val="ru-RU"/>
        </w:rPr>
        <w:t>Приложение №1:</w:t>
      </w:r>
      <w:bookmarkEnd w:id="62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rStyle w:val="Style8"/>
          <w:b w:val="false"/>
          <w:i w:val="false"/>
          <w:i w:val="false"/>
          <w:sz w:val="24"/>
          <w:szCs w:val="24"/>
          <w:shd w:fill="FFFFFF" w:val="clear"/>
        </w:rPr>
      </w:pPr>
      <w:r>
        <w:rPr/>
      </w:r>
    </w:p>
    <w:sectPr>
      <w:headerReference w:type="default" r:id="rId10"/>
      <w:headerReference w:type="first" r:id="rId11"/>
      <w:footerReference w:type="default" r:id="rId12"/>
      <w:footerReference w:type="first" r:id="rId13"/>
      <w:type w:val="nextPage"/>
      <w:pgSz w:w="11906" w:h="16838"/>
      <w:pgMar w:left="1134" w:right="851" w:gutter="0" w:header="680" w:top="1134" w:footer="737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19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21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185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401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7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5" w:hanging="180"/>
      </w:pPr>
      <w:rPr/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0"/>
        </w:tabs>
        <w:ind w:left="78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>
    <w:name w:val="Strong1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ConsPlusNormal" w:customStyle="1">
    <w:name w:val="ConsPlusNormal Знак"/>
    <w:link w:val="ConsPlusNormal1"/>
    <w:qFormat/>
    <w:rsid w:val="00e5263a"/>
    <w:rPr>
      <w:rFonts w:ascii="Arial" w:hAnsi="Arial" w:cs="Arial"/>
    </w:rPr>
  </w:style>
  <w:style w:type="character" w:styleId="Extended-textshort" w:customStyle="1">
    <w:name w:val="extended-text__short"/>
    <w:basedOn w:val="DefaultParagraphFont"/>
    <w:qFormat/>
    <w:rsid w:val="007b2b49"/>
    <w:rPr/>
  </w:style>
  <w:style w:type="character" w:styleId="LHP" w:customStyle="1">
    <w:name w:val="LHP_Основной текст Знак"/>
    <w:basedOn w:val="DefaultParagraphFont"/>
    <w:link w:val="LHP1"/>
    <w:qFormat/>
    <w:rsid w:val="00cd7001"/>
    <w:rPr>
      <w:sz w:val="26"/>
      <w:szCs w:val="24"/>
    </w:rPr>
  </w:style>
  <w:style w:type="character" w:styleId="Style14">
    <w:name w:val="Ссылка указателя"/>
    <w:qFormat/>
    <w:rPr/>
  </w:style>
  <w:style w:type="character" w:styleId="Strong2">
    <w:name w:val="Strong2"/>
    <w:qFormat/>
    <w:rPr>
      <w:b/>
      <w:bCs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0z1">
    <w:name w:val="WW8Num40z1"/>
    <w:qFormat/>
    <w:rPr>
      <w:rFonts w:ascii="Courier New" w:hAnsi="Courier New" w:cs="Courier New"/>
    </w:rPr>
  </w:style>
  <w:style w:type="character" w:styleId="WW8Num40z2">
    <w:name w:val="WW8Num40z2"/>
    <w:qFormat/>
    <w:rPr>
      <w:rFonts w:ascii="Wingdings" w:hAnsi="Wingdings" w:cs="Wingdings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link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HEADERTEXT" w:customStyle="1">
    <w:name w:val=".HEADERTEXT"/>
    <w:basedOn w:val="Normal"/>
    <w:uiPriority w:val="99"/>
    <w:qFormat/>
    <w:rsid w:val="00a060c8"/>
    <w:pPr/>
    <w:rPr>
      <w:rFonts w:eastAsia="Calibri" w:eastAsiaTheme="minorHAnsi"/>
      <w:color w:val="2B4279"/>
      <w:sz w:val="24"/>
      <w:szCs w:val="24"/>
    </w:rPr>
  </w:style>
  <w:style w:type="paragraph" w:styleId="LHP1" w:customStyle="1">
    <w:name w:val="LHP_Основной текст"/>
    <w:link w:val="LHP"/>
    <w:qFormat/>
    <w:rsid w:val="00cd7001"/>
    <w:pPr>
      <w:widowControl w:val="false"/>
      <w:suppressAutoHyphens w:val="true"/>
      <w:bidi w:val="0"/>
      <w:spacing w:lineRule="auto" w:line="360" w:before="0" w:after="0"/>
      <w:ind w:left="284" w:right="284" w:firstLine="851"/>
      <w:jc w:val="both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WW8Num40">
    <w:name w:val="WW8Num40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497D7-8CF8-40A3-AFBE-40A085381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Application>AlterOffice/2025.3.1.0$Linux_X86_64 LibreOffice_project/431cd1b79110582f53535c95ed0a2449aadc8bf9</Application>
  <AppVersion>15.0000</AppVersion>
  <Pages>21</Pages>
  <Words>2625</Words>
  <Characters>18626</Characters>
  <CharactersWithSpaces>21025</CharactersWithSpaces>
  <Paragraphs>346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2026-04-21T10:23:00Z</dcterms:created>
  <dc:creator>Быстров Олег Геннадьевич</dc:creator>
  <dc:description/>
  <dc:language>ru-RU</dc:language>
  <cp:lastModifiedBy>abdulaevma@corp.gidroogk.com</cp:lastModifiedBy>
  <cp:lastPrinted>2025-10-04T14:28:00Z</cp:lastPrinted>
  <dcterms:modified xsi:type="dcterms:W3CDTF">2026-07-21T14:21:20Z</dcterms:modified>
  <cp:revision>83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