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rFonts w:eastAsia="Calibri"/>
          <w:b/>
          <w:sz w:val="24"/>
          <w:szCs w:val="24"/>
          <w:lang w:eastAsia="x-none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rFonts w:eastAsia="Calibri"/>
          <w:b/>
          <w:sz w:val="24"/>
          <w:szCs w:val="24"/>
          <w:lang w:eastAsia="x-none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rFonts w:eastAsia="Calibri"/>
          <w:b/>
          <w:sz w:val="24"/>
          <w:szCs w:val="24"/>
          <w:lang w:eastAsia="x-none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rFonts w:eastAsia="Calibri"/>
          <w:b/>
          <w:sz w:val="24"/>
          <w:szCs w:val="24"/>
          <w:lang w:eastAsia="x-none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rFonts w:eastAsia="Calibri"/>
          <w:b/>
          <w:sz w:val="24"/>
          <w:szCs w:val="24"/>
          <w:lang w:eastAsia="x-none"/>
        </w:rPr>
      </w:pPr>
      <w:r>
        <w:rPr>
          <w:sz w:val="26"/>
          <w:szCs w:val="26"/>
        </w:rPr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left="5839" w:hanging="0"/>
        <w:rPr>
          <w:rFonts w:eastAsia="Calibri"/>
          <w:b/>
          <w:sz w:val="24"/>
          <w:szCs w:val="24"/>
          <w:lang w:eastAsia="x-none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widowControl w:val="false"/>
        <w:tabs>
          <w:tab w:val="clear" w:pos="225"/>
          <w:tab w:val="left" w:pos="426" w:leader="none"/>
        </w:tabs>
        <w:jc w:val="center"/>
        <w:rPr/>
      </w:pPr>
      <w:r>
        <w:rPr>
          <w:rFonts w:eastAsia="Calibri"/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 xml:space="preserve">КПД2 </w:t>
      </w:r>
      <w:r>
        <w:rPr>
          <w:sz w:val="24"/>
        </w:rPr>
        <w:t xml:space="preserve">26.40.33 </w:t>
      </w:r>
      <w:r>
        <w:rPr>
          <w:color w:val="auto"/>
          <w:sz w:val="24"/>
          <w:szCs w:val="24"/>
        </w:rPr>
        <w:t>«</w:t>
      </w:r>
      <w:r>
        <w:rPr>
          <w:sz w:val="24"/>
          <w:szCs w:val="24"/>
        </w:rPr>
        <w:t xml:space="preserve">Поставка МТР пульта запуска ЛСО  для </w:t>
      </w:r>
      <w:r>
        <w:rPr>
          <w:color w:val="auto"/>
          <w:sz w:val="24"/>
          <w:szCs w:val="24"/>
        </w:rPr>
        <w:t>Филиала ПАО «РусГидро»-«Жигулевская ГЭС»</w:t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right" w:pos="9921" w:leader="dot"/>
            </w:tabs>
            <w:rPr/>
          </w:pPr>
          <w:r>
            <w:fldChar w:fldCharType="begin"/>
          </w:r>
          <w:r>
            <w:rPr>
              <w:rStyle w:val="Style14"/>
            </w:rPr>
            <w:instrText xml:space="preserve"> TOC \o "1-4" \h</w:instrText>
          </w:r>
          <w:r>
            <w:rPr>
              <w:rStyle w:val="Style14"/>
            </w:rPr>
            <w:fldChar w:fldCharType="separate"/>
          </w:r>
          <w:hyperlink w:anchor="__RefHeading___Toc903_40715321">
            <w:r>
              <w:rPr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05_40715321">
            <w:r>
              <w:rPr>
                <w:rStyle w:val="Style14"/>
                <w:sz w:val="24"/>
                <w:szCs w:val="24"/>
              </w:rPr>
              <w:t>1.1. Обозначения и сокращения</w:t>
              <w:tab/>
              <w:t>3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07_40715321">
            <w:r>
              <w:rPr>
                <w:rStyle w:val="Style14"/>
                <w:sz w:val="24"/>
                <w:szCs w:val="24"/>
              </w:rPr>
              <w:t>1.2. Наименование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09_40715321">
            <w:r>
              <w:rPr>
                <w:rStyle w:val="Style14"/>
                <w:sz w:val="24"/>
                <w:szCs w:val="24"/>
              </w:rPr>
              <w:t>1.3. Цель использования закупаемой продукции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1_40715321">
            <w:r>
              <w:rPr>
                <w:rStyle w:val="Style14"/>
                <w:sz w:val="24"/>
                <w:szCs w:val="24"/>
              </w:rPr>
              <w:t>1.4. Существующее положение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3_40715321">
            <w:r>
              <w:rPr>
                <w:rStyle w:val="Style14"/>
                <w:sz w:val="24"/>
                <w:szCs w:val="24"/>
              </w:rPr>
              <w:t>1.5. 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  <w:tab/>
              <w:t>4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5_40715321">
            <w:r>
              <w:rPr>
                <w:rStyle w:val="Style14"/>
                <w:sz w:val="24"/>
                <w:szCs w:val="24"/>
              </w:rPr>
              <w:t>1.6. Иные требования и сведения общего характера</w:t>
              <w:tab/>
              <w:t>4</w:t>
            </w:r>
          </w:hyperlink>
        </w:p>
        <w:p>
          <w:pPr>
            <w:pStyle w:val="TOC1"/>
            <w:tabs>
              <w:tab w:val="right" w:pos="9921" w:leader="dot"/>
            </w:tabs>
            <w:rPr/>
          </w:pPr>
          <w:hyperlink w:anchor="__RefHeading___Toc917_40715321">
            <w:r>
              <w:rPr>
                <w:rStyle w:val="Style14"/>
              </w:rPr>
              <w:t xml:space="preserve">2. </w:t>
            </w:r>
            <w:r>
              <w:rPr>
                <w:rStyle w:val="Style14"/>
                <w:iCs/>
              </w:rPr>
              <w:t>Требования к продукции</w:t>
            </w:r>
            <w:r>
              <w:rPr>
                <w:rStyle w:val="Style14"/>
              </w:rPr>
              <w:tab/>
            </w:r>
          </w:hyperlink>
          <w:r>
            <w:rPr/>
            <w:t>4</w:t>
          </w:r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19_40715321">
            <w:r>
              <w:rPr>
                <w:rStyle w:val="Style14"/>
                <w:sz w:val="24"/>
                <w:szCs w:val="24"/>
              </w:rPr>
              <w:t>2.1. Требования к объемам и срокам поставки</w:t>
              <w:tab/>
              <w:t>4</w:t>
            </w:r>
          </w:hyperlink>
        </w:p>
        <w:p>
          <w:pPr>
            <w:pStyle w:val="TOC3"/>
            <w:tabs>
              <w:tab w:val="clear" w:pos="225"/>
              <w:tab w:val="right" w:pos="9921" w:leader="dot"/>
            </w:tabs>
            <w:rPr/>
          </w:pPr>
          <w:r>
            <w:rPr>
              <w:b w:val="false"/>
              <w:szCs w:val="24"/>
            </w:rPr>
            <w:t xml:space="preserve">     </w:t>
          </w:r>
          <w:hyperlink w:anchor="__RefHeading___Toc921_40715321">
            <w:r>
              <w:rPr>
                <w:rStyle w:val="Style14"/>
                <w:b w:val="false"/>
                <w:szCs w:val="24"/>
              </w:rPr>
              <w:t>2.1.1. Перечень и объем закупаемой продукции</w:t>
              <w:tab/>
            </w:r>
          </w:hyperlink>
          <w:r>
            <w:rPr>
              <w:b w:val="false"/>
              <w:szCs w:val="24"/>
            </w:rPr>
            <w:t>4</w:t>
          </w:r>
        </w:p>
        <w:p>
          <w:pPr>
            <w:pStyle w:val="TOC3"/>
            <w:tabs>
              <w:tab w:val="clear" w:pos="225"/>
              <w:tab w:val="right" w:pos="9921" w:leader="dot"/>
            </w:tabs>
            <w:rPr/>
          </w:pPr>
          <w:r>
            <w:rPr>
              <w:b w:val="false"/>
              <w:szCs w:val="24"/>
            </w:rPr>
            <w:t xml:space="preserve">     </w:t>
          </w:r>
          <w:hyperlink w:anchor="__RefHeading___Toc925_40715321">
            <w:r>
              <w:rPr>
                <w:rStyle w:val="Style14"/>
                <w:b w:val="false"/>
                <w:szCs w:val="24"/>
              </w:rPr>
              <w:t>2.1.2. Требования к срокам поставки продукции и оказания сопутствующих услуг</w:t>
              <w:tab/>
              <w:t>5</w:t>
            </w:r>
          </w:hyperlink>
        </w:p>
        <w:p>
          <w:pPr>
            <w:pStyle w:val="TOC4"/>
            <w:tabs>
              <w:tab w:val="clear" w:pos="225"/>
              <w:tab w:val="right" w:pos="9921" w:leader="dot"/>
            </w:tabs>
            <w:rPr/>
          </w:pPr>
          <w:hyperlink w:anchor="__RefHeading___Toc929_40715321">
            <w:r>
              <w:rPr>
                <w:rStyle w:val="Style14"/>
                <w:sz w:val="24"/>
                <w:szCs w:val="24"/>
              </w:rPr>
              <w:t>2.2. Требования к качеству продукции</w:t>
              <w:tab/>
              <w:t>6</w:t>
            </w:r>
          </w:hyperlink>
        </w:p>
        <w:p>
          <w:pPr>
            <w:pStyle w:val="TOC1"/>
            <w:tabs>
              <w:tab w:val="right" w:pos="9921" w:leader="dot"/>
            </w:tabs>
            <w:rPr/>
          </w:pPr>
          <w:hyperlink w:anchor="__RefHeading___Toc935_40715321">
            <w:r>
              <w:rPr>
                <w:rStyle w:val="Style14"/>
              </w:rPr>
              <w:t>3. Требования к документации по ценообразованию на этапе закупки</w:t>
              <w:tab/>
              <w:t>1</w:t>
            </w:r>
          </w:hyperlink>
          <w:r>
            <w:rPr/>
            <w:t>1</w:t>
          </w:r>
          <w:r>
            <w:rPr/>
            <w:fldChar w:fldCharType="end"/>
          </w:r>
        </w:p>
      </w:sdtContent>
    </w:sdt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caps/>
          <w:lang w:val="ru-RU"/>
        </w:rPr>
      </w:pPr>
      <w:bookmarkStart w:id="0" w:name="__RefHeading___Toc903_40715321"/>
      <w:bookmarkStart w:id="1" w:name="_Toc51339692"/>
      <w:bookmarkStart w:id="2" w:name="_Toc75446566"/>
      <w:bookmarkEnd w:id="0"/>
      <w:bookmarkEnd w:id="1"/>
      <w:bookmarkEnd w:id="2"/>
      <w:r>
        <w:rPr>
          <w:lang w:val="ru-RU"/>
        </w:rPr>
        <w:t>Общие сведения</w:t>
      </w:r>
    </w:p>
    <w:p>
      <w:pPr>
        <w:pStyle w:val="Heading4"/>
        <w:numPr>
          <w:ilvl w:val="1"/>
          <w:numId w:val="1"/>
        </w:numPr>
        <w:rPr/>
      </w:pPr>
      <w:bookmarkStart w:id="3" w:name="__RefHeading___Toc905_40715321"/>
      <w:bookmarkStart w:id="4" w:name="_Toc46743505"/>
      <w:bookmarkStart w:id="5" w:name="_Toc75446567"/>
      <w:bookmarkEnd w:id="3"/>
      <w:bookmarkEnd w:id="4"/>
      <w:bookmarkEnd w:id="5"/>
      <w:r>
        <w:rPr/>
        <w:t>Обозначения и сокращения</w:t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Филиал ПАО «РусГидро» - «Жигулевская ГЭС»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i w:val="false"/>
                <w:sz w:val="24"/>
                <w:szCs w:val="24"/>
                <w:shd w:fill="FFFFFF" w:val="clear"/>
              </w:rPr>
              <w:t>МТР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/>
            </w:pPr>
            <w:r>
              <w:rPr>
                <w:rStyle w:val="Style8"/>
                <w:bCs/>
                <w:i w:val="false"/>
                <w:sz w:val="24"/>
                <w:szCs w:val="24"/>
                <w:shd w:fill="FFFFFF" w:val="clear"/>
              </w:rPr>
              <w:t>Материально-технические ресурсы, включая материалы и запчасти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Персональный компьютер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ТТ</w:t>
            </w:r>
          </w:p>
        </w:tc>
        <w:tc>
          <w:tcPr>
            <w:tcW w:w="79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pacing w:before="12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требования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1"/>
        </w:numPr>
        <w:rPr/>
      </w:pPr>
      <w:bookmarkStart w:id="6" w:name="__RefHeading___Toc907_40715321"/>
      <w:bookmarkStart w:id="7" w:name="_Toc75446568"/>
      <w:bookmarkStart w:id="8" w:name="_Toc46743506"/>
      <w:bookmarkEnd w:id="6"/>
      <w:bookmarkEnd w:id="7"/>
      <w:bookmarkEnd w:id="8"/>
      <w:r>
        <w:rPr/>
        <w:t>Наименование закупаемой продукции</w:t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120"/>
        <w:jc w:val="both"/>
        <w:rPr/>
      </w:pPr>
      <w:r>
        <w:rPr>
          <w:rFonts w:eastAsia="Calibri"/>
          <w:color w:val="auto"/>
          <w:sz w:val="24"/>
          <w:szCs w:val="24"/>
        </w:rPr>
        <w:t>О</w:t>
      </w:r>
      <w:r>
        <w:rPr>
          <w:color w:val="auto"/>
          <w:sz w:val="24"/>
          <w:szCs w:val="24"/>
        </w:rPr>
        <w:t xml:space="preserve">КПД2 </w:t>
      </w:r>
      <w:r>
        <w:rPr>
          <w:color w:val="000000"/>
          <w:sz w:val="24"/>
          <w:szCs w:val="24"/>
        </w:rPr>
        <w:t>26.40.33</w:t>
      </w:r>
      <w:r>
        <w:rPr>
          <w:color w:val="auto"/>
          <w:sz w:val="24"/>
          <w:szCs w:val="24"/>
        </w:rPr>
        <w:t xml:space="preserve"> «</w:t>
      </w:r>
      <w:r>
        <w:rPr>
          <w:sz w:val="24"/>
          <w:szCs w:val="24"/>
        </w:rPr>
        <w:t xml:space="preserve">Поставка МТР пульта запуска ЛСО  для </w:t>
      </w:r>
      <w:r>
        <w:rPr>
          <w:color w:val="auto"/>
          <w:sz w:val="24"/>
          <w:szCs w:val="24"/>
        </w:rPr>
        <w:t>Филиала ПАО «РусГидро» - «Жигулевская ГЭС».</w:t>
      </w:r>
    </w:p>
    <w:p>
      <w:pPr>
        <w:pStyle w:val="Heading4"/>
        <w:numPr>
          <w:ilvl w:val="1"/>
          <w:numId w:val="1"/>
        </w:numPr>
        <w:spacing w:before="240" w:after="60"/>
        <w:ind w:left="431" w:hanging="431"/>
        <w:rPr/>
      </w:pPr>
      <w:bookmarkStart w:id="9" w:name="__RefHeading___Toc909_40715321"/>
      <w:bookmarkStart w:id="10" w:name="_Toc75446569"/>
      <w:bookmarkStart w:id="11" w:name="_Toc46743507"/>
      <w:bookmarkEnd w:id="9"/>
      <w:r>
        <w:rPr/>
        <w:t xml:space="preserve">Цель </w:t>
      </w:r>
      <w:bookmarkEnd w:id="11"/>
      <w:r>
        <w:rPr>
          <w:lang w:val="ru-RU"/>
        </w:rPr>
        <w:t xml:space="preserve">использования закупаемой продукции </w:t>
      </w:r>
      <w:bookmarkEnd w:id="10"/>
      <w:r>
        <w:rPr/>
        <w:t xml:space="preserve"> </w:t>
      </w:r>
    </w:p>
    <w:p>
      <w:pPr>
        <w:pStyle w:val="Normal"/>
        <w:widowControl w:val="false"/>
        <w:tabs>
          <w:tab w:val="clear" w:pos="225"/>
          <w:tab w:val="left" w:pos="426" w:leader="none"/>
        </w:tabs>
        <w:spacing w:before="120" w:after="240"/>
        <w:jc w:val="both"/>
        <w:rPr/>
      </w:pPr>
      <w:r>
        <w:rPr>
          <w:rStyle w:val="Style8"/>
          <w:bCs/>
          <w:i w:val="false"/>
          <w:sz w:val="24"/>
          <w:szCs w:val="24"/>
          <w:shd w:fill="FFFFFF" w:val="clear"/>
        </w:rPr>
        <w:t>МТР закупаются для использования в производственной деятельности.</w:t>
      </w:r>
    </w:p>
    <w:p>
      <w:pPr>
        <w:pStyle w:val="Heading4"/>
        <w:numPr>
          <w:ilvl w:val="1"/>
          <w:numId w:val="1"/>
        </w:numPr>
        <w:ind w:left="0" w:firstLine="57"/>
        <w:rPr/>
      </w:pPr>
      <w:bookmarkStart w:id="12" w:name="__RefHeading___Toc913_40715321"/>
      <w:bookmarkStart w:id="13" w:name="_Hlk49857604"/>
      <w:bookmarkStart w:id="14" w:name="_Toc75446571"/>
      <w:bookmarkStart w:id="15" w:name="_Toc46743509"/>
      <w:bookmarkEnd w:id="12"/>
      <w:r>
        <w:rPr/>
        <w:t xml:space="preserve">Информация в отношении исполнения договора, </w:t>
      </w:r>
      <w:bookmarkStart w:id="16" w:name="_Hlk46492347"/>
      <w:r>
        <w:rPr/>
        <w:t>которая должна быть учтена при подготовке заявк</w:t>
      </w:r>
      <w:bookmarkEnd w:id="16"/>
      <w:r>
        <w:rPr/>
        <w:t xml:space="preserve">и 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bookmarkEnd w:id="13"/>
      <w:bookmarkEnd w:id="14"/>
      <w:bookmarkEnd w:id="15"/>
      <w:r>
        <w:rPr/>
        <w:t xml:space="preserve"> на этапе исполнения договора)</w:t>
      </w:r>
    </w:p>
    <w:p>
      <w:pPr>
        <w:pStyle w:val="Normal"/>
        <w:spacing w:before="0" w:after="60"/>
        <w:jc w:val="both"/>
        <w:rPr/>
      </w:pPr>
      <w:r>
        <w:rPr/>
        <w:tab/>
      </w:r>
      <w:r>
        <w:rPr>
          <w:sz w:val="24"/>
          <w:szCs w:val="24"/>
        </w:rPr>
        <w:tab/>
        <w:t xml:space="preserve">Товары </w:t>
      </w:r>
      <w:r>
        <w:rPr>
          <w:rStyle w:val="Style8"/>
          <w:rFonts w:eastAsia="Calibri"/>
          <w:bCs/>
          <w:i w:val="false"/>
          <w:sz w:val="24"/>
          <w:szCs w:val="24"/>
          <w:shd w:fill="FFFFFF" w:val="clear"/>
          <w:lang w:eastAsia="x-none"/>
        </w:rPr>
        <w:t>поставляются на склад Заказчика по адресу: филиал ПАО «РусГидро» - «Жигулевская ГЭС», Московское шоссе, д.2, г. Жигулевск, Самарская обл., Российская Федерация, 445350.</w:t>
      </w:r>
    </w:p>
    <w:p>
      <w:pPr>
        <w:pStyle w:val="Heading4"/>
        <w:numPr>
          <w:ilvl w:val="1"/>
          <w:numId w:val="1"/>
        </w:numPr>
        <w:rPr/>
      </w:pPr>
      <w:bookmarkStart w:id="17" w:name="__RefHeading___Toc915_40715321"/>
      <w:bookmarkStart w:id="18" w:name="_Toc50125126"/>
      <w:bookmarkStart w:id="19" w:name="_Toc46743510"/>
      <w:bookmarkStart w:id="20" w:name="_Hlk482097611"/>
      <w:bookmarkStart w:id="21" w:name="_Toc75446572"/>
      <w:bookmarkEnd w:id="17"/>
      <w:bookmarkEnd w:id="18"/>
      <w:bookmarkEnd w:id="19"/>
      <w:bookmarkEnd w:id="20"/>
      <w:bookmarkEnd w:id="21"/>
      <w:r>
        <w:rPr/>
        <w:t>Иные требования и сведения общего характера</w:t>
      </w:r>
    </w:p>
    <w:p>
      <w:pPr>
        <w:pStyle w:val="Normal"/>
        <w:ind w:firstLine="426"/>
        <w:jc w:val="both"/>
        <w:rPr/>
      </w:pPr>
      <w:r>
        <w:rPr>
          <w:bCs/>
          <w:sz w:val="24"/>
          <w:szCs w:val="24"/>
        </w:rPr>
        <w:t>Участник готовит и предоставляет информацию согласно требованиям настоящих ТТ как в текстовой форме, так и в виде заполнения таблиц, указанных в настоящем ТТ. Все включенные в предложение в соответствии с настоящими ТТ таблицы Участника должны иметь электронную версию в формате совместимом с программными продуктами AlterOffice, LibreOffice и MS Office.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ind w:firstLine="510"/>
        <w:jc w:val="both"/>
        <w:rPr/>
      </w:pPr>
      <w:r>
        <w:rPr>
          <w:rFonts w:eastAsia="Calibri"/>
          <w:sz w:val="24"/>
          <w:szCs w:val="24"/>
          <w:lang w:eastAsia="x-none"/>
        </w:rPr>
        <w:t>Участник должен представить техническое предложение, состоящее из комментариев по исполнению требований Таблицы 3 настоящих ТТ, заполнив столбец 6 «Предложение участника по характеристикам и параметрам».</w:t>
      </w:r>
    </w:p>
    <w:p>
      <w:pPr>
        <w:pStyle w:val="Normal"/>
        <w:ind w:firstLine="426"/>
        <w:jc w:val="both"/>
        <w:rPr/>
      </w:pPr>
      <w:r>
        <w:rPr>
          <w:rStyle w:val="Style8"/>
          <w:rFonts w:eastAsia="Calibri"/>
          <w:i w:val="false"/>
          <w:sz w:val="24"/>
          <w:szCs w:val="24"/>
          <w:shd w:fill="FFFFFF" w:val="clear"/>
          <w:lang w:eastAsia="x-none"/>
        </w:rPr>
        <w:t xml:space="preserve">При составлении технического предложения возможно использование эквивалентной продукции. Эквивалентной продукцией является товар, который по техническим и функциональным характеристикам, установочным размерам, не уступает характеристикам, заявленным в документации о закупке, в том числе, по гарантийным срокам и срокам эксплуатации. 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Неисполнение вышеуказанных требований будет служить основанием для отклонения заявки Участника.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iCs/>
          <w:caps/>
          <w:lang w:val="ru-RU"/>
        </w:rPr>
      </w:pPr>
      <w:bookmarkStart w:id="22" w:name="__RefHeading___Toc917_40715321"/>
      <w:bookmarkStart w:id="23" w:name="_Toc51339693"/>
      <w:bookmarkStart w:id="24" w:name="_Toc75446573"/>
      <w:bookmarkEnd w:id="22"/>
      <w:bookmarkEnd w:id="23"/>
      <w:bookmarkEnd w:id="24"/>
      <w:r>
        <w:rPr>
          <w:iCs/>
        </w:rPr>
        <w:t>Требования к продукции</w:t>
      </w:r>
    </w:p>
    <w:p>
      <w:pPr>
        <w:pStyle w:val="Heading4"/>
        <w:numPr>
          <w:ilvl w:val="1"/>
          <w:numId w:val="1"/>
        </w:numPr>
        <w:rPr/>
      </w:pPr>
      <w:bookmarkStart w:id="25" w:name="__RefHeading___Toc919_40715321"/>
      <w:bookmarkStart w:id="26" w:name="_Toc75446574"/>
      <w:bookmarkEnd w:id="25"/>
      <w:r>
        <w:rPr/>
        <w:t xml:space="preserve">Требования к объемам и срокам </w:t>
      </w:r>
      <w:bookmarkEnd w:id="26"/>
      <w:r>
        <w:rPr>
          <w:lang w:val="ru-RU"/>
        </w:rPr>
        <w:t>поставки</w:t>
      </w:r>
    </w:p>
    <w:p>
      <w:pPr>
        <w:pStyle w:val="Heading3"/>
        <w:numPr>
          <w:ilvl w:val="2"/>
          <w:numId w:val="1"/>
        </w:numPr>
        <w:rPr>
          <w:lang w:val="ru-RU"/>
        </w:rPr>
      </w:pPr>
      <w:bookmarkStart w:id="27" w:name="__RefHeading___Toc921_40715321"/>
      <w:bookmarkStart w:id="28" w:name="_Toc75446575"/>
      <w:bookmarkEnd w:id="27"/>
      <w:bookmarkEnd w:id="28"/>
      <w:r>
        <w:rPr>
          <w:lang w:val="ru-RU"/>
        </w:rPr>
        <w:t>Перечень и объем закупаемой продукции</w:t>
      </w:r>
    </w:p>
    <w:p>
      <w:pPr>
        <w:pStyle w:val="Heading1"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29" w:name="__RefHeading___Toc923_40715321"/>
      <w:bookmarkStart w:id="30" w:name="_Toc75446576"/>
      <w:bookmarkStart w:id="31" w:name="_Toc51339695"/>
      <w:bookmarkEnd w:id="29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1.</w:t>
      </w:r>
      <w:r>
        <w:rPr>
          <w:b w:val="false"/>
          <w:sz w:val="24"/>
          <w:szCs w:val="24"/>
        </w:rPr>
        <w:t xml:space="preserve"> </w:t>
      </w:r>
      <w:r>
        <w:rPr>
          <w:b w:val="false"/>
          <w:sz w:val="24"/>
          <w:szCs w:val="24"/>
          <w:lang w:val="ru-RU"/>
        </w:rPr>
        <w:t xml:space="preserve">Перечень </w:t>
      </w:r>
      <w:bookmarkEnd w:id="30"/>
      <w:bookmarkEnd w:id="31"/>
      <w:r>
        <w:rPr>
          <w:b w:val="false"/>
          <w:sz w:val="24"/>
          <w:szCs w:val="24"/>
          <w:lang w:val="ru-RU"/>
        </w:rPr>
        <w:t>и объем закупаемых товаров</w:t>
      </w:r>
    </w:p>
    <w:tbl>
      <w:tblPr>
        <w:tblW w:w="9812" w:type="dxa"/>
        <w:jc w:val="left"/>
        <w:tblInd w:w="121" w:type="dxa"/>
        <w:tblLayout w:type="fixed"/>
        <w:tblCellMar>
          <w:top w:w="0" w:type="dxa"/>
          <w:left w:w="5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35"/>
        <w:gridCol w:w="6143"/>
        <w:gridCol w:w="1424"/>
        <w:gridCol w:w="1409"/>
      </w:tblGrid>
      <w:tr>
        <w:trPr/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Наименование товаров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1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Кнопка с подсветкой, с фиксацией</w:t>
            </w:r>
          </w:p>
          <w:p>
            <w:pPr>
              <w:pStyle w:val="BodyText"/>
              <w:widowControl w:val="false"/>
              <w:spacing w:lineRule="atLeast" w:line="30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D16LAT1-2AB</w:t>
            </w:r>
            <w:r>
              <w:rPr>
                <w:color w:val="000000"/>
                <w:sz w:val="24"/>
                <w:szCs w:val="24"/>
                <w:lang w:val="en-US"/>
              </w:rPr>
              <w:t>J</w:t>
            </w:r>
            <w:r>
              <w:rPr>
                <w:color w:val="000000"/>
                <w:sz w:val="24"/>
                <w:szCs w:val="24"/>
              </w:rPr>
              <w:t>G (зеленая)</w:t>
            </w:r>
          </w:p>
        </w:tc>
        <w:tc>
          <w:tcPr>
            <w:tcW w:w="14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ш</w:t>
            </w:r>
            <w:r>
              <w:rPr>
                <w:rFonts w:eastAsia="Calibri"/>
                <w:sz w:val="24"/>
                <w:szCs w:val="24"/>
                <w:lang w:eastAsia="x-none"/>
              </w:rPr>
              <w:t>т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.</w:t>
            </w:r>
          </w:p>
        </w:tc>
        <w:tc>
          <w:tcPr>
            <w:tcW w:w="14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Кнопка с подсветкой,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с фиксацией</w:t>
            </w:r>
          </w:p>
          <w:p>
            <w:pPr>
              <w:pStyle w:val="BodyText"/>
              <w:widowControl w:val="fals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D16LAT1-2AB</w:t>
            </w: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JR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(красная)</w:t>
            </w:r>
          </w:p>
        </w:tc>
        <w:tc>
          <w:tcPr>
            <w:tcW w:w="1424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ш</w:t>
            </w:r>
            <w:r>
              <w:rPr>
                <w:rFonts w:eastAsia="Calibri"/>
                <w:sz w:val="24"/>
                <w:szCs w:val="24"/>
                <w:lang w:eastAsia="x-none"/>
              </w:rPr>
              <w:t>т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.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оптических преобразователей (приемник + передатчик+2 блока питания AC/DC) 8 каналов «сухой контакт» NC-NO, SM, 20 км, NO-000-8TC-20</w:t>
            </w:r>
          </w:p>
        </w:tc>
        <w:tc>
          <w:tcPr>
            <w:tcW w:w="1424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комплект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пластиковый навесной ЭРА SIMPLE ЩРН-П-18 IP41 без шин прозрачная крышка белый</w:t>
            </w:r>
          </w:p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 производителя: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Б0047725</w:t>
            </w:r>
          </w:p>
        </w:tc>
        <w:tc>
          <w:tcPr>
            <w:tcW w:w="1424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ш</w:t>
            </w:r>
            <w:r>
              <w:rPr>
                <w:rFonts w:eastAsia="Calibri"/>
                <w:sz w:val="24"/>
                <w:szCs w:val="24"/>
                <w:lang w:eastAsia="x-none"/>
              </w:rPr>
              <w:t>т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.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Патч-корд оптический FC-SC/UPC SM (9/125мкм) simplex (3.0мм) 1м</w:t>
            </w:r>
          </w:p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 производителя: COM0001923</w:t>
            </w:r>
          </w:p>
        </w:tc>
        <w:tc>
          <w:tcPr>
            <w:tcW w:w="1424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ш</w:t>
            </w:r>
            <w:r>
              <w:rPr>
                <w:rFonts w:eastAsia="Calibri"/>
                <w:sz w:val="24"/>
                <w:szCs w:val="24"/>
                <w:lang w:eastAsia="x-none"/>
              </w:rPr>
              <w:t>т</w:t>
            </w:r>
            <w:r>
              <w:rPr>
                <w:rFonts w:eastAsia="Calibri"/>
                <w:sz w:val="24"/>
                <w:szCs w:val="24"/>
                <w:lang w:val="en-US" w:eastAsia="x-none"/>
              </w:rPr>
              <w:t>.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6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Патч-корд оптический SC/UPC-FC/UPC SM (одномод 9/125мкм) simplex (3.0мм) 20м</w:t>
            </w:r>
          </w:p>
        </w:tc>
        <w:tc>
          <w:tcPr>
            <w:tcW w:w="1424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</w:tr>
      <w:tr>
        <w:trPr/>
        <w:tc>
          <w:tcPr>
            <w:tcW w:w="8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614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 стабилизированный  NAVIgard  NV 7211</w:t>
            </w:r>
          </w:p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AC220 50Hz/DC+12V</w:t>
            </w:r>
          </w:p>
        </w:tc>
        <w:tc>
          <w:tcPr>
            <w:tcW w:w="1424" w:type="dxa"/>
            <w:tcBorders>
              <w:left w:val="single" w:sz="4" w:space="0" w:color="00000A"/>
              <w:bottom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eastAsia="Calibri"/>
                <w:sz w:val="24"/>
                <w:szCs w:val="24"/>
                <w:lang w:val="en-US" w:eastAsia="x-none"/>
              </w:rPr>
            </w:pPr>
            <w:r>
              <w:rPr>
                <w:rFonts w:eastAsia="Calibri"/>
                <w:sz w:val="24"/>
                <w:szCs w:val="24"/>
                <w:lang w:val="en-US" w:eastAsia="x-none"/>
              </w:rPr>
              <w:t>шт.</w:t>
            </w:r>
          </w:p>
        </w:tc>
        <w:tc>
          <w:tcPr>
            <w:tcW w:w="1409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>
      <w:pPr>
        <w:pStyle w:val="Heading3"/>
        <w:numPr>
          <w:ilvl w:val="2"/>
          <w:numId w:val="1"/>
        </w:numPr>
        <w:rPr/>
      </w:pPr>
      <w:bookmarkStart w:id="32" w:name="__RefHeading___Toc925_40715321"/>
      <w:bookmarkStart w:id="33" w:name="_Toc75446578"/>
      <w:bookmarkStart w:id="34" w:name="_Toc51339696"/>
      <w:bookmarkEnd w:id="32"/>
      <w:r>
        <w:rPr>
          <w:lang w:val="ru-RU"/>
        </w:rPr>
        <w:t xml:space="preserve">Требования </w:t>
      </w:r>
      <w:bookmarkEnd w:id="33"/>
      <w:bookmarkEnd w:id="34"/>
      <w:r>
        <w:rPr>
          <w:lang w:val="ru-RU"/>
        </w:rPr>
        <w:t>к срокам поставки продукции и оказания сопутствующих услуг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35" w:name="__RefHeading___Toc927_40715321"/>
      <w:bookmarkStart w:id="36" w:name="_Toc75446579"/>
      <w:bookmarkStart w:id="37" w:name="_Toc50125127"/>
      <w:bookmarkStart w:id="38" w:name="_Toc51339697"/>
      <w:bookmarkStart w:id="39" w:name="_Toc501251261"/>
      <w:bookmarkEnd w:id="35"/>
      <w:bookmarkEnd w:id="39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2</w:t>
      </w:r>
      <w:r>
        <w:rPr>
          <w:b w:val="false"/>
          <w:sz w:val="24"/>
          <w:szCs w:val="24"/>
        </w:rPr>
        <w:t xml:space="preserve">. </w:t>
      </w:r>
      <w:bookmarkStart w:id="40" w:name="_Hlk50465284"/>
      <w:r>
        <w:rPr>
          <w:b w:val="false"/>
          <w:sz w:val="24"/>
          <w:szCs w:val="24"/>
        </w:rPr>
        <w:t xml:space="preserve">Требования по срокам </w:t>
      </w:r>
      <w:bookmarkEnd w:id="37"/>
      <w:bookmarkEnd w:id="38"/>
      <w:bookmarkEnd w:id="40"/>
      <w:r>
        <w:rPr>
          <w:b w:val="false"/>
          <w:sz w:val="24"/>
          <w:szCs w:val="24"/>
          <w:lang w:val="ru-RU"/>
        </w:rPr>
        <w:t xml:space="preserve">поставки </w:t>
      </w:r>
      <w:bookmarkEnd w:id="36"/>
      <w:r>
        <w:rPr>
          <w:b w:val="false"/>
          <w:sz w:val="24"/>
          <w:szCs w:val="24"/>
          <w:lang w:val="ru-RU"/>
        </w:rPr>
        <w:t>товаров</w:t>
      </w:r>
    </w:p>
    <w:tbl>
      <w:tblPr>
        <w:tblW w:w="9776" w:type="dxa"/>
        <w:jc w:val="left"/>
        <w:tblInd w:w="33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4"/>
        <w:gridCol w:w="3397"/>
        <w:gridCol w:w="2630"/>
        <w:gridCol w:w="3114"/>
      </w:tblGrid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 / партии товаров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товаров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товаров</w:t>
            </w:r>
          </w:p>
        </w:tc>
      </w:tr>
      <w:tr>
        <w:trPr/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560" w:hRule="atLeast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"/>
              <w:widowControl w:val="false"/>
              <w:spacing w:lineRule="atLeast" w:line="30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Кнопка с подсветкой, с фиксацией</w:t>
            </w:r>
          </w:p>
          <w:p>
            <w:pPr>
              <w:pStyle w:val="BodyText"/>
              <w:widowControl w:val="false"/>
              <w:spacing w:lineRule="atLeast" w:line="300" w:before="0" w:after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D16LAT1-2AB</w:t>
            </w:r>
            <w:r>
              <w:rPr>
                <w:color w:val="000000"/>
                <w:sz w:val="24"/>
                <w:szCs w:val="24"/>
                <w:lang w:val="en-US"/>
              </w:rPr>
              <w:t>J</w:t>
            </w:r>
            <w:r>
              <w:rPr>
                <w:color w:val="000000"/>
                <w:sz w:val="24"/>
                <w:szCs w:val="24"/>
              </w:rPr>
              <w:t>G (зеленая)</w:t>
            </w:r>
          </w:p>
        </w:tc>
        <w:tc>
          <w:tcPr>
            <w:tcW w:w="263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en-US"/>
              </w:rPr>
              <w:t xml:space="preserve"> даты подпи</w:t>
            </w:r>
            <w:r>
              <w:rPr>
                <w:sz w:val="24"/>
                <w:szCs w:val="24"/>
              </w:rPr>
              <w:t>сания договора</w:t>
            </w:r>
          </w:p>
        </w:tc>
        <w:tc>
          <w:tcPr>
            <w:tcW w:w="311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позднее  30 календарных дней с даты подписания договора</w:t>
            </w:r>
          </w:p>
        </w:tc>
      </w:tr>
      <w:tr>
        <w:trPr>
          <w:trHeight w:val="561" w:hRule="atLeast"/>
        </w:trPr>
        <w:tc>
          <w:tcPr>
            <w:tcW w:w="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Кнопка с подсветкой,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  <w:shd w:fill="FFFFFF" w:val="clear"/>
              </w:rPr>
              <w:t>с фиксацией</w:t>
            </w:r>
          </w:p>
          <w:p>
            <w:pPr>
              <w:pStyle w:val="BodyText"/>
              <w:widowControl w:val="false"/>
              <w:spacing w:before="0" w:after="0"/>
              <w:rPr>
                <w:color w:val="000000"/>
                <w:sz w:val="24"/>
                <w:szCs w:val="24"/>
                <w:shd w:fill="FFFFFF" w:val="clear"/>
              </w:rPr>
            </w:pPr>
            <w:r>
              <w:rPr>
                <w:color w:val="000000"/>
                <w:sz w:val="24"/>
                <w:szCs w:val="24"/>
                <w:shd w:fill="FFFFFF" w:val="clear"/>
              </w:rPr>
              <w:t>D16LAT1-2AB</w:t>
            </w:r>
            <w:r>
              <w:rPr>
                <w:color w:val="000000"/>
                <w:sz w:val="24"/>
                <w:szCs w:val="24"/>
                <w:shd w:fill="FFFFFF" w:val="clear"/>
                <w:lang w:val="en-US"/>
              </w:rPr>
              <w:t>JR</w:t>
            </w:r>
            <w:r>
              <w:rPr>
                <w:color w:val="000000"/>
                <w:sz w:val="24"/>
                <w:szCs w:val="24"/>
                <w:shd w:fill="FFFFFF" w:val="clear"/>
              </w:rPr>
              <w:t xml:space="preserve"> (красная)</w:t>
            </w:r>
          </w:p>
        </w:tc>
        <w:tc>
          <w:tcPr>
            <w:tcW w:w="2630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573" w:hRule="atLeast"/>
        </w:trPr>
        <w:tc>
          <w:tcPr>
            <w:tcW w:w="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 оптических преобразователей (приемник + передатчик+2 блока питания AC/DC) 8 каналов «сухой контакт» NC-NO, SM, 20 км, NO-000-8TC-20</w:t>
            </w:r>
          </w:p>
        </w:tc>
        <w:tc>
          <w:tcPr>
            <w:tcW w:w="2630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Корпус пластиковый навесной ЭРА SIMPLE ЩРН-П-18 IP41 без шин прозрачная крышка белый</w:t>
            </w:r>
          </w:p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 производителя:</w:t>
            </w:r>
            <w:r>
              <w:rPr/>
              <w:t xml:space="preserve"> </w:t>
            </w:r>
            <w:r>
              <w:rPr>
                <w:sz w:val="24"/>
                <w:szCs w:val="24"/>
              </w:rPr>
              <w:t>Б0047725</w:t>
            </w:r>
          </w:p>
        </w:tc>
        <w:tc>
          <w:tcPr>
            <w:tcW w:w="2630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Патч-корд оптический FC-SC/UPC SM (9/125мкм) simplex (3.0мм) 1м</w:t>
            </w:r>
          </w:p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Артикул производителя: COM0001923</w:t>
            </w:r>
          </w:p>
        </w:tc>
        <w:tc>
          <w:tcPr>
            <w:tcW w:w="2630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63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Патч-корд оптический SC/UPC-FC/UPC SM (одномод 9/125мкм) simplex (3.0мм) 20м</w:t>
            </w:r>
          </w:p>
        </w:tc>
        <w:tc>
          <w:tcPr>
            <w:tcW w:w="2630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vMerge w:val="continue"/>
            <w:tcBorders>
              <w:left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2" w:hRule="atLeast"/>
        </w:trPr>
        <w:tc>
          <w:tcPr>
            <w:tcW w:w="6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3"/>
              </w:numPr>
              <w:rPr/>
            </w:pPr>
            <w:r>
              <w:rPr/>
            </w:r>
          </w:p>
        </w:tc>
        <w:tc>
          <w:tcPr>
            <w:tcW w:w="339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Style34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Блок питания стабилизированный  NAVIgard  NV 7211</w:t>
            </w:r>
          </w:p>
          <w:p>
            <w:pPr>
              <w:pStyle w:val="Style34"/>
              <w:widowControl w:val="false"/>
              <w:rPr>
                <w:sz w:val="24"/>
                <w:szCs w:val="24"/>
                <w:highlight w:val="cyan"/>
              </w:rPr>
            </w:pPr>
            <w:r>
              <w:rPr>
                <w:sz w:val="24"/>
                <w:szCs w:val="24"/>
              </w:rPr>
              <w:t>AC220 50Hz/DC+12V</w:t>
            </w:r>
          </w:p>
        </w:tc>
        <w:tc>
          <w:tcPr>
            <w:tcW w:w="2630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14" w:type="dxa"/>
            <w:vMerge w:val="continue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2"/>
          <w:headerReference w:type="firs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1"/>
        </w:numPr>
        <w:rPr/>
      </w:pPr>
      <w:bookmarkStart w:id="41" w:name="__RefHeading___Toc929_40715321"/>
      <w:bookmarkStart w:id="42" w:name="_Toc51339698"/>
      <w:bookmarkStart w:id="43" w:name="_Toc75446581"/>
      <w:bookmarkStart w:id="44" w:name="_Toc46743511"/>
      <w:bookmarkEnd w:id="41"/>
      <w:r>
        <w:rPr/>
        <w:t xml:space="preserve">Требования к </w:t>
      </w:r>
      <w:bookmarkEnd w:id="43"/>
      <w:bookmarkEnd w:id="44"/>
      <w:r>
        <w:rPr>
          <w:lang w:val="ru-RU"/>
        </w:rPr>
        <w:t>качеству продукции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b w:val="false"/>
        </w:rPr>
      </w:pPr>
      <w:bookmarkStart w:id="45" w:name="__RefHeading___Toc931_40715321"/>
      <w:bookmarkEnd w:id="45"/>
      <w:r>
        <w:rPr>
          <w:b w:val="false"/>
          <w:sz w:val="24"/>
          <w:szCs w:val="24"/>
        </w:rPr>
        <w:t xml:space="preserve"> </w:t>
      </w:r>
      <w:bookmarkStart w:id="46" w:name="_Toc75446582"/>
      <w:r>
        <w:rPr>
          <w:b w:val="false"/>
          <w:sz w:val="24"/>
          <w:szCs w:val="24"/>
        </w:rPr>
        <w:t xml:space="preserve">Таблица </w:t>
      </w:r>
      <w:r>
        <w:rPr>
          <w:b w:val="false"/>
          <w:sz w:val="24"/>
          <w:szCs w:val="24"/>
          <w:lang w:val="ru-RU"/>
        </w:rPr>
        <w:t>3</w:t>
      </w:r>
      <w:r>
        <w:rPr>
          <w:b w:val="false"/>
          <w:sz w:val="24"/>
          <w:szCs w:val="24"/>
        </w:rPr>
        <w:t xml:space="preserve">. Требования к </w:t>
      </w:r>
      <w:bookmarkEnd w:id="42"/>
      <w:bookmarkEnd w:id="46"/>
      <w:r>
        <w:rPr>
          <w:b w:val="false"/>
          <w:sz w:val="24"/>
          <w:szCs w:val="24"/>
        </w:rPr>
        <w:t>товарам</w:t>
      </w:r>
    </w:p>
    <w:p>
      <w:pPr>
        <w:pStyle w:val="Normal"/>
        <w:spacing w:before="113" w:after="113"/>
        <w:jc w:val="both"/>
        <w:rPr/>
      </w:pPr>
      <w:r>
        <w:rPr>
          <w:b/>
          <w:bCs/>
          <w:i/>
          <w:iCs/>
          <w:sz w:val="24"/>
          <w:szCs w:val="24"/>
        </w:rPr>
        <w:t>Наименование товаров (Таблица 1.)</w:t>
      </w:r>
      <w:bookmarkStart w:id="47" w:name="_GoBack"/>
      <w:bookmarkEnd w:id="47"/>
    </w:p>
    <w:tbl>
      <w:tblPr>
        <w:tblStyle w:val="affff8"/>
        <w:tblW w:w="15315" w:type="dxa"/>
        <w:jc w:val="left"/>
        <w:tblInd w:w="28" w:type="dxa"/>
        <w:tblLayout w:type="fixed"/>
        <w:tblCellMar>
          <w:top w:w="0" w:type="dxa"/>
          <w:left w:w="6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1985"/>
        <w:gridCol w:w="3003"/>
        <w:gridCol w:w="2803"/>
        <w:gridCol w:w="3262"/>
        <w:gridCol w:w="3410"/>
      </w:tblGrid>
      <w:tr>
        <w:trPr/>
        <w:tc>
          <w:tcPr>
            <w:tcW w:w="851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1985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003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606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3410" w:type="dxa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851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3003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8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3410" w:type="dxa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1</w:t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2</w:t>
            </w:r>
          </w:p>
        </w:tc>
        <w:tc>
          <w:tcPr>
            <w:tcW w:w="3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3</w:t>
            </w:r>
          </w:p>
        </w:tc>
        <w:tc>
          <w:tcPr>
            <w:tcW w:w="28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4</w:t>
            </w:r>
          </w:p>
        </w:tc>
        <w:tc>
          <w:tcPr>
            <w:tcW w:w="326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5</w:t>
            </w:r>
          </w:p>
        </w:tc>
        <w:tc>
          <w:tcPr>
            <w:tcW w:w="341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right w:val="nil"/>
            </w:tcBorders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Кнопка с подсветкой, с фиксацией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D16LAT1-2AB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J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G (зеленая)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Форма кнопки — прямоугольная 18х24 мм;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Монтажное отверстие — 16 мм;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Функциональная группа —кнопочные переключатели с фиксацией;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Количество контактных групп — 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NO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NC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Тип и напряжение лампы подсветки — светодиод 12В;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Цвет колпачка кнопки — зеленый;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Рабочий ход кнопки — 3мм;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Усилие срабатывания — 2- 5 Н;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Максимальное количество срабатываний (механическое) — 2х10⁶;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Максимальное количество срабатываний (электрическое) — 8х10⁵;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Максимальное сечение припаиваемого провода — 0,75 мм²;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Класс защиты —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IP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40;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Диапазон рабочих температур — -25…+55°С.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right w:val="nil"/>
            </w:tcBorders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  <w:shd w:fill="FFFFFF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Кнопка с подсветкой, с фиксацией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D16LAT1-2AB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en-US" w:eastAsia="ru-RU" w:bidi="ar-SA"/>
              </w:rPr>
              <w:t>JR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 xml:space="preserve"> (красная)</w:t>
            </w:r>
          </w:p>
        </w:tc>
        <w:tc>
          <w:tcPr>
            <w:tcW w:w="3003" w:type="dxa"/>
            <w:tcBorders/>
            <w:shd w:color="auto" w:fill="auto" w:val="clear"/>
            <w:tcMar>
              <w:top w:w="55" w:type="dxa"/>
              <w:bottom w:w="55" w:type="dxa"/>
            </w:tcMar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Форма кнопки — прямоугольная 18х24 мм;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Монтажное отверстие — 16 мм;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Функциональная группа —кнопочные переключатели с фиксацией;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Количество контактных групп — 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NO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+2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NC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Тип и напряжение лампы подсветки — светодиод 12В;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Цвет колпачка кнопки — красный;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Рабочий ход кнопки — 3мм;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Усилие срабатывания — 2- 5 Н;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Максимальное количество срабатываний (механическое) — 2х10⁶;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Максимальное количество срабатываний (электрическое) — 8х10⁵;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Максимальное сечение припаиваемого провода — 0,75 мм²;</w:t>
            </w:r>
          </w:p>
          <w:p>
            <w:pPr>
              <w:pStyle w:val="BodyText"/>
              <w:widowControl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Класс защиты —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en-US" w:eastAsia="ru-RU" w:bidi="ar-SA"/>
              </w:rPr>
              <w:t>IP</w:t>
            </w: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 xml:space="preserve"> 40;</w:t>
            </w:r>
          </w:p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val="ru-RU" w:eastAsia="ru-RU" w:bidi="ar-SA"/>
              </w:rPr>
              <w:t>Диапазон рабочих температур — -25…+55°С.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BodyText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kern w:val="0"/>
                <w:sz w:val="20"/>
                <w:szCs w:val="20"/>
                <w:shd w:fill="FFFFFF" w:val="clear"/>
                <w:lang w:val="ru-RU" w:eastAsia="ru-RU" w:bidi="ar-SA"/>
              </w:rPr>
              <w:t>Комплект оптических преобразователей (приемник + передатчик+2 блока питания AC/DC) 8 каналов «сухой контакт» NC-NO, SM, 20 км, NO-000-8TC-20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Отсутствие каких-либо регулировок и настроек;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Индикация питания и сигнала;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Максимальное затухание сигнала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не более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15db.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Порт реле «cухой контакт» NC-NO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каналов: 8 реле «сухой контакт»;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Время сработки: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не более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 5 мс;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Источник сигнала на передатчике: Замыкатель «сухого контакта» без подачи напряжения (кнопка, извещатель);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Максимально допустимое коммутируемое напряжение на приемнике: 12В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Максимально допустимый коммутируемый ток на приемнике: 1А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 розетки: FC/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U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PC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оптических жил: 1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Дистанция передачи: до 20 км по одномодовому оптоволокну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Электропитание: AC220 50Hz/DC+5V (адаптеры питания в комплекте) для настенного исполнения.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Влажность: 0~95% без образования конденсата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Рабочий диапазон температур: -40 ~ +85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Габариты: 173*173*50 мм (приемник или передатчик) для настенного исполнения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Корпус пластиковый навесной ЭРА SIMPLE ЩРН-П-18 IP41 без шин прозрачная крышка белый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 корпуса —Пластик;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Степень защиты — IP41;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Способ монтажа — Накладной;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DIN-рейка —Да;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Прозрачная дверца — Да;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рядов</w:t>
              <w:tab/>
              <w:t>—1;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модулей</w:t>
              <w:tab/>
              <w:t>—18;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Ширина —361 мм;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Высота</w:t>
              <w:tab/>
              <w:t>— 220 мм;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Глубина —100 мм;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 —</w:t>
              <w:tab/>
              <w:t>Белый;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Патч-корд оптический FC-SC/UPC SM (9/125мкм) simplex (3.0мм) 1м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 —</w:t>
              <w:tab/>
              <w:t>Simplex;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Волокно — одномодовое (SMF);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 волокна —</w:t>
              <w:tab/>
              <w:t xml:space="preserve"> SM 9/125 мкм (G.652D);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 оболочки —</w:t>
              <w:tab/>
              <w:t xml:space="preserve">Желтый; 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Рабочие длины волн —</w:t>
              <w:tab/>
              <w:t>1270 – 1610 нм;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 коннекторов — SC-FC;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 полировки — UPC-UPC;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Длина кабеля — 1 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Типичные вносимые потери —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0,20±0,15 дБ;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Максимальные вносимые потери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не более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0,45 дБ;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Вносимые потери в конце жизненного цикла ≤0,7 дБ;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Возвратные потери ≥50 дБ;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циклов соединения —</w:t>
              <w:tab/>
              <w:t>1000;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Диаметр оболочки (защитного буфера) —3 мм;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Минимальный радиус изгиба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≥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30 мм;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 оболочки —</w:t>
              <w:tab/>
              <w:t>LSZH;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Классификация воспламеняемости —UL94V-0;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Диапазон рабочих температур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 xml:space="preserve"> -10 ~ +70 °C;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Патч-корд оптический FC-SC/UPC SM (9/125мкм) simplex (3.0мм) 20 м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 —</w:t>
              <w:tab/>
              <w:t>Simplex;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Волокно — одномодовое (SMF);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 волокна —</w:t>
              <w:tab/>
              <w:t xml:space="preserve"> SM 9/125 мкм (G.652D);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Цвет оболочки —</w:t>
              <w:tab/>
              <w:t>Желтый (Yellow);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Рабочие длины волн —</w:t>
              <w:tab/>
              <w:t>1270 – 1610 нм;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 коннекторов — SC-FC;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 полировки — UPC-UPC;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Длина кабеля — 20 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Типичные вносимые потери —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0,20±0,15 дБ;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Максимальные вносимые потери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не белее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0,45 дБ;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Вносимые потери в конце жизненного цикла ≤0,7 дБ;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Возвратные потери ≥50 дБ;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Количество циклов соединения —</w:t>
              <w:tab/>
              <w:t>1000;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Диаметр оболочки (защитного буфера) —3 мм;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Минимальный радиус изгиба 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≥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30 мм;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Материал оболочки —</w:t>
              <w:tab/>
              <w:t>LSZH;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Классификация воспламеняемости —UL94V-0;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Диапазон рабочих температур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—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ab/>
              <w:t xml:space="preserve"> -10 ~ +70 °C;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color w:val="00000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Блок питания стабилизированный  NAVIgard  NV 7211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AC220 50Hz/DC+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en-US" w:eastAsia="ru-RU" w:bidi="ar-SA"/>
              </w:rPr>
              <w:t>12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V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Входное напряжение</w:t>
              <w:tab/>
              <w:t xml:space="preserve"> 100 – 240 В АС, 50 - 60 Гц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Выходной разъем</w:t>
              <w:tab/>
              <w:t xml:space="preserve"> 5.5×2.1 мм, DC/150 мм. Коннектор (клеммная колодка под винт в комплекте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)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Выходное напряжение</w:t>
              <w:tab/>
              <w:t xml:space="preserve"> 12 В ±5%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Ток нагрузки 1 А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Уровень пульсаций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не более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90 (мВp-p)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Линейная модуляция</w:t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 более ±0.5%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Температурный коэффициент ±0.02%/град.С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Время запуска</w:t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 более 3 с (240 В AC, нагрузка 100%)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Срабатывание защиты</w:t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 более 20 мс (240 В AC, нагрузка 100%)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Заводская установка</w:t>
              <w:tab/>
              <w:t>12 В, 1 А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Защита от перегрузки</w:t>
              <w:tab/>
              <w:t>115%-200% кВА, авто восстановление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Защита от короткого замыкания 1 канал: авто восстановление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Уровень изоляции</w:t>
              <w:tab/>
              <w:t>1000В AC/10 мА, 1 MIN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Сопротивление изоляции</w:t>
              <w:tab/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н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е менее 30 МОм, DC 500 В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Рабочая температура</w:t>
              <w:tab/>
              <w:t xml:space="preserve">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 xml:space="preserve">от 0 до </w:t>
            </w: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+40°С, 10~90% RH</w:t>
            </w:r>
          </w:p>
          <w:p>
            <w:pPr>
              <w:pStyle w:val="Style34"/>
              <w:widowControl w:val="false"/>
              <w:suppressAutoHyphens w:val="true"/>
              <w:spacing w:before="0" w:after="0"/>
              <w:jc w:val="left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  <w:t>Габариты</w:t>
              <w:tab/>
              <w:t>120х55х35 мм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Место поставки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Поставка товаров осуществляется Поставщиком по адресу: филиал ПАО «РусГидро» - «Жигулевская ГЭС», Московское шоссе, д.2, г. Жигулевск, Самарская обл., Российская Федерация, 445350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 упаковке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Поставляемые товары должны быть в оригинальной заводской упаковке производителя. Упаковка должна обеспечивать полную сохранность товара при транспортировке, погрузке, разгрузке и хранении.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uppressAutoHyphens w:val="true"/>
              <w:spacing w:before="6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2.3.</w:t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Входной контроль качества поставляемой продукции.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32" w:leader="none"/>
                <w:tab w:val="left" w:pos="459" w:leader="none"/>
              </w:tabs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Cs/>
                <w:kern w:val="0"/>
                <w:sz w:val="22"/>
                <w:szCs w:val="22"/>
                <w:lang w:val="ru-RU" w:eastAsia="ru-RU" w:bidi="ar-SA"/>
              </w:rPr>
              <w:t>Организация входного контроля поставляемых товаров выполняется Поставщиком совместно с Заказчиком.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2.4.</w:t>
            </w:r>
          </w:p>
        </w:tc>
        <w:tc>
          <w:tcPr>
            <w:tcW w:w="1985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Погрузка, доставка, разгрузка и перемещение</w:t>
            </w:r>
          </w:p>
        </w:tc>
        <w:tc>
          <w:tcPr>
            <w:tcW w:w="30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Погрузка, доставка, разгрузка и перемещение товаров (в том числе по территории Покупателя) осуществляется Поставщиком. Стоимость погрузки, доставки, разгрузки и перемещения товаров должна быть включена в стоимость Товара.</w:t>
            </w:r>
          </w:p>
        </w:tc>
        <w:tc>
          <w:tcPr>
            <w:tcW w:w="2803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/>
                <w:kern w:val="0"/>
                <w:sz w:val="22"/>
                <w:szCs w:val="22"/>
                <w:lang w:val="ru-RU" w:eastAsia="x-none" w:bidi="ar-SA"/>
              </w:rPr>
              <w:t>Согласие с требованием</w:t>
            </w:r>
          </w:p>
        </w:tc>
        <w:tc>
          <w:tcPr>
            <w:tcW w:w="3262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  <w:p>
            <w:pPr>
              <w:pStyle w:val="Normal"/>
              <w:widowControl w:val="false"/>
              <w:suppressAutoHyphens w:val="true"/>
              <w:spacing w:before="20" w:after="0"/>
              <w:jc w:val="both"/>
              <w:rPr>
                <w:b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2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сроку гарантии на поставляемые МТР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Срок гарантии на поставляемые товары должен быть не менее 12 месяцев  с даты подписания универсального передаточного акта.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225"/>
                <w:tab w:val="left" w:pos="426" w:leader="none"/>
              </w:tabs>
              <w:suppressAutoHyphens w:val="true"/>
              <w:spacing w:before="4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гарантийному обслуживанию</w:t>
            </w:r>
          </w:p>
        </w:tc>
        <w:tc>
          <w:tcPr>
            <w:tcW w:w="30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Требования к гарантийному обслуживанию: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в обязанности поставщика входит гарантийное обслуживание поставляемых  продукции на протяжении всего гарантийного срока;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эксплуатация поставляемых товаров осуществляется силами персонала заказчика.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на протяжении всего указанного срока поставщик обязан обеспечить за счет собственных средств и сил восстановление или замену вышедших из строя товаров (в случае, если причина дефекта не связана с неправильной эксплуатацией данной продукции.);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гарантийный срок увеличивается на время устранения дефекта или замены товара, возникшего в период гарантийного обслуживания;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57" w:hanging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- замена товара производится поставщиком по адресу, указанному Заказчиком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sz w:val="22"/>
                <w:szCs w:val="22"/>
              </w:rPr>
            </w:pPr>
            <w:bookmarkStart w:id="48" w:name="__RefHeading___Toc933_40715321"/>
            <w:bookmarkStart w:id="49" w:name="_Toc126936407"/>
            <w:bookmarkEnd w:id="48"/>
            <w:bookmarkEnd w:id="49"/>
            <w:r>
              <w:rPr>
                <w:rFonts w:eastAsia="Times New Roman" w:cs="Times New Roman"/>
                <w:b w:val="false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Style28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jc w:val="left"/>
              <w:outlineLvl w:val="2"/>
              <w:rPr>
                <w:b w:val="false"/>
                <w:lang w:val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2"/>
              </w:numPr>
              <w:suppressAutoHyphens w:val="true"/>
              <w:spacing w:before="60" w:after="60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4988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  <w:lang w:val="ru-RU" w:eastAsia="ru-RU" w:bidi="ar-SA"/>
              </w:rPr>
              <w:t>Требования к комплектации и документам, поставляемым вместе с товаром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shd w:color="auto" w:fill="auto" w:val="clear"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2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sz w:val="22"/>
                <w:szCs w:val="22"/>
              </w:rPr>
            </w:pPr>
            <w:r>
              <w:rPr>
                <w:rFonts w:cs="Times New Roman"/>
                <w:kern w:val="0"/>
                <w:sz w:val="22"/>
                <w:szCs w:val="22"/>
                <w:lang w:val="ru-RU" w:eastAsia="ru-RU" w:bidi="ar-SA"/>
              </w:rPr>
            </w:r>
          </w:p>
        </w:tc>
        <w:tc>
          <w:tcPr>
            <w:tcW w:w="198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Calibri" w:cs="Times New Roman" w:eastAsiaTheme="minorHAnsi"/>
                <w:kern w:val="0"/>
                <w:sz w:val="22"/>
                <w:szCs w:val="22"/>
                <w:lang w:val="ru-RU" w:eastAsia="en-US" w:bidi="ar-SA"/>
              </w:rPr>
              <w:t>Документы, передаваемые вместе с товаром</w:t>
            </w:r>
          </w:p>
        </w:tc>
        <w:tc>
          <w:tcPr>
            <w:tcW w:w="3003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Поставщик обязан одновременно с передачей товаров передать Заказчику относящиеся к нему документы, оформленные надлежащим образом:</w:t>
            </w:r>
          </w:p>
          <w:p>
            <w:pPr>
              <w:pStyle w:val="Normal"/>
              <w:widowControl w:val="false"/>
              <w:tabs>
                <w:tab w:val="left" w:pos="225" w:leader="none"/>
              </w:tabs>
              <w:suppressAutoHyphens w:val="true"/>
              <w:spacing w:before="0" w:after="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 xml:space="preserve">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сертификаты качества;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227" w:hanging="17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технические паспорта;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uppressAutoHyphens w:val="true"/>
              <w:spacing w:before="0" w:after="0"/>
              <w:ind w:left="227" w:hanging="170"/>
              <w:contextualSpacing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руководства по эксплу-атации;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протоколы заводских испытаний (при их наличии);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упаковочные листы, упаковочные ярлыки;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товарно-транспортную накладную формы №1-Т;</w:t>
            </w:r>
          </w:p>
          <w:p>
            <w:pPr>
              <w:pStyle w:val="Normal"/>
              <w:widowControl w:val="false"/>
              <w:suppressAutoHyphens w:val="true"/>
              <w:spacing w:lineRule="auto" w:line="259" w:before="0" w:after="0"/>
              <w:contextualSpacing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  <w:lang w:val="ru-RU" w:eastAsia="ru-RU" w:bidi="ar-SA"/>
              </w:rPr>
              <w:t>- товарную накладную унифицированной формы.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  <w:lang w:val="ru-RU" w:eastAsia="ru-RU" w:bidi="ar-SA"/>
              </w:rPr>
              <w:t>Согласие с требованием</w:t>
            </w:r>
          </w:p>
        </w:tc>
        <w:tc>
          <w:tcPr>
            <w:tcW w:w="3262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  <w:tc>
          <w:tcPr>
            <w:tcW w:w="3410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1"/>
        </w:numPr>
        <w:ind w:left="357" w:hanging="357"/>
        <w:jc w:val="center"/>
        <w:rPr>
          <w:lang w:val="ru-RU"/>
        </w:rPr>
      </w:pPr>
      <w:bookmarkStart w:id="50" w:name="__RefHeading___Toc935_40715321"/>
      <w:bookmarkStart w:id="51" w:name="_Toc75446583"/>
      <w:bookmarkStart w:id="52" w:name="_Toc53393312"/>
      <w:bookmarkEnd w:id="50"/>
      <w:r>
        <w:rPr>
          <w:lang w:val="ru-RU"/>
        </w:rPr>
        <w:t>Требования к документации по ценообразованию</w:t>
      </w:r>
      <w:bookmarkEnd w:id="51"/>
      <w:bookmarkEnd w:id="52"/>
      <w:r>
        <w:rPr>
          <w:lang w:val="ru-RU"/>
        </w:rPr>
        <w:t xml:space="preserve"> на этапе закупки</w:t>
      </w:r>
    </w:p>
    <w:p>
      <w:pPr>
        <w:pStyle w:val="Normal"/>
        <w:widowControl w:val="false"/>
        <w:tabs>
          <w:tab w:val="clear" w:pos="225"/>
          <w:tab w:val="left" w:pos="993" w:leader="none"/>
        </w:tabs>
        <w:spacing w:before="120" w:after="120"/>
        <w:ind w:firstLine="851"/>
        <w:jc w:val="both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  <w:t>3.1. В обоснование стоимости своей заявки Участник предоставляет Коммерческое предложение по форме (с учетом прилагаемой к ней инструкции по заполнению), приведенной в Документации о закупке.</w:t>
      </w:r>
    </w:p>
    <w:p>
      <w:pPr>
        <w:pStyle w:val="Normal"/>
        <w:keepLines/>
        <w:widowControl w:val="false"/>
        <w:tabs>
          <w:tab w:val="clear" w:pos="225"/>
          <w:tab w:val="left" w:pos="993" w:leader="none"/>
        </w:tabs>
        <w:spacing w:before="120" w:after="120"/>
        <w:ind w:firstLine="851"/>
        <w:jc w:val="both"/>
        <w:rPr>
          <w:rFonts w:eastAsia="Calibri"/>
          <w:iCs/>
          <w:sz w:val="24"/>
          <w:szCs w:val="24"/>
          <w:lang w:val="x-none" w:eastAsia="x-none"/>
        </w:rPr>
      </w:pPr>
      <w:r>
        <w:rPr>
          <w:rFonts w:eastAsia="Calibri"/>
          <w:iCs/>
          <w:sz w:val="24"/>
          <w:szCs w:val="24"/>
          <w:lang w:val="x-none" w:eastAsia="x-none"/>
        </w:rPr>
        <w:t xml:space="preserve">3.2. </w:t>
      </w:r>
      <w:r>
        <w:rPr>
          <w:rFonts w:eastAsia="Calibri"/>
          <w:iCs/>
          <w:sz w:val="24"/>
          <w:szCs w:val="24"/>
          <w:lang w:eastAsia="x-none"/>
        </w:rPr>
        <w:t>Дополнительные документы по ценообразованию в состав заявки не включается</w:t>
      </w:r>
      <w:r>
        <w:rPr>
          <w:rFonts w:eastAsia="Calibri"/>
          <w:iCs/>
          <w:sz w:val="24"/>
          <w:szCs w:val="24"/>
          <w:lang w:val="x-none" w:eastAsia="x-none"/>
        </w:rPr>
        <w:t>.</w:t>
      </w:r>
    </w:p>
    <w:p>
      <w:pPr>
        <w:pStyle w:val="Normal"/>
        <w:rPr>
          <w:rFonts w:eastAsia="Calibri"/>
          <w:b/>
          <w:iCs/>
          <w:lang w:val="x-none" w:eastAsia="x-none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14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effect w:val="none"/>
        <w:szCs w:val="28"/>
        <w:iCs w:val="false"/>
        <w:bCs w:val="false"/>
        <w:em w:val="none"/>
        <w:vanish w:val="false"/>
        <w:rFonts w:cs="Times New Roman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7"/>
  <w:defaultTabStop w:val="225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link w:val="11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qFormat/>
    <w:rsid w:val="00ea61a8"/>
    <w:pPr>
      <w:tabs>
        <w:tab w:val="clear" w:pos="0"/>
      </w:tabs>
      <w:ind w:left="0" w:hanging="0"/>
      <w:outlineLvl w:val="1"/>
    </w:pPr>
    <w:rPr/>
  </w:style>
  <w:style w:type="paragraph" w:styleId="Heading3">
    <w:name w:val="Heading 3"/>
    <w:basedOn w:val="Normal"/>
    <w:link w:val="31"/>
    <w:autoRedefine/>
    <w:qFormat/>
    <w:rsid w:val="00035e96"/>
    <w:pPr>
      <w:keepNext w:val="true"/>
      <w:tabs>
        <w:tab w:val="clear" w:pos="225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1" w:customStyle="1">
    <w:name w:val="Гиперссылка1"/>
    <w:uiPriority w:val="99"/>
    <w:qFormat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uiPriority w:val="99"/>
    <w:qFormat/>
    <w:rsid w:val="00d22f6d"/>
    <w:rPr>
      <w:rFonts w:eastAsia="Calibri"/>
      <w:sz w:val="24"/>
      <w:szCs w:val="24"/>
    </w:rPr>
  </w:style>
  <w:style w:type="character" w:styleId="111" w:customStyle="1">
    <w:name w:val="Заголовок 1 Знак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i/>
      <w:shd w:fill="FFFF99" w:val="clear"/>
    </w:rPr>
  </w:style>
  <w:style w:type="character" w:styleId="Style9" w:customStyle="1">
    <w:name w:val="Подподпункт Знак"/>
    <w:qFormat/>
    <w:locked/>
    <w:rsid w:val="0025139e"/>
    <w:rPr>
      <w:sz w:val="26"/>
      <w:szCs w:val="26"/>
    </w:rPr>
  </w:style>
  <w:style w:type="character" w:styleId="31" w:customStyle="1">
    <w:name w:val="Заголовок 3 Знак1"/>
    <w:qFormat/>
    <w:rsid w:val="00b56f46"/>
    <w:rPr>
      <w:rFonts w:eastAsia="Calibri"/>
      <w:b/>
      <w:color w:val="00000A"/>
      <w:sz w:val="24"/>
      <w:szCs w:val="24"/>
      <w:lang w:val="x-none" w:eastAsia="x-none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главление 3 Знак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ы концевой сноски"/>
    <w:qFormat/>
    <w:rPr/>
  </w:style>
  <w:style w:type="character" w:styleId="Hyperlink">
    <w:name w:val="Hyperlink"/>
    <w:rPr>
      <w:color w:val="000080"/>
      <w:u w:val="single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14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14"/>
    <w:qFormat/>
    <w:pPr/>
    <w:rPr/>
  </w:style>
  <w:style w:type="paragraph" w:styleId="Caption111" w:customStyle="1">
    <w:name w:val="caption111"/>
    <w:basedOn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11" w:customStyle="1">
    <w:name w:val="index heading111"/>
    <w:basedOn w:val="14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spacing w:before="80" w:after="80"/>
      <w:jc w:val="both"/>
    </w:pPr>
    <w:rPr/>
  </w:style>
  <w:style w:type="paragraph" w:styleId="FootnoteText">
    <w:name w:val="Footnote Text"/>
    <w:basedOn w:val="Normal"/>
    <w:pPr/>
    <w:rPr/>
  </w:style>
  <w:style w:type="paragraph" w:styleId="15" w:customStyle="1">
    <w:name w:val="Шапка 1"/>
    <w:basedOn w:val="Normal"/>
    <w:qFormat/>
    <w:rsid w:val="00d561d9"/>
    <w:pPr>
      <w:pBdr>
        <w:bottom w:val="thickThinSmallGap" w:sz="24" w:space="1" w:color="00000A"/>
      </w:pBdr>
      <w:spacing w:before="0" w:after="240"/>
      <w:jc w:val="center"/>
    </w:pPr>
    <w:rPr>
      <w:sz w:val="22"/>
      <w:szCs w:val="22"/>
    </w:rPr>
  </w:style>
  <w:style w:type="paragraph" w:styleId="211" w:customStyle="1">
    <w:name w:val="Заголовок 2 Знак1"/>
    <w:basedOn w:val="Normal"/>
    <w:qFormat/>
    <w:rsid w:val="00d561d9"/>
    <w:pPr>
      <w:pBdr>
        <w:bottom w:val="thickThinSmallGap" w:sz="24" w:space="1" w:color="00000A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A"/>
      </w:pBdr>
      <w:spacing w:before="240" w:after="360"/>
      <w:jc w:val="center"/>
    </w:pPr>
    <w:rPr>
      <w:b/>
      <w:sz w:val="24"/>
      <w:szCs w:val="24"/>
    </w:rPr>
  </w:style>
  <w:style w:type="paragraph" w:styleId="16" w:customStyle="1">
    <w:name w:val="Название1"/>
    <w:basedOn w:val="Normal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rsid w:val="0076353a"/>
    <w:pPr>
      <w:tabs>
        <w:tab w:val="clear" w:pos="225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225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qFormat/>
    <w:rsid w:val="0076353a"/>
    <w:pPr>
      <w:tabs>
        <w:tab w:val="clear" w:pos="225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3" w:customStyle="1">
    <w:name w:val="Пункт2"/>
    <w:basedOn w:val="Normal"/>
    <w:qFormat/>
    <w:rsid w:val="0076353a"/>
    <w:pPr>
      <w:keepNext w:val="true"/>
      <w:tabs>
        <w:tab w:val="clear" w:pos="225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Heading1"/>
    <w:autoRedefine/>
    <w:uiPriority w:val="39"/>
    <w:rsid w:val="00421b6b"/>
    <w:pPr>
      <w:tabs>
        <w:tab w:val="clear" w:pos="0"/>
      </w:tabs>
      <w:spacing w:before="120" w:after="0"/>
      <w:ind w:left="0" w:hanging="0"/>
    </w:pPr>
    <w:rPr>
      <w:rFonts w:cs="Calibri Light (Заголовки)"/>
      <w:bCs/>
      <w:sz w:val="24"/>
      <w:szCs w:val="24"/>
    </w:rPr>
  </w:style>
  <w:style w:type="paragraph" w:styleId="TOC3">
    <w:name w:val="TOC 3"/>
    <w:basedOn w:val="Normal"/>
    <w:link w:val="32"/>
    <w:autoRedefine/>
    <w:uiPriority w:val="39"/>
    <w:rsid w:val="00c01756"/>
    <w:pPr>
      <w:ind w:left="280" w:hanging="0"/>
    </w:pPr>
    <w:rPr>
      <w:rFonts w:cs="Calibri" w:cstheme="minorHAnsi"/>
      <w:b/>
      <w:sz w:val="24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4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semiHidden/>
    <w:qFormat/>
    <w:rsid w:val="00b714b0"/>
    <w:pPr/>
    <w:rPr>
      <w:b/>
      <w:bCs/>
    </w:rPr>
  </w:style>
  <w:style w:type="paragraph" w:styleId="17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4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uiPriority w:val="39"/>
    <w:qFormat/>
    <w:rsid w:val="00d22f6d"/>
    <w:pPr>
      <w:keepLines/>
      <w:tabs>
        <w:tab w:val="clear" w:pos="0"/>
      </w:tabs>
      <w:spacing w:before="480" w:after="60"/>
      <w:ind w:left="0" w:hanging="0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Основной текст с отступом 3 Знак"/>
    <w:basedOn w:val="Normal"/>
    <w:qFormat/>
    <w:rsid w:val="00d22f6d"/>
    <w:p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25" w:customStyle="1">
    <w:name w:val="Нумерованный список ур2"/>
    <w:basedOn w:val="Normal"/>
    <w:link w:val="22"/>
    <w:qFormat/>
    <w:rsid w:val="00d22f6d"/>
    <w:p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eastAsia="Calibri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cs="Arial" w:eastAsia="Times New Roman"/>
      <w:color w:val="00000A"/>
      <w:kern w:val="0"/>
      <w:sz w:val="28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225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8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qFormat/>
    <w:rsid w:val="0025139e"/>
    <w:pPr>
      <w:tabs>
        <w:tab w:val="left" w:pos="1134" w:leader="none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spacing w:lineRule="exact" w:line="360" w:before="120" w:after="0"/>
      <w:contextualSpacing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spacing w:lineRule="exact" w:line="360" w:before="120" w:after="0"/>
      <w:contextualSpacing/>
      <w:jc w:val="both"/>
      <w:outlineLvl w:val="4"/>
    </w:pPr>
    <w:rPr>
      <w:sz w:val="26"/>
      <w:szCs w:val="28"/>
      <w:lang w:eastAsia="en-US"/>
    </w:rPr>
  </w:style>
  <w:style w:type="paragraph" w:styleId="26" w:customStyle="1">
    <w:name w:val="УРОВЕНЬ_Абзац_тип2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qFormat/>
    <w:rsid w:val="00b56f46"/>
    <w:pPr>
      <w:spacing w:lineRule="exact" w:line="360" w:before="120" w:after="0"/>
      <w:contextualSpacing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spacing w:lineRule="exact" w:line="360" w:before="120" w:after="120"/>
      <w:contextualSpacing/>
      <w:jc w:val="right"/>
      <w:outlineLvl w:val="3"/>
    </w:pPr>
    <w:rPr>
      <w:sz w:val="26"/>
      <w:szCs w:val="28"/>
      <w:lang w:eastAsia="en-US"/>
    </w:rPr>
  </w:style>
  <w:style w:type="paragraph" w:styleId="19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sz w:val="40"/>
      <w:szCs w:val="20"/>
      <w:lang w:val="ru-RU" w:eastAsia="ru-RU"/>
    </w:rPr>
  </w:style>
  <w:style w:type="paragraph" w:styleId="EndnoteText">
    <w:name w:val="Endnote Text"/>
    <w:basedOn w:val="Normal"/>
    <w:qFormat/>
    <w:rsid w:val="003879d4"/>
    <w:pPr/>
    <w:rPr>
      <w:sz w:val="20"/>
      <w:szCs w:val="20"/>
    </w:rPr>
  </w:style>
  <w:style w:type="paragraph" w:styleId="27" w:customStyle="1">
    <w:name w:val="Заголовок 2 КВВ"/>
    <w:basedOn w:val="Normal"/>
    <w:qFormat/>
    <w:rsid w:val="00cb35e8"/>
    <w:pPr>
      <w:keepNext w:val="true"/>
      <w:spacing w:before="120" w:after="120"/>
      <w:jc w:val="both"/>
      <w:outlineLvl w:val="0"/>
    </w:pPr>
    <w:rPr>
      <w:b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10" w:customStyle="1">
    <w:name w:val="УРОВЕНЬ_1."/>
    <w:basedOn w:val="ListParagraph"/>
    <w:qFormat/>
    <w:rsid w:val="004a17ae"/>
    <w:pPr>
      <w:keepNext w:val="true"/>
      <w:keepLines/>
      <w:spacing w:lineRule="auto" w:line="276" w:before="240" w:after="120"/>
      <w:ind w:left="0" w:hanging="0"/>
      <w:contextualSpacing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 w:customStyle="1">
    <w:name w:val="Содержимое таблицы"/>
    <w:basedOn w:val="Normal"/>
    <w:qFormat/>
    <w:pPr/>
    <w:rPr/>
  </w:style>
  <w:style w:type="paragraph" w:styleId="Style35" w:customStyle="1">
    <w:name w:val="Заголовок таблицы"/>
    <w:basedOn w:val="Style34"/>
    <w:qFormat/>
    <w:pPr/>
    <w:rPr/>
  </w:style>
  <w:style w:type="paragraph" w:styleId="Style36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numbering" w:styleId="112" w:customStyle="1">
    <w:name w:val="Стиль1"/>
    <w:uiPriority w:val="99"/>
    <w:qFormat/>
    <w:rsid w:val="00f001e4"/>
  </w:style>
  <w:style w:type="numbering" w:styleId="28" w:customStyle="1">
    <w:name w:val="Стиль2"/>
    <w:uiPriority w:val="99"/>
    <w:qFormat/>
    <w:rsid w:val="006629c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8">
    <w:name w:val="Table Grid"/>
    <w:basedOn w:val="a1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e">
    <w:name w:val="Сетка таблицы1"/>
    <w:basedOn w:val="a1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C3BB3-7540-4F52-A401-280CA7FAE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Application>AlterOffice/3.4.0.9$Linux_X86_64 LibreOffice_project/b8daf9e823b1a5463a2f48435ddc2e8696e7d4fc</Application>
  <AppVersion>15.0000</AppVersion>
  <Pages>14</Pages>
  <Words>1719</Words>
  <Characters>11239</Characters>
  <CharactersWithSpaces>12691</CharactersWithSpaces>
  <Paragraphs>337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2023-03-30T07:16:00Z</dcterms:created>
  <dc:creator>Быстров Олег Геннадьевич</dc:creator>
  <dc:description/>
  <dc:language>ru-RU</dc:language>
  <cp:lastModifiedBy>antonovanal@corp.gidroogk.com</cp:lastModifiedBy>
  <cp:lastPrinted>2026-05-14T16:22:00Z</cp:lastPrinted>
  <dcterms:modified xsi:type="dcterms:W3CDTF">2026-07-21T16:14:24Z</dcterms:modified>
  <cp:revision>46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