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footnotes.xml.rels" ContentType="application/vnd.openxmlformats-package.relationship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 № __________________</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Жигулевск</w:t>
        <w:tab/>
        <w:t xml:space="preserve">   «___» _________ 202__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директора филиала ПАО «РусГидро - «Жигулёвская ГЭС» Шепелева Вячеслава Владимировича</w:t>
      </w:r>
      <w:r>
        <w:rPr>
          <w:spacing w:val="4"/>
          <w:sz w:val="24"/>
          <w:szCs w:val="24"/>
        </w:rPr>
        <w:t>, действующего на основании доверенности № _____________г.,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highlight w:val="lightGray"/>
          <w:lang w:eastAsia="en-US"/>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по результатам проведенной Покупателем закупки по лоту № ____________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br/>
        <w:t>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 xml:space="preserve"> </w:t>
      </w: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tabs>
          <w:tab w:val="clear" w:pos="709"/>
          <w:tab w:val="left" w:pos="0" w:leader="none"/>
        </w:tabs>
        <w:ind w:firstLine="708"/>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 xml:space="preserve">запасные части для ремонта компрессорного оборудования Филиала ПАО «РусГидро» - «Жигулевской ГЭС»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«Жигулевская ГЭС».</w:t>
      </w:r>
    </w:p>
    <w:p>
      <w:pPr>
        <w:pStyle w:val="Normal"/>
        <w:numPr>
          <w:ilvl w:val="1"/>
          <w:numId w:val="2"/>
        </w:numPr>
        <w:shd w:val="clear" w:color="auto" w:fill="FFFFFF"/>
        <w:tabs>
          <w:tab w:val="clear" w:pos="709"/>
          <w:tab w:val="left" w:pos="0" w:leader="none"/>
          <w:tab w:val="left" w:pos="540" w:leader="none"/>
          <w:tab w:val="left" w:pos="1134" w:leader="none"/>
          <w:tab w:val="left" w:pos="1855" w:leader="none"/>
        </w:tabs>
        <w:ind w:left="0" w:firstLine="709"/>
        <w:jc w:val="both"/>
        <w:rPr>
          <w:bCs/>
          <w:sz w:val="24"/>
          <w:szCs w:val="24"/>
        </w:rPr>
      </w:pPr>
      <w:r>
        <w:rPr>
          <w:bCs/>
          <w:sz w:val="24"/>
          <w:szCs w:val="24"/>
        </w:rPr>
        <w:t xml:space="preserve">Место поставки Товара: </w:t>
      </w:r>
      <w:r>
        <w:rPr>
          <w:sz w:val="24"/>
          <w:szCs w:val="24"/>
        </w:rPr>
        <w:t>г.Жигулевск, Московское шоссе, д.2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 даты подписания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Окончание – не позднее 6 месяцев с даты подписания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Сроки поставки Товара указаны в Календарном графике поставки Товара (Приложение № 3 к Договору) в рамках общих сроков, указанных в пункте 1.4 Договора. </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твердой</w:t>
      </w:r>
      <w:r>
        <w:rPr>
          <w:bCs/>
          <w:sz w:val="24"/>
          <w:szCs w:val="24"/>
          <w:vertAlign w:val="superscript"/>
        </w:rPr>
        <w:t xml:space="preserve"> </w:t>
      </w:r>
      <w:r>
        <w:rPr>
          <w:bCs/>
          <w:sz w:val="24"/>
          <w:szCs w:val="24"/>
        </w:rPr>
        <w:t xml:space="preserve">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3"/>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highlight w:val="lightGray"/>
          <w:vertAlign w:val="superscript"/>
        </w:rPr>
        <w:footnoteReference w:id="2"/>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Авансовые платежи за Товар в размере 30 (тридцати) процентов от стоимости Товара выплачиваются Поставщику при условии получения Покупателем уведомления от Поставщика о начале изготовления Товара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начала изготовления</w:t>
      </w:r>
      <w:r>
        <w:rPr>
          <w:sz w:val="24"/>
          <w:szCs w:val="24"/>
          <w:vertAlign w:val="superscript"/>
        </w:rPr>
        <w:t xml:space="preserve"> </w:t>
      </w:r>
      <w:r>
        <w:rPr>
          <w:sz w:val="24"/>
          <w:szCs w:val="24"/>
        </w:rPr>
        <w:t>Товара, и с учетом пунктов 2.4.1, 2.4.4 Договора.</w:t>
      </w:r>
    </w:p>
    <w:p>
      <w:pPr>
        <w:pStyle w:val="ListParagraph"/>
        <w:numPr>
          <w:ilvl w:val="2"/>
          <w:numId w:val="2"/>
        </w:numPr>
        <w:shd w:val="clear" w:color="auto" w:fill="FFFFFF"/>
        <w:tabs>
          <w:tab w:val="clear" w:pos="709"/>
          <w:tab w:val="left" w:pos="1418" w:leader="none"/>
        </w:tabs>
        <w:ind w:left="0" w:firstLine="709"/>
        <w:jc w:val="both"/>
        <w:rPr>
          <w:sz w:val="24"/>
          <w:szCs w:val="24"/>
        </w:rPr>
      </w:pPr>
      <w:r>
        <w:rPr>
          <w:sz w:val="24"/>
          <w:szCs w:val="24"/>
        </w:rPr>
        <w:t xml:space="preserve">Последующие платежи в размере 70 % (семидесяти процентов) от стоимости Товара выплачиваются Поставщику в течение </w:t>
      </w:r>
      <w:r>
        <w:rPr>
          <w:sz w:val="24"/>
          <w:szCs w:val="24"/>
          <w:highlight w:val="lightGray"/>
        </w:rPr>
        <w:t>20 (двадцати) календарных дней</w:t>
      </w:r>
      <w:r>
        <w:rPr>
          <w:rStyle w:val="FootnoteReference"/>
          <w:sz w:val="24"/>
          <w:szCs w:val="24"/>
          <w:highlight w:val="lightGray"/>
        </w:rPr>
        <w:footnoteReference w:id="3"/>
      </w:r>
      <w:r>
        <w:rPr>
          <w:sz w:val="24"/>
          <w:szCs w:val="24"/>
          <w:highlight w:val="lightGray"/>
        </w:rPr>
        <w:t xml:space="preserve"> / 7 (семи) рабочих дней</w:t>
      </w:r>
      <w:r>
        <w:rPr>
          <w:rStyle w:val="FootnoteReference"/>
          <w:sz w:val="24"/>
          <w:szCs w:val="24"/>
          <w:highlight w:val="lightGray"/>
        </w:rPr>
        <w:footnoteReference w:id="4"/>
      </w:r>
      <w:r>
        <w:rPr>
          <w:sz w:val="24"/>
          <w:szCs w:val="24"/>
          <w:vertAlign w:val="superscript"/>
        </w:rPr>
        <w:t xml:space="preserve"> </w:t>
      </w:r>
      <w:r>
        <w:rPr>
          <w:sz w:val="24"/>
          <w:szCs w:val="24"/>
        </w:rPr>
        <w:t>с даты подписания Сторонами накладной ТОРГ-12,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shd w:val="clear" w:color="auto" w:fill="FFFFFF"/>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Погрузка, доставка, </w:t>
      </w:r>
      <w:r>
        <w:rPr>
          <w:sz w:val="24"/>
          <w:szCs w:val="24"/>
          <w:highlight w:val="lightGray"/>
        </w:rPr>
        <w:t xml:space="preserve">разгрузка и перемещение Товара (в том числе </w:t>
        <w:br/>
        <w:t>по территории Покупателя)</w:t>
      </w:r>
      <w:r>
        <w:rPr>
          <w:rStyle w:val="FootnoteReference"/>
          <w:bCs/>
          <w:sz w:val="24"/>
          <w:szCs w:val="24"/>
          <w:highlight w:val="lightGray"/>
        </w:rPr>
        <w:footnoteReference w:id="5"/>
      </w:r>
      <w:r>
        <w:rPr>
          <w:bCs/>
          <w:sz w:val="24"/>
          <w:szCs w:val="24"/>
        </w:rPr>
        <w:t xml:space="preserve"> осуществляется Поставщиком. Стоимость погрузки, доставки, разгрузки </w:t>
      </w:r>
      <w:r>
        <w:rPr>
          <w:sz w:val="24"/>
          <w:szCs w:val="24"/>
          <w:highlight w:val="lightGray"/>
        </w:rPr>
        <w:t>и перемещения Товара</w:t>
      </w:r>
      <w:r>
        <w:rPr>
          <w:bCs/>
          <w:sz w:val="24"/>
          <w:szCs w:val="24"/>
        </w:rPr>
        <w:t xml:space="preserve">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w:t>
      </w:r>
      <w:r>
        <w:rPr>
          <w:sz w:val="24"/>
          <w:szCs w:val="24"/>
          <w:highlight w:val="lightGray"/>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100 </w:t>
        <w:br/>
        <w:t xml:space="preserve">(ста)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непогашенного (незачтенного)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сроков</w:t>
      </w:r>
      <w:r>
        <w:rPr>
          <w:sz w:val="24"/>
          <w:szCs w:val="24"/>
        </w:rPr>
        <w:t xml:space="preserve"> </w:t>
      </w:r>
      <w:r>
        <w:rPr>
          <w:bCs/>
          <w:sz w:val="24"/>
          <w:szCs w:val="24"/>
        </w:rPr>
        <w:t>поставки Товара, установленных Календарным графиком поставки Товара (Приложение № 3 к Договору)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4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6"/>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t>с выставленными счетами Подрядчика составляет 5 000 000 (Пять миллионов) рублей и более</w:t>
        <w:br/>
        <w:t>без учета НДС.</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bCs/>
          <w:sz w:val="24"/>
          <w:szCs w:val="24"/>
        </w:rPr>
      </w:pPr>
      <w:r>
        <w:rPr>
          <w:sz w:val="24"/>
          <w:szCs w:val="24"/>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sz w:val="24"/>
          <w:szCs w:val="24"/>
          <w:highlight w:val="lightGray"/>
        </w:rPr>
        <w:footnoteReference w:id="7"/>
      </w:r>
      <w:r>
        <w:rPr>
          <w:sz w:val="24"/>
          <w:szCs w:val="24"/>
          <w:highlight w:val="lightGray"/>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shd w:val="clear" w:color="auto" w:fill="FFFFFF"/>
        <w:rPr>
          <w:b/>
          <w:sz w:val="24"/>
          <w:szCs w:val="24"/>
        </w:rPr>
      </w:pPr>
      <w:r>
        <w:rPr>
          <w:b/>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выплаты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276" w:leader="none"/>
        </w:tabs>
        <w:ind w:left="0" w:firstLine="709"/>
        <w:jc w:val="both"/>
        <w:rPr>
          <w:bCs/>
          <w:sz w:val="24"/>
          <w:szCs w:val="24"/>
        </w:rPr>
      </w:pPr>
      <w:r>
        <w:rPr>
          <w:bCs/>
          <w:sz w:val="24"/>
          <w:szCs w:val="24"/>
        </w:rPr>
        <w:t xml:space="preserve">Неустойки в размере </w:t>
      </w:r>
      <w:r>
        <w:rPr>
          <w:rFonts w:eastAsia="Calibri"/>
          <w:bCs/>
          <w:sz w:val="24"/>
          <w:szCs w:val="24"/>
        </w:rPr>
        <w:t xml:space="preserve">0,1 (ноль целых и одна десятая) </w:t>
      </w:r>
      <w:r>
        <w:rPr>
          <w:bCs/>
          <w:sz w:val="24"/>
          <w:szCs w:val="24"/>
        </w:rPr>
        <w:t xml:space="preserve">процента от цены </w:t>
      </w:r>
      <w:r>
        <w:rPr>
          <w:rFonts w:eastAsia="Calibri"/>
          <w:bCs/>
          <w:sz w:val="24"/>
          <w:szCs w:val="24"/>
        </w:rPr>
        <w:t>Товара</w:t>
      </w:r>
      <w:r>
        <w:rPr>
          <w:bCs/>
          <w:sz w:val="24"/>
          <w:szCs w:val="24"/>
        </w:rPr>
        <w:t xml:space="preserve"> за каждый день просрочки - в случае, когда нарушение привело или неизбежно приведет к изменению срока поставки Товара в целом по Договору;</w:t>
      </w:r>
    </w:p>
    <w:p>
      <w:pPr>
        <w:pStyle w:val="ListParagraph"/>
        <w:widowControl/>
        <w:numPr>
          <w:ilvl w:val="2"/>
          <w:numId w:val="2"/>
        </w:numPr>
        <w:tabs>
          <w:tab w:val="clear" w:pos="709"/>
          <w:tab w:val="left" w:pos="1276"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276"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2"/>
        </w:numPr>
        <w:tabs>
          <w:tab w:val="clear" w:pos="709"/>
          <w:tab w:val="left" w:pos="1276"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5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Покупатель вправе требовать уплаты Поставщиком неустойки в размере 0,03 (ноль целых и три сотых) процента от Цены Договора за каждый день просрочки.</w:t>
      </w:r>
    </w:p>
    <w:p>
      <w:pPr>
        <w:pStyle w:val="ListParagraph"/>
        <w:numPr>
          <w:ilvl w:val="1"/>
          <w:numId w:val="2"/>
        </w:numPr>
        <w:tabs>
          <w:tab w:val="clear" w:pos="709"/>
          <w:tab w:val="left" w:pos="1560" w:leader="none"/>
          <w:tab w:val="left" w:pos="1701" w:leader="none"/>
        </w:tabs>
        <w:ind w:left="0" w:firstLine="709"/>
        <w:jc w:val="both"/>
        <w:rPr>
          <w:sz w:val="24"/>
          <w:szCs w:val="24"/>
          <w:highlight w:val="lightGray"/>
        </w:rPr>
      </w:pPr>
      <w:r>
        <w:rPr>
          <w:sz w:val="24"/>
          <w:szCs w:val="24"/>
          <w:highlight w:val="lightGray"/>
        </w:rPr>
        <w:t>В случае если неисполнение / ненадлежащее исполнение Поставщиком обязательств по Договору повлекло за собой нарушение Покупателем обязательств на оптовом и / или розничных рынках электрической энергии и мощности, Поставщик несет ответственность перед Покупателем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Покупателем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 своих обязательств.</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Кроме суммы реального ущерба, Поставщик компенсирует Покупателю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Размер упущенной выгоды (выручки) подтверждается (по выбору Покупателя):</w:t>
      </w:r>
    </w:p>
    <w:p>
      <w:pPr>
        <w:pStyle w:val="Normal"/>
        <w:widowControl/>
        <w:numPr>
          <w:ilvl w:val="0"/>
          <w:numId w:val="14"/>
        </w:numPr>
        <w:tabs>
          <w:tab w:val="clear" w:pos="709"/>
          <w:tab w:val="left" w:pos="1560" w:leader="none"/>
          <w:tab w:val="left" w:pos="1701" w:leader="none"/>
        </w:tabs>
        <w:spacing w:lineRule="auto" w:line="259"/>
        <w:ind w:left="0" w:firstLine="709"/>
        <w:jc w:val="both"/>
        <w:rPr>
          <w:sz w:val="24"/>
          <w:szCs w:val="24"/>
          <w:highlight w:val="lightGray"/>
        </w:rPr>
      </w:pPr>
      <w:r>
        <w:rPr>
          <w:sz w:val="24"/>
          <w:szCs w:val="24"/>
          <w:highlight w:val="lightGray"/>
        </w:rPr>
        <w:t>в ценовых зонах:</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 xml:space="preserve">расчетом, подготовленным Коммерческим оператором оптового рынка; </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и / или</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расчетом, подготовленным Покупателем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Ассоциация «НП Совета рынка»).</w:t>
      </w:r>
    </w:p>
    <w:p>
      <w:pPr>
        <w:pStyle w:val="Normal"/>
        <w:widowControl/>
        <w:numPr>
          <w:ilvl w:val="0"/>
          <w:numId w:val="14"/>
        </w:numPr>
        <w:tabs>
          <w:tab w:val="clear" w:pos="709"/>
          <w:tab w:val="left" w:pos="1560" w:leader="none"/>
          <w:tab w:val="left" w:pos="1701" w:leader="none"/>
        </w:tabs>
        <w:spacing w:lineRule="auto" w:line="259"/>
        <w:ind w:left="0" w:firstLine="709"/>
        <w:jc w:val="both"/>
        <w:rPr>
          <w:sz w:val="24"/>
          <w:szCs w:val="24"/>
          <w:highlight w:val="lightGray"/>
        </w:rPr>
      </w:pPr>
      <w:r>
        <w:rPr>
          <w:sz w:val="24"/>
          <w:szCs w:val="24"/>
          <w:highlight w:val="lightGray"/>
        </w:rPr>
        <w:t xml:space="preserve">в неценовой зоне Дальнего Востока: </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до даты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 – расчетом, подготовленным Покупателем на основании Методики (приложение № 7 к Договору);</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 xml:space="preserve">расчетом, подготовленным Коммерческим оператором оптового рынка; </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и / или</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расчетом, подготовленным Покупателем на основании методики, утвержденной Наблюдательным советом Ассоциации «НП Совет рынка».</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В отношении вновь вводимого оборудования ГЭС / ГАЭС – объектов ДПМ, ДПМ ВИЭ в ценовых зонах ОРЭМ Поставщик дополнительно компенсирует Покупателю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 xml:space="preserve">В отношении вновь вводимого (модернизируемого) оборудования ТЭС в неценовой зоне Дальнего Востока Поставщик дополнительно компенсирует Покупателю упущенную выгоду (выручку) в связи: </w:t>
      </w:r>
    </w:p>
    <w:p>
      <w:pPr>
        <w:pStyle w:val="ListParagraph"/>
        <w:numPr>
          <w:ilvl w:val="2"/>
          <w:numId w:val="2"/>
        </w:numPr>
        <w:tabs>
          <w:tab w:val="clear" w:pos="709"/>
          <w:tab w:val="left" w:pos="1560" w:leader="none"/>
          <w:tab w:val="left" w:pos="1701" w:leader="none"/>
        </w:tabs>
        <w:ind w:left="0" w:firstLine="709"/>
        <w:jc w:val="both"/>
        <w:rPr>
          <w:sz w:val="24"/>
          <w:szCs w:val="24"/>
          <w:highlight w:val="lightGray"/>
        </w:rPr>
      </w:pPr>
      <w:r>
        <w:rPr>
          <w:sz w:val="24"/>
          <w:szCs w:val="24"/>
          <w:highlight w:val="lightGray"/>
        </w:rPr>
        <w:t>С неоплатой мощности из-за просрочки исполнения обязательства по поставке мощности от модернизированного объекта.</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Размер упущенной выгоды для каждого месяца просрочки определяется как произведение установленной мощности модернизированного объекта на тариф по мощности, 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указанной в перечне, утвержденном Правительством Российской Федерации.</w:t>
      </w:r>
    </w:p>
    <w:p>
      <w:pPr>
        <w:pStyle w:val="ListParagraph"/>
        <w:numPr>
          <w:ilvl w:val="2"/>
          <w:numId w:val="2"/>
        </w:numPr>
        <w:tabs>
          <w:tab w:val="clear" w:pos="709"/>
          <w:tab w:val="left" w:pos="1560" w:leader="none"/>
          <w:tab w:val="left" w:pos="1701" w:leader="none"/>
        </w:tabs>
        <w:ind w:left="0" w:firstLine="709"/>
        <w:jc w:val="both"/>
        <w:rPr>
          <w:sz w:val="24"/>
          <w:szCs w:val="24"/>
          <w:highlight w:val="lightGray"/>
        </w:rPr>
      </w:pPr>
      <w:r>
        <w:rPr>
          <w:sz w:val="24"/>
          <w:szCs w:val="24"/>
          <w:highlight w:val="lightGray"/>
        </w:rPr>
        <w:t xml:space="preserve"> </w:t>
      </w:r>
      <w:r>
        <w:rPr>
          <w:sz w:val="24"/>
          <w:szCs w:val="24"/>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pPr>
        <w:pStyle w:val="ListParagraph"/>
        <w:numPr>
          <w:ilvl w:val="2"/>
          <w:numId w:val="2"/>
        </w:numPr>
        <w:tabs>
          <w:tab w:val="clear" w:pos="709"/>
          <w:tab w:val="left" w:pos="1560" w:leader="none"/>
        </w:tabs>
        <w:ind w:left="0" w:firstLine="709"/>
        <w:jc w:val="both"/>
        <w:rPr>
          <w:sz w:val="24"/>
          <w:szCs w:val="24"/>
          <w:highlight w:val="lightGray"/>
        </w:rPr>
      </w:pPr>
      <w:r>
        <w:rPr>
          <w:sz w:val="24"/>
          <w:szCs w:val="24"/>
          <w:highlight w:val="lightGray"/>
        </w:rPr>
        <w:t xml:space="preserve"> </w:t>
      </w:r>
      <w:r>
        <w:rPr>
          <w:sz w:val="24"/>
          <w:szCs w:val="24"/>
          <w:highlight w:val="lightGray"/>
        </w:rPr>
        <w: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r>
        <w:rPr>
          <w:rStyle w:val="FootnoteReference"/>
          <w:sz w:val="24"/>
          <w:szCs w:val="24"/>
          <w:highlight w:val="lightGray"/>
        </w:rPr>
        <w:footnoteReference w:id="8"/>
      </w:r>
      <w:r>
        <w:rPr>
          <w:sz w:val="24"/>
          <w:szCs w:val="24"/>
          <w:highlight w:val="lightGray"/>
        </w:rPr>
        <w:t>.</w:t>
      </w:r>
    </w:p>
    <w:p>
      <w:pPr>
        <w:pStyle w:val="Normal"/>
        <w:tabs>
          <w:tab w:val="clear" w:pos="709"/>
          <w:tab w:val="left" w:pos="1560" w:leader="none"/>
        </w:tabs>
        <w:ind w:firstLine="709"/>
        <w:jc w:val="both"/>
        <w:rPr>
          <w:sz w:val="24"/>
          <w:szCs w:val="24"/>
          <w:highlight w:val="lightGray"/>
        </w:rPr>
      </w:pPr>
      <w:r>
        <w:rPr>
          <w:sz w:val="24"/>
          <w:szCs w:val="24"/>
          <w:highlight w:val="lightGray"/>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указана в Приложении № 6 к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раскрывать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9.6.7 Договора.</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0" w:leader="none"/>
          <w:tab w:val="left" w:pos="1701"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tabs>
          <w:tab w:val="clear" w:pos="709"/>
          <w:tab w:val="left" w:pos="1134" w:leader="none"/>
          <w:tab w:val="left" w:pos="1567" w:leader="none"/>
        </w:tabs>
        <w:ind w:left="709" w:hanging="0"/>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Самарской области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widowControl/>
        <w:shd w:val="clear" w:color="auto" w:fill="FFFFFF"/>
        <w:tabs>
          <w:tab w:val="clear" w:pos="709"/>
          <w:tab w:val="left" w:pos="0" w:leader="none"/>
          <w:tab w:val="left" w:pos="1418"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lineRule="auto" w:line="259"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418" w:leader="none"/>
          <w:tab w:val="left" w:pos="1851"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9"/>
      </w:r>
      <w:r>
        <w:rPr>
          <w:sz w:val="24"/>
          <w:szCs w:val="24"/>
          <w:highlight w:val="lightGray"/>
        </w:rPr>
        <w:t>.</w:t>
      </w:r>
    </w:p>
    <w:p>
      <w:pPr>
        <w:pStyle w:val="Normal"/>
        <w:snapToGrid w:val="false"/>
        <w:ind w:firstLine="709"/>
        <w:jc w:val="both"/>
        <w:rPr>
          <w:i/>
          <w:i/>
          <w:sz w:val="24"/>
          <w:szCs w:val="24"/>
          <w:highlight w:val="lightGray"/>
        </w:rPr>
      </w:pPr>
      <w:r>
        <w:rPr>
          <w:i/>
          <w:sz w:val="24"/>
          <w:szCs w:val="24"/>
          <w:highlight w:val="lightGray"/>
        </w:rPr>
        <w:t>Либо</w:t>
      </w:r>
    </w:p>
    <w:p>
      <w:pPr>
        <w:pStyle w:val="Normal"/>
        <w:snapToGrid w:val="false"/>
        <w:ind w:firstLine="709"/>
        <w:jc w:val="both"/>
        <w:rPr>
          <w:i/>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0"/>
      </w:r>
      <w:r>
        <w:rPr>
          <w:sz w:val="24"/>
          <w:szCs w:val="24"/>
          <w:highlight w:val="lightGray"/>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11"/>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2"/>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3 –</w:t>
      </w:r>
      <w:r>
        <w:rPr>
          <w:rFonts w:eastAsia="Calibri"/>
          <w:sz w:val="24"/>
          <w:szCs w:val="24"/>
          <w:lang w:eastAsia="en-US"/>
        </w:rPr>
        <w:t xml:space="preserve"> Календарный график поставки Товара.</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bookmarkStart w:id="10" w:name="sub_1"/>
      <w:r>
        <w:rPr>
          <w:rFonts w:eastAsia="Calibri"/>
          <w:sz w:val="24"/>
          <w:szCs w:val="24"/>
          <w:lang w:eastAsia="en-US"/>
        </w:rPr>
        <w:t>Приложение № 4 – Критерии отбора Банков-Гарантов.</w:t>
      </w:r>
      <w:bookmarkEnd w:id="10"/>
    </w:p>
    <w:p>
      <w:pPr>
        <w:pStyle w:val="Normal"/>
        <w:ind w:firstLine="709"/>
        <w:jc w:val="both"/>
        <w:rPr>
          <w:bCs/>
          <w:sz w:val="24"/>
          <w:szCs w:val="24"/>
        </w:rPr>
      </w:pPr>
      <w:r>
        <w:rPr>
          <w:bCs/>
          <w:sz w:val="24"/>
          <w:szCs w:val="24"/>
        </w:rPr>
        <w:t xml:space="preserve">Приложение № 5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83"/>
        <w:gridCol w:w="145"/>
        <w:gridCol w:w="4641"/>
        <w:gridCol w:w="321"/>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FFFFFF" w:themeFill="background1"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Красноярский край, г. Красноярск</w:t>
            </w:r>
          </w:p>
          <w:p>
            <w:pPr>
              <w:pStyle w:val="Normal"/>
              <w:widowControl w:val="false"/>
              <w:rPr>
                <w:sz w:val="24"/>
                <w:szCs w:val="24"/>
              </w:rPr>
            </w:pPr>
            <w:r>
              <w:rPr>
                <w:sz w:val="24"/>
                <w:szCs w:val="24"/>
              </w:rPr>
              <w:t>Адрес: 660017, Красноярский край,</w:t>
            </w:r>
          </w:p>
          <w:p>
            <w:pPr>
              <w:pStyle w:val="Normal"/>
              <w:widowControl w:val="false"/>
              <w:rPr>
                <w:sz w:val="24"/>
                <w:szCs w:val="24"/>
              </w:rPr>
            </w:pPr>
            <w:r>
              <w:rPr>
                <w:sz w:val="24"/>
                <w:szCs w:val="24"/>
              </w:rPr>
              <w:t>г. Красноярск, ул. Дубровинского,</w:t>
            </w:r>
          </w:p>
          <w:p>
            <w:pPr>
              <w:pStyle w:val="Normal"/>
              <w:widowControl w:val="false"/>
              <w:rPr>
                <w:sz w:val="24"/>
                <w:szCs w:val="24"/>
              </w:rPr>
            </w:pPr>
            <w:r>
              <w:rPr>
                <w:sz w:val="24"/>
                <w:szCs w:val="24"/>
              </w:rPr>
              <w:t>д. 43, стр. 1</w:t>
            </w:r>
          </w:p>
          <w:p>
            <w:pPr>
              <w:pStyle w:val="Normal"/>
              <w:widowControl w:val="false"/>
              <w:rPr>
                <w:sz w:val="24"/>
                <w:szCs w:val="24"/>
              </w:rPr>
            </w:pPr>
            <w:r>
              <w:rPr>
                <w:sz w:val="24"/>
                <w:szCs w:val="24"/>
              </w:rPr>
              <w:t>Почтовый адрес: 117393, г. Москва, ул. Малая Дмитровка, д.7.</w:t>
            </w:r>
          </w:p>
          <w:p>
            <w:pPr>
              <w:pStyle w:val="Normal"/>
              <w:widowControl w:val="false"/>
              <w:rPr>
                <w:sz w:val="24"/>
                <w:szCs w:val="24"/>
              </w:rPr>
            </w:pPr>
            <w:r>
              <w:rPr>
                <w:sz w:val="24"/>
                <w:szCs w:val="24"/>
              </w:rPr>
              <w:t>ОГРН 1042401810494,</w:t>
            </w:r>
          </w:p>
          <w:p>
            <w:pPr>
              <w:pStyle w:val="Normal"/>
              <w:widowControl w:val="false"/>
              <w:rPr>
                <w:sz w:val="24"/>
                <w:szCs w:val="24"/>
              </w:rPr>
            </w:pPr>
            <w:r>
              <w:rPr>
                <w:sz w:val="24"/>
                <w:szCs w:val="24"/>
              </w:rPr>
              <w:t>ИНН 2460066195 / КПП 997450001</w:t>
            </w:r>
          </w:p>
          <w:p>
            <w:pPr>
              <w:pStyle w:val="Normal"/>
              <w:widowControl w:val="false"/>
              <w:rPr>
                <w:sz w:val="24"/>
                <w:szCs w:val="24"/>
              </w:rPr>
            </w:pPr>
            <w:r>
              <w:rPr>
                <w:sz w:val="24"/>
                <w:szCs w:val="24"/>
              </w:rPr>
            </w:r>
          </w:p>
          <w:p>
            <w:pPr>
              <w:pStyle w:val="Normal"/>
              <w:widowControl w:val="false"/>
              <w:rPr>
                <w:sz w:val="24"/>
                <w:szCs w:val="24"/>
              </w:rPr>
            </w:pPr>
            <w:r>
              <w:rPr>
                <w:sz w:val="24"/>
                <w:szCs w:val="24"/>
              </w:rPr>
              <w:t>Филиал ПАО «РусГидро» - «Жигулевская ГЭС»</w:t>
            </w:r>
          </w:p>
          <w:p>
            <w:pPr>
              <w:pStyle w:val="Normal"/>
              <w:widowControl w:val="false"/>
              <w:rPr>
                <w:sz w:val="24"/>
                <w:szCs w:val="24"/>
              </w:rPr>
            </w:pPr>
            <w:r>
              <w:rPr>
                <w:sz w:val="24"/>
                <w:szCs w:val="24"/>
              </w:rPr>
              <w:t>Место нахождения: Российская Федерация, Самарская обл., г. Жигулевск</w:t>
            </w:r>
          </w:p>
          <w:p>
            <w:pPr>
              <w:pStyle w:val="Normal"/>
              <w:widowControl w:val="false"/>
              <w:rPr>
                <w:sz w:val="24"/>
                <w:szCs w:val="24"/>
              </w:rPr>
            </w:pPr>
            <w:r>
              <w:rPr>
                <w:sz w:val="24"/>
                <w:szCs w:val="24"/>
              </w:rPr>
              <w:t>Почтовый адрес филиала: 445350, Самарская обл., г. Жигулевск, ул. Московское шоссе,2</w:t>
            </w:r>
          </w:p>
          <w:p>
            <w:pPr>
              <w:pStyle w:val="Normal"/>
              <w:widowControl w:val="false"/>
              <w:rPr>
                <w:sz w:val="24"/>
                <w:szCs w:val="24"/>
              </w:rPr>
            </w:pPr>
            <w:r>
              <w:rPr>
                <w:sz w:val="24"/>
                <w:szCs w:val="24"/>
              </w:rPr>
            </w:r>
          </w:p>
          <w:p>
            <w:pPr>
              <w:pStyle w:val="Normal"/>
              <w:widowControl w:val="false"/>
              <w:rPr>
                <w:sz w:val="24"/>
                <w:szCs w:val="24"/>
              </w:rPr>
            </w:pPr>
            <w:r>
              <w:rPr>
                <w:sz w:val="24"/>
                <w:szCs w:val="24"/>
              </w:rPr>
              <w:t>ОКПО 00102551, ОКВЭД 40.10.12,</w:t>
            </w:r>
          </w:p>
          <w:p>
            <w:pPr>
              <w:pStyle w:val="Normal"/>
              <w:widowControl w:val="false"/>
              <w:rPr>
                <w:sz w:val="24"/>
                <w:szCs w:val="24"/>
              </w:rPr>
            </w:pPr>
            <w:r>
              <w:rPr>
                <w:sz w:val="24"/>
                <w:szCs w:val="24"/>
              </w:rPr>
              <w:t>ИНН/КПП: 2460066195/634502001</w:t>
            </w:r>
          </w:p>
          <w:p>
            <w:pPr>
              <w:pStyle w:val="Normal"/>
              <w:widowControl w:val="false"/>
              <w:rPr>
                <w:sz w:val="24"/>
                <w:szCs w:val="24"/>
              </w:rPr>
            </w:pPr>
            <w:r>
              <w:rPr>
                <w:sz w:val="24"/>
                <w:szCs w:val="24"/>
              </w:rPr>
              <w:t>Р/с: 40702810054040002491 в Поволжском    банке Сбербанка РФ, г. Самара</w:t>
            </w:r>
          </w:p>
          <w:p>
            <w:pPr>
              <w:pStyle w:val="Normal"/>
              <w:widowControl w:val="false"/>
              <w:rPr>
                <w:sz w:val="24"/>
                <w:szCs w:val="24"/>
              </w:rPr>
            </w:pPr>
            <w:r>
              <w:rPr>
                <w:sz w:val="24"/>
                <w:szCs w:val="24"/>
              </w:rPr>
              <w:t>К/с: 30101810200000000607</w:t>
            </w:r>
          </w:p>
          <w:p>
            <w:pPr>
              <w:pStyle w:val="Normal"/>
              <w:widowControl w:val="false"/>
              <w:rPr>
                <w:sz w:val="24"/>
                <w:szCs w:val="24"/>
              </w:rPr>
            </w:pPr>
            <w:r>
              <w:rPr>
                <w:sz w:val="24"/>
                <w:szCs w:val="24"/>
              </w:rPr>
              <w:t>БИК: 043601607</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(84862) 75-1-09 (номер телефона)</w:t>
            </w:r>
          </w:p>
          <w:p>
            <w:pPr>
              <w:pStyle w:val="Normal"/>
              <w:widowControl w:val="false"/>
              <w:rPr>
                <w:sz w:val="24"/>
                <w:szCs w:val="24"/>
              </w:rPr>
            </w:pPr>
            <w:r>
              <w:rPr>
                <w:sz w:val="24"/>
                <w:szCs w:val="24"/>
              </w:rPr>
              <w:t>(84862) 2-15-87  (номер факса)</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филиала ПАО «РусГидро»-«Жигулевская ГЭС»</w:t>
            </w:r>
          </w:p>
          <w:p>
            <w:pPr>
              <w:pStyle w:val="Normal"/>
              <w:widowControl w:val="false"/>
              <w:rPr>
                <w:sz w:val="24"/>
                <w:szCs w:val="24"/>
              </w:rPr>
            </w:pPr>
            <w:r>
              <w:rPr>
                <w:sz w:val="24"/>
                <w:szCs w:val="24"/>
              </w:rPr>
            </w:r>
          </w:p>
        </w:tc>
        <w:tc>
          <w:tcPr>
            <w:tcW w:w="4962" w:type="dxa"/>
            <w:gridSpan w:val="2"/>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3" w:type="dxa"/>
            <w:tcBorders/>
          </w:tcPr>
          <w:p>
            <w:pPr>
              <w:pStyle w:val="Normal"/>
              <w:widowControl w:val="false"/>
              <w:rPr>
                <w:sz w:val="24"/>
                <w:szCs w:val="24"/>
                <w:highlight w:val="lightGray"/>
              </w:rPr>
            </w:pPr>
            <w:r>
              <w:rPr>
                <w:sz w:val="24"/>
                <w:szCs w:val="24"/>
              </w:rPr>
              <w:t>_______________ / В.В.Шепелев</w:t>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1"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right="96" w:hanging="0"/>
        <w:jc w:val="right"/>
        <w:rPr>
          <w:sz w:val="24"/>
          <w:szCs w:val="24"/>
        </w:rPr>
      </w:pPr>
      <w:r>
        <w:rPr>
          <w:sz w:val="24"/>
          <w:szCs w:val="24"/>
        </w:rPr>
        <w:t xml:space="preserve">к Договору поставки № </w:t>
      </w:r>
      <w:r>
        <w:rPr>
          <w:bCs/>
          <w:sz w:val="24"/>
          <w:szCs w:val="24"/>
        </w:rPr>
        <w:t>______________</w:t>
      </w:r>
    </w:p>
    <w:p>
      <w:pPr>
        <w:pStyle w:val="Normal"/>
        <w:suppressAutoHyphens w:val="true"/>
        <w:ind w:left="5103" w:right="96" w:hanging="0"/>
        <w:rPr>
          <w:sz w:val="22"/>
          <w:szCs w:val="22"/>
        </w:rPr>
      </w:pPr>
      <w:r>
        <w:rPr>
          <w:sz w:val="22"/>
          <w:szCs w:val="22"/>
        </w:rPr>
        <w:t>от «____» __________ 20</w:t>
      </w:r>
      <w:r>
        <w:rPr>
          <w:sz w:val="22"/>
          <w:szCs w:val="22"/>
          <w:lang w:val="en-US"/>
        </w:rPr>
        <w:t>2__</w:t>
      </w:r>
      <w:r>
        <w:rPr>
          <w:sz w:val="22"/>
          <w:szCs w:val="22"/>
        </w:rPr>
        <w:t xml:space="preserve"> г. </w:t>
      </w:r>
    </w:p>
    <w:p>
      <w:pPr>
        <w:pStyle w:val="Normal"/>
        <w:widowControl/>
        <w:suppressAutoHyphens w:val="true"/>
        <w:spacing w:lineRule="auto" w:line="259"/>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VBand="1" w:noHBand="0" w:lastColumn="0" w:firstColumn="1" w:lastRow="0" w:firstRow="1"/>
      </w:tblPr>
      <w:tblGrid>
        <w:gridCol w:w="457"/>
        <w:gridCol w:w="388"/>
        <w:gridCol w:w="602"/>
        <w:gridCol w:w="611"/>
        <w:gridCol w:w="612"/>
        <w:gridCol w:w="772"/>
        <w:gridCol w:w="729"/>
        <w:gridCol w:w="619"/>
        <w:gridCol w:w="731"/>
        <w:gridCol w:w="690"/>
        <w:gridCol w:w="513"/>
        <w:gridCol w:w="645"/>
        <w:gridCol w:w="551"/>
        <w:gridCol w:w="514"/>
        <w:gridCol w:w="715"/>
        <w:gridCol w:w="485"/>
      </w:tblGrid>
      <w:tr>
        <w:trPr>
          <w:trHeight w:val="526" w:hRule="atLeast"/>
        </w:trPr>
        <w:tc>
          <w:tcPr>
            <w:tcW w:w="4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3"/>
            </w:r>
          </w:p>
        </w:tc>
        <w:tc>
          <w:tcPr>
            <w:tcW w:w="7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4"/>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3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pStyle w:val="Normal"/>
        <w:rPr/>
      </w:pPr>
      <w:r>
        <w:rPr/>
        <w:t>__________ /__________</w:t>
        <w:tab/>
        <w:t xml:space="preserve">                                                         ___________ /___________</w:t>
      </w:r>
    </w:p>
    <w:p>
      <w:pPr>
        <w:pStyle w:val="Normal"/>
        <w:suppressAutoHyphens w:val="true"/>
        <w:ind w:right="96" w:firstLine="5103"/>
        <w:rPr>
          <w:sz w:val="22"/>
          <w:szCs w:val="22"/>
        </w:rPr>
      </w:pPr>
      <w:r>
        <w:rPr>
          <w:sz w:val="22"/>
          <w:szCs w:val="22"/>
        </w:rPr>
        <w:t>Приложение № 2</w:t>
      </w:r>
    </w:p>
    <w:p>
      <w:pPr>
        <w:pStyle w:val="Normal"/>
        <w:suppressAutoHyphens w:val="true"/>
        <w:ind w:right="96" w:hanging="0"/>
        <w:jc w:val="right"/>
        <w:rPr>
          <w:sz w:val="22"/>
          <w:szCs w:val="22"/>
        </w:rPr>
      </w:pPr>
      <w:r>
        <w:rPr>
          <w:sz w:val="22"/>
          <w:szCs w:val="22"/>
        </w:rPr>
        <w:t xml:space="preserve">к Договору поставки № </w:t>
      </w:r>
      <w:r>
        <w:rPr>
          <w:bCs/>
          <w:sz w:val="22"/>
          <w:szCs w:val="22"/>
        </w:rPr>
        <w:t>__________________</w:t>
      </w:r>
    </w:p>
    <w:p>
      <w:pPr>
        <w:pStyle w:val="Normal"/>
        <w:suppressAutoHyphens w:val="true"/>
        <w:ind w:right="96" w:firstLine="5103"/>
        <w:rPr>
          <w:sz w:val="22"/>
          <w:szCs w:val="22"/>
        </w:rPr>
      </w:pPr>
      <w:r>
        <w:rPr>
          <w:sz w:val="22"/>
          <w:szCs w:val="22"/>
        </w:rPr>
        <w:t xml:space="preserve">от «____» __________ 202 _ г.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sz w:val="24"/>
          <w:szCs w:val="24"/>
        </w:rPr>
      </w:pPr>
      <w:r>
        <w:rPr>
          <w:sz w:val="24"/>
          <w:szCs w:val="24"/>
        </w:rPr>
      </w:r>
    </w:p>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pP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suppressAutoHyphens w:val="true"/>
        <w:ind w:right="96" w:firstLine="5103"/>
        <w:rPr>
          <w:sz w:val="22"/>
          <w:szCs w:val="22"/>
        </w:rPr>
      </w:pPr>
      <w:r>
        <w:rPr>
          <w:sz w:val="22"/>
          <w:szCs w:val="22"/>
        </w:rPr>
        <w:t>Приложение № 3</w:t>
      </w:r>
    </w:p>
    <w:p>
      <w:pPr>
        <w:pStyle w:val="Normal"/>
        <w:suppressAutoHyphens w:val="true"/>
        <w:ind w:right="96" w:hanging="0"/>
        <w:jc w:val="right"/>
        <w:rPr>
          <w:sz w:val="22"/>
          <w:szCs w:val="22"/>
        </w:rPr>
      </w:pPr>
      <w:r>
        <w:rPr>
          <w:sz w:val="22"/>
          <w:szCs w:val="22"/>
        </w:rPr>
        <w:t xml:space="preserve">к Договору поставки № </w:t>
      </w:r>
      <w:r>
        <w:rPr>
          <w:bCs/>
          <w:sz w:val="22"/>
          <w:szCs w:val="22"/>
        </w:rPr>
        <w:t>_________________________</w:t>
      </w:r>
    </w:p>
    <w:p>
      <w:pPr>
        <w:pStyle w:val="Normal"/>
        <w:suppressAutoHyphens w:val="true"/>
        <w:ind w:right="96" w:hanging="0"/>
        <w:jc w:val="right"/>
        <w:rPr>
          <w:sz w:val="22"/>
          <w:szCs w:val="22"/>
        </w:rPr>
      </w:pPr>
      <w:r>
        <w:rPr>
          <w:sz w:val="22"/>
          <w:szCs w:val="22"/>
        </w:rPr>
        <w:t xml:space="preserve">от «____» __________ 202_ г. </w:t>
      </w:r>
    </w:p>
    <w:p>
      <w:pPr>
        <w:pStyle w:val="Normal"/>
        <w:suppressAutoHyphens w:val="true"/>
        <w:jc w:val="center"/>
        <w:rPr>
          <w:b/>
          <w:sz w:val="24"/>
          <w:szCs w:val="24"/>
        </w:rPr>
      </w:pPr>
      <w:r>
        <w:rPr>
          <w:b/>
          <w:sz w:val="24"/>
          <w:szCs w:val="24"/>
        </w:rPr>
      </w:r>
    </w:p>
    <w:p>
      <w:pPr>
        <w:pStyle w:val="Normal"/>
        <w:suppressAutoHyphens w:val="true"/>
        <w:jc w:val="center"/>
        <w:rPr>
          <w:b/>
          <w:sz w:val="24"/>
          <w:szCs w:val="24"/>
        </w:rPr>
      </w:pPr>
      <w:r>
        <w:rPr>
          <w:b/>
          <w:sz w:val="24"/>
          <w:szCs w:val="24"/>
        </w:rPr>
      </w:r>
    </w:p>
    <w:p>
      <w:pPr>
        <w:pStyle w:val="Normal"/>
        <w:suppressAutoHyphens w:val="true"/>
        <w:jc w:val="center"/>
        <w:rPr>
          <w:b/>
          <w:sz w:val="24"/>
          <w:szCs w:val="24"/>
        </w:rPr>
      </w:pPr>
      <w:r>
        <w:rPr>
          <w:b/>
          <w:sz w:val="24"/>
          <w:szCs w:val="24"/>
        </w:rPr>
        <w:t xml:space="preserve">Календарный график поставки Товара </w:t>
      </w:r>
    </w:p>
    <w:p>
      <w:pPr>
        <w:pStyle w:val="Normal"/>
        <w:rPr>
          <w:sz w:val="24"/>
          <w:szCs w:val="24"/>
        </w:rPr>
      </w:pPr>
      <w:r>
        <w:rPr>
          <w:sz w:val="24"/>
          <w:szCs w:val="24"/>
        </w:rPr>
      </w:r>
    </w:p>
    <w:p>
      <w:pPr>
        <w:pStyle w:val="Normal"/>
        <w:rPr>
          <w:sz w:val="24"/>
          <w:szCs w:val="24"/>
        </w:rPr>
      </w:pPr>
      <w:r>
        <w:rPr>
          <w:sz w:val="24"/>
          <w:szCs w:val="24"/>
        </w:rPr>
        <w:t>Таблица 1. Календарный график поставки Товара</w:t>
      </w:r>
    </w:p>
    <w:p>
      <w:pPr>
        <w:pStyle w:val="Normal"/>
        <w:rPr>
          <w:sz w:val="24"/>
          <w:szCs w:val="24"/>
        </w:rPr>
      </w:pPr>
      <w:r>
        <w:rPr>
          <w:sz w:val="24"/>
          <w:szCs w:val="24"/>
        </w:rPr>
      </w:r>
    </w:p>
    <w:tbl>
      <w:tblPr>
        <w:tblW w:w="963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06"/>
        <w:gridCol w:w="1841"/>
        <w:gridCol w:w="1844"/>
        <w:gridCol w:w="991"/>
        <w:gridCol w:w="1135"/>
        <w:gridCol w:w="991"/>
        <w:gridCol w:w="994"/>
        <w:gridCol w:w="1130"/>
      </w:tblGrid>
      <w:tr>
        <w:trPr>
          <w:trHeight w:val="230" w:hRule="atLeast"/>
        </w:trPr>
        <w:tc>
          <w:tcPr>
            <w:tcW w:w="70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Наименование Товара </w:t>
            </w:r>
          </w:p>
        </w:tc>
        <w:tc>
          <w:tcPr>
            <w:tcW w:w="184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Обоснование стоимости, пункт Спецификации </w:t>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t>Сроки поставки</w:t>
            </w:r>
          </w:p>
          <w:p>
            <w:pPr>
              <w:pStyle w:val="Normal"/>
              <w:widowControl w:val="false"/>
              <w:jc w:val="center"/>
              <w:rPr/>
            </w:pPr>
            <w:r>
              <w:rPr/>
              <w:t xml:space="preserve"> </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Цена, руб.</w:t>
            </w:r>
          </w:p>
        </w:tc>
        <w:tc>
          <w:tcPr>
            <w:tcW w:w="99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Сумма НДС (__%), руб.</w:t>
            </w:r>
          </w:p>
        </w:tc>
        <w:tc>
          <w:tcPr>
            <w:tcW w:w="11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Стоимость, руб. с НДС</w:t>
            </w:r>
          </w:p>
        </w:tc>
      </w:tr>
      <w:tr>
        <w:trPr>
          <w:trHeight w:val="908" w:hRule="atLeast"/>
        </w:trPr>
        <w:tc>
          <w:tcPr>
            <w:tcW w:w="70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8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84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t xml:space="preserve">Дата начала изготовления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Дата поставки</w:t>
            </w:r>
          </w:p>
          <w:p>
            <w:pPr>
              <w:pStyle w:val="Normal"/>
              <w:widowControl w:val="false"/>
              <w:jc w:val="center"/>
              <w:rPr/>
            </w:pPr>
            <w:r>
              <w:rPr/>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без НДС</w:t>
            </w:r>
          </w:p>
        </w:tc>
        <w:tc>
          <w:tcPr>
            <w:tcW w:w="9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13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r>
      <w:tr>
        <w:trPr>
          <w:trHeight w:val="972" w:hRule="atLeast"/>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1.</w:t>
            </w:r>
          </w:p>
        </w:tc>
        <w:tc>
          <w:tcPr>
            <w:tcW w:w="1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8502"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right"/>
              <w:rPr>
                <w:b/>
                <w:sz w:val="24"/>
                <w:szCs w:val="24"/>
              </w:rPr>
            </w:pPr>
            <w:r>
              <w:rPr>
                <w:b/>
                <w:sz w:val="24"/>
                <w:szCs w:val="24"/>
              </w:rPr>
              <w:t>Всего по Договору:</w:t>
            </w:r>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tabs>
          <w:tab w:val="clear" w:pos="709"/>
          <w:tab w:val="left" w:pos="4860" w:leader="none"/>
        </w:tabs>
        <w:suppressAutoHyphens w:val="true"/>
        <w:rPr>
          <w:b/>
          <w:sz w:val="24"/>
          <w:szCs w:val="24"/>
        </w:rPr>
      </w:pPr>
      <w:r>
        <w:rPr>
          <w:b/>
          <w:sz w:val="24"/>
          <w:szCs w:val="24"/>
        </w:rPr>
      </w:r>
    </w:p>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10099"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5103"/>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5103"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sz w:val="24"/>
          <w:szCs w:val="24"/>
        </w:rPr>
      </w:pPr>
      <w:r>
        <w:rPr>
          <w:sz w:val="24"/>
          <w:szCs w:val="24"/>
        </w:rPr>
      </w:r>
    </w:p>
    <w:p>
      <w:pPr>
        <w:sectPr>
          <w:footnotePr>
            <w:numFmt w:val="decimal"/>
          </w:footnotePr>
          <w:type w:val="continuous"/>
          <w:pgSz w:w="11906" w:h="16838"/>
          <w:pgMar w:left="1418" w:right="851" w:gutter="0" w:header="567" w:top="1134" w:footer="709" w:bottom="1134"/>
          <w:formProt w:val="false"/>
          <w:textDirection w:val="lrTb"/>
          <w:docGrid w:type="default" w:linePitch="360" w:charSpace="8192"/>
        </w:sectPr>
      </w:pPr>
    </w:p>
    <w:p>
      <w:pPr>
        <w:pStyle w:val="Normal"/>
        <w:suppressAutoHyphens w:val="true"/>
        <w:ind w:left="5103" w:right="96" w:firstLine="5103"/>
        <w:rPr>
          <w:sz w:val="22"/>
          <w:szCs w:val="22"/>
        </w:rPr>
      </w:pPr>
      <w:r>
        <w:rPr>
          <w:sz w:val="22"/>
          <w:szCs w:val="22"/>
        </w:rPr>
        <w:t>Приложение № 4</w:t>
      </w:r>
    </w:p>
    <w:p>
      <w:pPr>
        <w:pStyle w:val="Normal"/>
        <w:suppressAutoHyphens w:val="true"/>
        <w:ind w:right="96" w:hanging="0"/>
        <w:jc w:val="right"/>
        <w:rPr>
          <w:sz w:val="22"/>
          <w:szCs w:val="22"/>
        </w:rPr>
      </w:pPr>
      <w:r>
        <w:rPr>
          <w:sz w:val="22"/>
          <w:szCs w:val="22"/>
        </w:rPr>
        <w:t xml:space="preserve">к Договору поставки № </w:t>
      </w:r>
      <w:r>
        <w:rPr>
          <w:bCs/>
          <w:sz w:val="22"/>
          <w:szCs w:val="22"/>
        </w:rPr>
        <w:t>____________________________</w:t>
      </w:r>
    </w:p>
    <w:p>
      <w:pPr>
        <w:pStyle w:val="Normal"/>
        <w:ind w:firstLine="5103"/>
        <w:rPr>
          <w:bCs/>
          <w:sz w:val="24"/>
          <w:szCs w:val="24"/>
        </w:rPr>
      </w:pPr>
      <w:r>
        <w:rPr>
          <w:sz w:val="22"/>
          <w:szCs w:val="22"/>
        </w:rPr>
        <w:t xml:space="preserve">от «____» __________ 202_ г. </w:t>
      </w:r>
    </w:p>
    <w:p>
      <w:pPr>
        <w:pStyle w:val="Normal"/>
        <w:widowControl/>
        <w:shd w:val="clear" w:color="auto" w:fill="FFFFFF"/>
        <w:tabs>
          <w:tab w:val="clear" w:pos="709"/>
          <w:tab w:val="left" w:pos="1418" w:leader="none"/>
        </w:tabs>
        <w:spacing w:before="0" w:after="0"/>
        <w:contextualSpacing/>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ind w:firstLine="567"/>
        <w:contextualSpacing/>
        <w:jc w:val="both"/>
        <w:rPr>
          <w:bCs/>
          <w:sz w:val="24"/>
          <w:szCs w:val="24"/>
        </w:rPr>
      </w:pPr>
      <w:r>
        <w:rPr>
          <w:bCs/>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bCs/>
          <w:sz w:val="24"/>
          <w:szCs w:val="24"/>
          <w:vertAlign w:val="superscript"/>
        </w:rPr>
        <w:footnoteReference w:id="15"/>
      </w:r>
      <w:r>
        <w:rPr>
          <w:bCs/>
          <w:sz w:val="24"/>
          <w:szCs w:val="24"/>
        </w:rPr>
        <w:t>, а также соответствовать следующим критериям:</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hyperlink r:id="rId16">
        <w:r>
          <w:rPr>
            <w:bCs/>
            <w:color w:val="0000FF"/>
            <w:sz w:val="24"/>
            <w:szCs w:val="24"/>
            <w:u w:val="single"/>
          </w:rPr>
          <w:t>www.cbr.ru</w:t>
        </w:r>
      </w:hyperlink>
      <w:r>
        <w:rPr>
          <w:bCs/>
          <w:sz w:val="24"/>
          <w:szCs w:val="24"/>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 xml:space="preserve">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w:t>
      </w:r>
    </w:p>
    <w:p>
      <w:pPr>
        <w:pStyle w:val="Normal"/>
        <w:widowControl/>
        <w:shd w:val="clear" w:color="auto" w:fill="FFFFFF"/>
        <w:tabs>
          <w:tab w:val="clear" w:pos="709"/>
          <w:tab w:val="left" w:pos="1418" w:leader="none"/>
        </w:tabs>
        <w:spacing w:before="0" w:after="0"/>
        <w:ind w:firstLine="567"/>
        <w:contextualSpacing/>
        <w:jc w:val="both"/>
        <w:rPr>
          <w:bCs/>
          <w:sz w:val="24"/>
          <w:szCs w:val="24"/>
        </w:rPr>
      </w:pPr>
      <w:r>
        <w:rPr>
          <w:bCs/>
          <w:sz w:val="24"/>
          <w:szCs w:val="24"/>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bCs/>
          <w:sz w:val="24"/>
          <w:szCs w:val="24"/>
          <w:vertAlign w:val="superscript"/>
        </w:rPr>
        <w:footnoteReference w:id="16"/>
      </w:r>
      <w:r>
        <w:rPr>
          <w:bCs/>
          <w:sz w:val="24"/>
          <w:szCs w:val="24"/>
        </w:rPr>
        <w:t xml:space="preserve">. </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17">
        <w:r>
          <w:rPr>
            <w:bCs/>
            <w:color w:val="0000FF"/>
            <w:sz w:val="24"/>
            <w:szCs w:val="24"/>
            <w:u w:val="single"/>
          </w:rPr>
          <w:t>http://www.asv.org.ru))»</w:t>
        </w:r>
      </w:hyperlink>
      <w:r>
        <w:rPr>
          <w:bCs/>
          <w:sz w:val="24"/>
          <w:szCs w:val="24"/>
        </w:rPr>
        <w:t>.</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Не иметь просроченную задолженность перед Группой РусГидро.</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Присутствовать (иметь отделение, филиал) по месту нахождения Общества, его Филиала, для нужд которого заключается Договор.</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Критерии, установленные в пунктах 2 – 4 настоящих Критериев, не распространяются на кредитные организации:</w:t>
      </w:r>
    </w:p>
    <w:p>
      <w:pPr>
        <w:pStyle w:val="Normal"/>
        <w:widowControl/>
        <w:numPr>
          <w:ilvl w:val="1"/>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ВЭБ.РФ.</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shd w:val="clear" w:color="auto" w:fill="FFFFFF"/>
        <w:tabs>
          <w:tab w:val="clear" w:pos="709"/>
          <w:tab w:val="left" w:pos="1418" w:leader="none"/>
        </w:tabs>
        <w:spacing w:before="0" w:after="0"/>
        <w:ind w:firstLine="567"/>
        <w:contextualSpacing/>
        <w:jc w:val="both"/>
        <w:rPr>
          <w:bCs/>
          <w:sz w:val="24"/>
          <w:szCs w:val="24"/>
        </w:rPr>
      </w:pPr>
      <w:r>
        <w:rPr>
          <w:bCs/>
          <w:i/>
          <w:sz w:val="24"/>
          <w:szCs w:val="24"/>
        </w:rPr>
        <w:t>LimAi</w:t>
      </w:r>
      <w:r>
        <w:rPr>
          <w:bCs/>
          <w:sz w:val="24"/>
          <w:szCs w:val="24"/>
        </w:rPr>
        <w:t xml:space="preserve">  = </w:t>
      </w:r>
      <w:r>
        <w:rPr>
          <w:bCs/>
          <w:i/>
          <w:sz w:val="24"/>
          <w:szCs w:val="24"/>
        </w:rPr>
        <w:t xml:space="preserve">ri </w:t>
      </w:r>
      <w:r>
        <w:rPr>
          <w:bCs/>
          <w:sz w:val="24"/>
          <w:szCs w:val="24"/>
        </w:rPr>
        <w:t xml:space="preserve">×  </w:t>
      </w:r>
      <w:r>
        <w:rPr>
          <w:bCs/>
          <w:i/>
          <w:sz w:val="24"/>
          <w:szCs w:val="24"/>
        </w:rPr>
        <w:t>СKi</w:t>
      </w:r>
      <w:r>
        <w:rPr>
          <w:bCs/>
          <w:sz w:val="24"/>
          <w:szCs w:val="24"/>
        </w:rPr>
        <w:t>, где</w:t>
      </w:r>
    </w:p>
    <w:tbl>
      <w:tblPr>
        <w:tblW w:w="10206"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1132"/>
        <w:gridCol w:w="9073"/>
      </w:tblGrid>
      <w:tr>
        <w:trPr>
          <w:trHeight w:val="426" w:hRule="atLeast"/>
        </w:trPr>
        <w:tc>
          <w:tcPr>
            <w:tcW w:w="1132" w:type="dxa"/>
            <w:tcBorders/>
          </w:tcPr>
          <w:p>
            <w:pPr>
              <w:pStyle w:val="Normal"/>
              <w:widowControl w:val="false"/>
              <w:shd w:val="clear" w:color="auto" w:fill="FFFFFF"/>
              <w:tabs>
                <w:tab w:val="clear" w:pos="709"/>
                <w:tab w:val="left" w:pos="1418" w:leader="none"/>
              </w:tabs>
              <w:spacing w:before="0" w:after="0"/>
              <w:contextualSpacing/>
              <w:rPr>
                <w:bCs/>
                <w:sz w:val="24"/>
                <w:szCs w:val="24"/>
              </w:rPr>
            </w:pPr>
            <w:r>
              <w:rPr>
                <w:bCs/>
                <w:i/>
                <w:sz w:val="24"/>
                <w:szCs w:val="24"/>
              </w:rPr>
              <w:t>Lim</w:t>
            </w:r>
            <w:r>
              <w:rPr>
                <w:bCs/>
                <w:i/>
                <w:sz w:val="24"/>
                <w:szCs w:val="24"/>
                <w:vertAlign w:val="subscript"/>
                <w:lang w:val="en-US"/>
              </w:rPr>
              <w:t>Ai</w:t>
            </w:r>
            <w:r>
              <w:rPr>
                <w:bCs/>
                <w:i/>
                <w:sz w:val="24"/>
                <w:szCs w:val="24"/>
                <w:vertAlign w:val="subscript"/>
              </w:rPr>
              <w:t xml:space="preserve"> </w:t>
            </w:r>
            <w:r>
              <w:rPr>
                <w:bCs/>
                <w:i/>
                <w:sz w:val="24"/>
                <w:szCs w:val="24"/>
                <w:vertAlign w:val="subscript"/>
                <w:lang w:val="en-US"/>
              </w:rPr>
              <w:t xml:space="preserve"> </w:t>
            </w:r>
            <w:r>
              <w:rPr>
                <w:bCs/>
                <w:i/>
                <w:sz w:val="24"/>
                <w:szCs w:val="24"/>
              </w:rPr>
              <w:t>-</w:t>
            </w:r>
          </w:p>
        </w:tc>
        <w:tc>
          <w:tcPr>
            <w:tcW w:w="9073" w:type="dxa"/>
            <w:tcBorders/>
          </w:tcPr>
          <w:p>
            <w:pPr>
              <w:pStyle w:val="Normal"/>
              <w:widowControl w:val="false"/>
              <w:shd w:val="clear" w:color="auto" w:fill="FFFFFF"/>
              <w:tabs>
                <w:tab w:val="clear" w:pos="709"/>
                <w:tab w:val="left" w:pos="1418" w:leader="none"/>
              </w:tabs>
              <w:spacing w:before="0" w:after="0"/>
              <w:ind w:firstLine="31"/>
              <w:contextualSpacing/>
              <w:jc w:val="both"/>
              <w:rPr>
                <w:bCs/>
                <w:sz w:val="24"/>
                <w:szCs w:val="24"/>
              </w:rPr>
            </w:pPr>
            <w:r>
              <w:rPr>
                <w:bCs/>
                <w:sz w:val="24"/>
                <w:szCs w:val="24"/>
              </w:rPr>
              <w:t>Лимит риска для i-ой кредитной организации</w:t>
            </w:r>
            <w:r>
              <w:rPr>
                <w:rStyle w:val="FootnoteReference"/>
                <w:bCs/>
                <w:sz w:val="24"/>
                <w:szCs w:val="24"/>
                <w:vertAlign w:val="superscript"/>
              </w:rPr>
              <w:footnoteReference w:id="17"/>
            </w:r>
            <w:r>
              <w:rPr>
                <w:bCs/>
                <w:sz w:val="24"/>
                <w:szCs w:val="24"/>
              </w:rPr>
              <w:t xml:space="preserve">. </w:t>
            </w:r>
          </w:p>
        </w:tc>
      </w:tr>
      <w:tr>
        <w:trPr>
          <w:trHeight w:val="280" w:hRule="atLeast"/>
        </w:trPr>
        <w:tc>
          <w:tcPr>
            <w:tcW w:w="1132" w:type="dxa"/>
            <w:tcBorders/>
          </w:tcPr>
          <w:p>
            <w:pPr>
              <w:pStyle w:val="Normal"/>
              <w:widowControl w:val="false"/>
              <w:shd w:val="clear" w:color="auto" w:fill="FFFFFF"/>
              <w:tabs>
                <w:tab w:val="clear" w:pos="709"/>
                <w:tab w:val="left" w:pos="1418" w:leader="none"/>
              </w:tabs>
              <w:spacing w:before="0" w:after="0"/>
              <w:contextualSpacing/>
              <w:jc w:val="center"/>
              <w:rPr>
                <w:bCs/>
                <w:i/>
                <w:i/>
                <w:sz w:val="24"/>
                <w:szCs w:val="24"/>
                <w:vertAlign w:val="subscript"/>
              </w:rPr>
            </w:pPr>
            <w:r>
              <w:rPr>
                <w:bCs/>
                <w:i/>
                <w:sz w:val="24"/>
                <w:szCs w:val="24"/>
              </w:rPr>
              <w:t>С</w:t>
            </w:r>
            <w:r>
              <w:rPr>
                <w:bCs/>
                <w:i/>
                <w:sz w:val="24"/>
                <w:szCs w:val="24"/>
                <w:lang w:val="en-US"/>
              </w:rPr>
              <w:t>K</w:t>
            </w:r>
            <w:r>
              <w:rPr>
                <w:bCs/>
                <w:i/>
                <w:sz w:val="24"/>
                <w:szCs w:val="24"/>
                <w:vertAlign w:val="subscript"/>
                <w:lang w:val="en-US"/>
              </w:rPr>
              <w:t>i</w:t>
            </w:r>
            <w:r>
              <w:rPr>
                <w:bCs/>
                <w:i/>
                <w:sz w:val="24"/>
                <w:szCs w:val="24"/>
                <w:vertAlign w:val="subscript"/>
              </w:rPr>
              <w:t xml:space="preserve"> </w:t>
            </w:r>
            <w:r>
              <w:rPr>
                <w:bCs/>
                <w:sz w:val="24"/>
                <w:szCs w:val="24"/>
              </w:rPr>
              <w:t>-</w:t>
            </w:r>
          </w:p>
          <w:p>
            <w:pPr>
              <w:pStyle w:val="Normal"/>
              <w:widowControl w:val="false"/>
              <w:shd w:val="clear" w:color="auto" w:fill="FFFFFF"/>
              <w:tabs>
                <w:tab w:val="clear" w:pos="709"/>
                <w:tab w:val="left" w:pos="1418" w:leader="none"/>
              </w:tabs>
              <w:spacing w:before="0" w:after="0"/>
              <w:contextualSpacing/>
              <w:rPr>
                <w:bCs/>
                <w:sz w:val="24"/>
                <w:szCs w:val="24"/>
              </w:rPr>
            </w:pPr>
            <w:r>
              <w:rPr>
                <w:bCs/>
                <w:sz w:val="24"/>
                <w:szCs w:val="24"/>
              </w:rPr>
            </w:r>
          </w:p>
        </w:tc>
        <w:tc>
          <w:tcPr>
            <w:tcW w:w="9073" w:type="dxa"/>
            <w:tcBorders/>
          </w:tcPr>
          <w:p>
            <w:pPr>
              <w:pStyle w:val="Normal"/>
              <w:widowControl w:val="false"/>
              <w:shd w:val="clear" w:color="auto" w:fill="FFFFFF"/>
              <w:tabs>
                <w:tab w:val="clear" w:pos="709"/>
                <w:tab w:val="left" w:pos="1418" w:leader="none"/>
              </w:tabs>
              <w:spacing w:before="0" w:after="0"/>
              <w:contextualSpacing/>
              <w:jc w:val="both"/>
              <w:rPr>
                <w:bCs/>
                <w:sz w:val="24"/>
                <w:szCs w:val="24"/>
              </w:rPr>
            </w:pPr>
            <w:r>
              <w:rPr>
                <w:bCs/>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8">
              <w:r>
                <w:rPr>
                  <w:bCs/>
                  <w:color w:val="0000FF"/>
                  <w:sz w:val="24"/>
                  <w:szCs w:val="24"/>
                  <w:u w:val="single"/>
                </w:rPr>
                <w:t>www.cbr.ru</w:t>
              </w:r>
            </w:hyperlink>
            <w:r>
              <w:rPr>
                <w:bCs/>
                <w:sz w:val="24"/>
                <w:szCs w:val="24"/>
              </w:rPr>
              <w:t>) по строке 000 «Расчет собственных средств (капитала) («Базель III»)», код формы 0409123;</w:t>
            </w:r>
          </w:p>
        </w:tc>
      </w:tr>
      <w:tr>
        <w:trPr>
          <w:trHeight w:val="993" w:hRule="atLeast"/>
        </w:trPr>
        <w:tc>
          <w:tcPr>
            <w:tcW w:w="1132" w:type="dxa"/>
            <w:tcBorders/>
          </w:tcPr>
          <w:p>
            <w:pPr>
              <w:pStyle w:val="Normal"/>
              <w:widowControl w:val="false"/>
              <w:shd w:val="clear" w:color="auto" w:fill="FFFFFF"/>
              <w:tabs>
                <w:tab w:val="clear" w:pos="709"/>
                <w:tab w:val="left" w:pos="1418" w:leader="none"/>
              </w:tabs>
              <w:spacing w:before="0" w:after="0"/>
              <w:contextualSpacing/>
              <w:rPr>
                <w:bCs/>
                <w:i/>
                <w:i/>
                <w:sz w:val="24"/>
                <w:szCs w:val="24"/>
              </w:rPr>
            </w:pPr>
            <w:r>
              <w:rPr>
                <w:bCs/>
                <w:i/>
                <w:sz w:val="24"/>
                <w:szCs w:val="24"/>
              </w:rPr>
              <w:t>r</w:t>
            </w:r>
            <w:r>
              <w:rPr>
                <w:bCs/>
                <w:i/>
                <w:sz w:val="24"/>
                <w:szCs w:val="24"/>
                <w:vertAlign w:val="subscript"/>
              </w:rPr>
              <w:t xml:space="preserve">i </w:t>
            </w:r>
            <w:r>
              <w:rPr>
                <w:bCs/>
                <w:sz w:val="24"/>
                <w:szCs w:val="24"/>
              </w:rPr>
              <w:t xml:space="preserve">- </w:t>
            </w:r>
          </w:p>
        </w:tc>
        <w:tc>
          <w:tcPr>
            <w:tcW w:w="9073" w:type="dxa"/>
            <w:tcBorders/>
          </w:tcPr>
          <w:p>
            <w:pPr>
              <w:pStyle w:val="Normal"/>
              <w:widowControl w:val="false"/>
              <w:shd w:val="clear" w:color="auto" w:fill="FFFFFF"/>
              <w:tabs>
                <w:tab w:val="clear" w:pos="709"/>
                <w:tab w:val="left" w:pos="1418" w:leader="none"/>
              </w:tabs>
              <w:spacing w:before="0" w:after="0"/>
              <w:ind w:firstLine="31"/>
              <w:contextualSpacing/>
              <w:jc w:val="both"/>
              <w:rPr>
                <w:bCs/>
                <w:sz w:val="24"/>
                <w:szCs w:val="24"/>
              </w:rPr>
            </w:pPr>
            <w:r>
              <w:rPr>
                <w:bCs/>
                <w:sz w:val="24"/>
                <w:szCs w:val="24"/>
              </w:rPr>
              <w:t>рейтинговый коэффициент</w:t>
            </w:r>
            <w:r>
              <w:rPr>
                <w:bCs/>
                <w:sz w:val="24"/>
                <w:szCs w:val="24"/>
                <w:vertAlign w:val="superscript"/>
              </w:rPr>
              <w:t>10</w:t>
            </w:r>
            <w:r>
              <w:rPr>
                <w:bCs/>
                <w:sz w:val="24"/>
                <w:szCs w:val="24"/>
              </w:rPr>
              <w:t xml:space="preserve"> для i-ой кредитной организации, равный:</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0,05 - если i-ая кредитная организация имеет национальный рейтинг кредитоспособности не ниже уровня «АА-» по классификации рейтингового агентства АКРА или не ниже уровня «</w:t>
            </w:r>
            <w:r>
              <w:rPr>
                <w:bCs/>
                <w:sz w:val="24"/>
                <w:szCs w:val="24"/>
                <w:lang w:val="en-US"/>
              </w:rPr>
              <w:t>ru</w:t>
            </w:r>
            <w:r>
              <w:rPr>
                <w:bCs/>
                <w:sz w:val="24"/>
                <w:szCs w:val="24"/>
              </w:rPr>
              <w:t>А</w:t>
            </w:r>
            <w:r>
              <w:rPr>
                <w:bCs/>
                <w:sz w:val="24"/>
                <w:szCs w:val="24"/>
                <w:lang w:val="en-US"/>
              </w:rPr>
              <w:t>A</w:t>
            </w:r>
            <w:r>
              <w:rPr>
                <w:bCs/>
                <w:sz w:val="24"/>
                <w:szCs w:val="24"/>
              </w:rPr>
              <w:t>-» по классификации рейтингового агентства Эксперт РА;</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0,025 - если i-ая кредитная организация имеет национальный рейтинг кредитоспособности не ниже уровня «А-» по классификации рейтингового агентства АКРА или не ниже уровня «ruA-» по классификации рейтингового агентства Эксперт РА;</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0,015 - если i-ая кредитная организация имеет национальный рейтинг кредитоспособности не ниже уровня «</w:t>
            </w:r>
            <w:r>
              <w:rPr>
                <w:bCs/>
                <w:sz w:val="24"/>
                <w:szCs w:val="24"/>
                <w:lang w:val="en-US"/>
              </w:rPr>
              <w:t>BB</w:t>
            </w:r>
            <w:r>
              <w:rPr>
                <w:bCs/>
                <w:sz w:val="24"/>
                <w:szCs w:val="24"/>
              </w:rPr>
              <w:t>В» по классификации рейтингового агентства АКРА или не ниже уровня «</w:t>
            </w:r>
            <w:r>
              <w:rPr>
                <w:bCs/>
                <w:sz w:val="24"/>
                <w:szCs w:val="24"/>
                <w:lang w:val="en-US"/>
              </w:rPr>
              <w:t>ruBB</w:t>
            </w:r>
            <w:r>
              <w:rPr>
                <w:bCs/>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suppressAutoHyphens w:val="true"/>
        <w:ind w:right="96" w:firstLine="5103"/>
        <w:rPr>
          <w:sz w:val="22"/>
          <w:szCs w:val="22"/>
        </w:rPr>
      </w:pPr>
      <w:r>
        <w:rPr>
          <w:sz w:val="22"/>
          <w:szCs w:val="22"/>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t>_____________________/_____________</w:t>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b/>
                <w:sz w:val="24"/>
                <w:szCs w:val="24"/>
              </w:rPr>
            </w:pPr>
            <w:r>
              <w:rPr>
                <w:sz w:val="24"/>
                <w:szCs w:val="24"/>
              </w:rPr>
              <w:t>_____________________/_____________</w:t>
            </w:r>
          </w:p>
        </w:tc>
      </w:tr>
    </w:tbl>
    <w:p>
      <w:pPr>
        <w:pStyle w:val="Normal"/>
        <w:suppressAutoHyphens w:val="true"/>
        <w:ind w:right="96" w:firstLine="5103"/>
        <w:rPr>
          <w:sz w:val="22"/>
          <w:szCs w:val="22"/>
        </w:rPr>
      </w:pPr>
      <w:r>
        <w:rPr>
          <w:sz w:val="22"/>
          <w:szCs w:val="22"/>
        </w:rPr>
      </w:r>
    </w:p>
    <w:p>
      <w:pPr>
        <w:pStyle w:val="Normal"/>
        <w:suppressAutoHyphens w:val="true"/>
        <w:ind w:right="96" w:firstLine="5103"/>
        <w:rPr>
          <w:sz w:val="22"/>
          <w:szCs w:val="22"/>
        </w:rPr>
      </w:pPr>
      <w:r>
        <w:rPr>
          <w:sz w:val="22"/>
          <w:szCs w:val="22"/>
        </w:rPr>
        <w:t>Приложение № 5</w:t>
      </w:r>
    </w:p>
    <w:p>
      <w:pPr>
        <w:pStyle w:val="Normal"/>
        <w:suppressAutoHyphens w:val="true"/>
        <w:ind w:right="96" w:hanging="0"/>
        <w:jc w:val="right"/>
        <w:rPr>
          <w:sz w:val="22"/>
          <w:szCs w:val="22"/>
        </w:rPr>
      </w:pPr>
      <w:r>
        <w:rPr>
          <w:sz w:val="22"/>
          <w:szCs w:val="22"/>
        </w:rPr>
        <w:t xml:space="preserve">к Договору поставки </w:t>
      </w:r>
      <w:r>
        <w:rPr>
          <w:sz w:val="24"/>
          <w:szCs w:val="24"/>
        </w:rPr>
        <w:t xml:space="preserve">№ </w:t>
      </w:r>
      <w:r>
        <w:rPr>
          <w:bCs/>
          <w:sz w:val="24"/>
          <w:szCs w:val="24"/>
        </w:rPr>
        <w:t>____________________________</w:t>
      </w:r>
    </w:p>
    <w:p>
      <w:pPr>
        <w:pStyle w:val="Normal"/>
        <w:ind w:firstLine="5103"/>
        <w:rPr>
          <w:bCs/>
          <w:sz w:val="24"/>
          <w:szCs w:val="24"/>
        </w:rPr>
      </w:pPr>
      <w:r>
        <w:rPr>
          <w:sz w:val="22"/>
          <w:szCs w:val="22"/>
        </w:rPr>
        <w:t>от «____» __________ 202__ г.</w:t>
      </w:r>
      <w:r>
        <w:rPr>
          <w:sz w:val="24"/>
          <w:szCs w:val="24"/>
        </w:rPr>
        <w:t xml:space="preserve"> </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r>
    </w:p>
    <w:sectPr>
      <w:headerReference w:type="default" r:id="rId19"/>
      <w:footerReference w:type="default" r:id="rId20"/>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26</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29</w:t>
    </w:r>
    <w:r>
      <w:rPr>
        <w:sz w:val="24"/>
        <w:szCs w:val="24"/>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3">
    <w:p>
      <w:pPr>
        <w:pStyle w:val="FootnoteText"/>
        <w:rPr/>
      </w:pPr>
      <w:r>
        <w:rPr>
          <w:rStyle w:val="Style14"/>
        </w:rPr>
        <w:footnoteRef/>
      </w:r>
      <w:r>
        <w:rPr/>
        <w:t xml:space="preserve"> </w:t>
      </w:r>
      <w:r>
        <w:rPr/>
        <w:t>Для договоров, заключенных в рамках операционной (текущей) деятельности Общества.</w:t>
      </w:r>
    </w:p>
  </w:footnote>
  <w:footnote w:id="4">
    <w:p>
      <w:pPr>
        <w:pStyle w:val="FootnoteText"/>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6">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7">
    <w:p>
      <w:pPr>
        <w:pStyle w:val="FootnoteText"/>
        <w:jc w:val="both"/>
        <w:rPr/>
      </w:pPr>
      <w:r>
        <w:rPr>
          <w:rStyle w:val="Style14"/>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8">
    <w:p>
      <w:pPr>
        <w:pStyle w:val="FootnoteText"/>
        <w:jc w:val="both"/>
        <w:rPr/>
      </w:pPr>
      <w:r>
        <w:rPr>
          <w:rStyle w:val="Style14"/>
        </w:rPr>
        <w:footnoteRef/>
      </w:r>
      <w:r>
        <w:rPr/>
        <w:t xml:space="preserve"> </w:t>
      </w:r>
      <w:r>
        <w:rPr>
          <w:szCs w:val="24"/>
          <w:highlight w:val="lightGray"/>
        </w:rPr>
        <w:t>Указанное условие применяется к договорам в отношении поставки Товара, обеспечивающего производство и/или передачу (транспортировку) электрической энергии и мощности.</w:t>
      </w:r>
    </w:p>
  </w:footnote>
  <w:footnote w:id="9">
    <w:p>
      <w:pPr>
        <w:pStyle w:val="FootnoteText"/>
        <w:rPr/>
      </w:pPr>
      <w:r>
        <w:rPr>
          <w:rStyle w:val="Style14"/>
        </w:rPr>
        <w:footnoteRef/>
      </w:r>
      <w:r>
        <w:rPr/>
        <w:t xml:space="preserve"> </w:t>
      </w:r>
      <w:r>
        <w:rPr>
          <w:highlight w:val="lightGray"/>
        </w:rPr>
        <w:t>Применяется в случае проведения закупочных процедур только среди МСП.</w:t>
      </w:r>
    </w:p>
  </w:footnote>
  <w:footnote w:id="10">
    <w:p>
      <w:pPr>
        <w:pStyle w:val="FootnoteText"/>
        <w:jc w:val="both"/>
        <w:rPr/>
      </w:pPr>
      <w:r>
        <w:rPr>
          <w:rStyle w:val="Style14"/>
        </w:rPr>
        <w:footnoteRef/>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 w:id="11">
    <w:p>
      <w:pPr>
        <w:pStyle w:val="FootnoteText"/>
        <w:jc w:val="both"/>
        <w:rPr/>
      </w:pPr>
      <w:r>
        <w:rPr>
          <w:rStyle w:val="Style14"/>
        </w:rPr>
        <w:footnoteRef/>
      </w:r>
      <w:r>
        <w:rPr/>
        <w:t xml:space="preserve"> </w:t>
      </w:r>
      <w:r>
        <w:rPr/>
        <w:t>В случае если Поставщик является субъектом малого и среднего предпринимательства,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2">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3">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14">
    <w:p>
      <w:pPr>
        <w:pStyle w:val="FootnoteText"/>
        <w:jc w:val="both"/>
        <w:rPr/>
      </w:pPr>
      <w:r>
        <w:rPr>
          <w:rStyle w:val="Style14"/>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 w:id="15">
    <w:p>
      <w:pPr>
        <w:pStyle w:val="FootnoteText"/>
        <w:jc w:val="both"/>
        <w:rPr>
          <w:sz w:val="22"/>
          <w:szCs w:val="22"/>
        </w:rPr>
      </w:pPr>
      <w:r>
        <w:rPr>
          <w:rStyle w:val="Style14"/>
        </w:rPr>
        <w:footnoteRef/>
      </w:r>
      <w:r>
        <w:rPr>
          <w:sz w:val="22"/>
          <w:szCs w:val="22"/>
        </w:rPr>
        <w:t xml:space="preserve"> </w:t>
      </w:r>
      <w:r>
        <w:rPr>
          <w:lang w:eastAsia="x-none"/>
        </w:rPr>
        <w:t>Актуальный Перечень Банков-Гарантов Группы РусГидро размещен на официальном сайте Общества (</w:t>
      </w:r>
      <w:hyperlink r:id="rId1">
        <w:r>
          <w:rPr>
            <w:lang w:eastAsia="x-none"/>
          </w:rPr>
          <w:t>http://zakupki.rushydro.ru/PublicContent/Section/6</w:t>
        </w:r>
      </w:hyperlink>
      <w:r>
        <w:rPr>
          <w:lang w:eastAsia="x-none"/>
        </w:rPr>
        <w:t>).</w:t>
      </w:r>
    </w:p>
  </w:footnote>
  <w:footnote w:id="16">
    <w:p>
      <w:pPr>
        <w:pStyle w:val="FootnoteText"/>
        <w:jc w:val="both"/>
        <w:rPr/>
      </w:pPr>
      <w:r>
        <w:rPr>
          <w:rStyle w:val="Style14"/>
        </w:rPr>
        <w:footnoteRef/>
      </w:r>
      <w:r>
        <w:rPr>
          <w:sz w:val="22"/>
          <w:szCs w:val="22"/>
        </w:rPr>
        <w:t xml:space="preserve"> </w:t>
      </w:r>
      <w:r>
        <w:rPr>
          <w:lang w:eastAsia="x-none"/>
        </w:rPr>
        <w:t>Е</w:t>
      </w:r>
      <w:r>
        <w:rPr>
          <w:lang w:val="x-none" w:eastAsia="x-none"/>
        </w:rPr>
        <w:t xml:space="preserve">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w:t>
      </w:r>
      <w:r>
        <w:rPr>
          <w:lang w:eastAsia="x-none"/>
        </w:rPr>
        <w:t>максимальный</w:t>
      </w:r>
      <w:r>
        <w:rPr>
          <w:lang w:val="x-none" w:eastAsia="x-none"/>
        </w:rPr>
        <w:t xml:space="preserve"> из присвоенных</w:t>
      </w:r>
      <w:r>
        <w:rPr>
          <w:lang w:eastAsia="x-none"/>
        </w:rPr>
        <w:t xml:space="preserve"> (по данным сайта кредитной организации и / или рейтинговых агентств </w:t>
      </w:r>
      <w:r>
        <w:rPr>
          <w:lang w:val="x-none" w:eastAsia="x-none"/>
        </w:rPr>
        <w:t>и/или из информационных систем Reuters, Bloomberg, Сbonds</w:t>
      </w:r>
      <w:r>
        <w:rPr>
          <w:lang w:eastAsia="x-none"/>
        </w:rPr>
        <w:t>).</w:t>
      </w:r>
    </w:p>
  </w:footnote>
  <w:footnote w:id="17">
    <w:p>
      <w:pPr>
        <w:pStyle w:val="FootnoteText"/>
        <w:jc w:val="both"/>
        <w:rPr/>
      </w:pPr>
      <w:r>
        <w:rPr>
          <w:rStyle w:val="Style14"/>
        </w:rPr>
        <w:footnoteRef/>
      </w:r>
      <w:r>
        <w:rPr/>
        <w:t xml:space="preserve"> </w:t>
      </w:r>
      <w:r>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s>
      <w:jc w:val="right"/>
      <w:rPr>
        <w:b/>
      </w:rPr>
    </w:pPr>
    <w:r>
      <w:rPr/>
      <w:t xml:space="preserve">ТФД № 2.3.2 </w:t>
    </w:r>
  </w:p>
  <w:p>
    <w:pPr>
      <w:pStyle w:val="Header"/>
      <w:rPr/>
    </w:pPr>
    <w:r>
      <w:rPr/>
    </w:r>
  </w:p>
  <w:p>
    <w:pPr>
      <w:pStyle w:val="Normal"/>
      <w:tabs>
        <w:tab w:val="clear" w:pos="709"/>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s>
      <w:jc w:val="right"/>
      <w:rPr>
        <w:b/>
      </w:rPr>
    </w:pPr>
    <w:r>
      <w:rPr/>
      <w:t xml:space="preserve">ТФД № 2.3.2 </w:t>
    </w:r>
  </w:p>
  <w:p>
    <w:pPr>
      <w:pStyle w:val="Header"/>
      <w:rPr/>
    </w:pPr>
    <w:r>
      <w:rPr/>
    </w:r>
  </w:p>
  <w:p>
    <w:pPr>
      <w:pStyle w:val="Normal"/>
      <w:tabs>
        <w:tab w:val="clear" w:pos="709"/>
        <w:tab w:val="left" w:pos="1875" w:leader="none"/>
        <w:tab w:val="center" w:pos="4153" w:leader="none"/>
        <w:tab w:val="right" w:pos="8306" w:leader="none"/>
      </w:tabs>
      <w:rPr>
        <w:i/>
        <w:i/>
      </w:rPr>
    </w:pPr>
    <w:r>
      <w:rPr>
        <w:i/>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s>
      <w:jc w:val="right"/>
      <w:rPr>
        <w:b/>
      </w:rPr>
    </w:pPr>
    <w:r>
      <w:rPr/>
      <w:t xml:space="preserve">ТФД № 2.3.2 </w:t>
    </w:r>
  </w:p>
  <w:p>
    <w:pPr>
      <w:pStyle w:val="Header"/>
      <w:rPr/>
    </w:pPr>
    <w:r>
      <w:rPr/>
    </w:r>
  </w:p>
  <w:p>
    <w:pPr>
      <w:pStyle w:val="Normal"/>
      <w:tabs>
        <w:tab w:val="clear" w:pos="709"/>
        <w:tab w:val="left" w:pos="1875" w:leader="none"/>
        <w:tab w:val="center" w:pos="4153" w:leader="none"/>
        <w:tab w:val="right" w:pos="8306" w:leader="none"/>
      </w:tabs>
      <w:rPr>
        <w:i/>
        <w:i/>
      </w:rPr>
    </w:pPr>
    <w:r>
      <w:rPr>
        <w:i/>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567"/>
        </w:tabs>
        <w:ind w:left="1567"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3">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61997"/>
    <w:rPr/>
  </w:style>
  <w:style w:type="character" w:styleId="FollowedHyperlink">
    <w:name w:val="FollowedHyperlink"/>
    <w:rPr>
      <w:color w:val="800000"/>
      <w:u w:val="single"/>
    </w:rPr>
  </w:style>
  <w:style w:type="character" w:styleId="Style18">
    <w:name w:val="Символ концевой сноски"/>
    <w:qForma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yperlink" Target="http://www.cbr.ru/" TargetMode="External"/><Relationship Id="rId17" Type="http://schemas.openxmlformats.org/officeDocument/2006/relationships/hyperlink" Target="http://www.asv.org.ru))" TargetMode="External"/><Relationship Id="rId18" Type="http://schemas.openxmlformats.org/officeDocument/2006/relationships/hyperlink" Target="http://www.cbr.ru/" TargetMode="Externa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Relationship Id="rId27" Type="http://schemas.openxmlformats.org/officeDocument/2006/relationships/customXml" Target="../customXml/item2.xml"/><Relationship Id="rId28" Type="http://schemas.openxmlformats.org/officeDocument/2006/relationships/customXml" Target="../customXml/item3.xml"/><Relationship Id="rId29"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D81F9-2A9F-46C0-BAF8-01115F1757D3}">
  <ds:schemaRefs>
    <ds:schemaRef ds:uri="http://schemas.microsoft.com/sharepoint/v3/contenttype/forms"/>
  </ds:schemaRefs>
</ds:datastoreItem>
</file>

<file path=customXml/itemProps2.xml><?xml version="1.0" encoding="utf-8"?>
<ds:datastoreItem xmlns:ds="http://schemas.openxmlformats.org/officeDocument/2006/customXml" ds:itemID="{CAB94FC1-BD47-43F8-B839-E5D96BA030B8}">
  <ds:schemaRefs>
    <ds:schemaRef ds:uri="http://schemas.openxmlformats.org/officeDocument/2006/bibliography"/>
  </ds:schemaRefs>
</ds:datastoreItem>
</file>

<file path=customXml/itemProps3.xml><?xml version="1.0" encoding="utf-8"?>
<ds:datastoreItem xmlns:ds="http://schemas.openxmlformats.org/officeDocument/2006/customXml" ds:itemID="{91A0BABE-0A9B-48D2-BF3A-C70ADC7EB22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4F71FBA-4B8F-434E-8C1D-99C345D51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Application>AlterOffice/3.4.0.9$Linux_X86_64 LibreOffice_project/b8daf9e823b1a5463a2f48435ddc2e8696e7d4fc</Application>
  <AppVersion>15.0000</AppVersion>
  <Pages>29</Pages>
  <Words>9998</Words>
  <Characters>71429</Characters>
  <CharactersWithSpaces>81028</CharactersWithSpaces>
  <Paragraphs>481</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2024-02-05T07:24:00Z</dcterms:created>
  <dc:creator>tsypilev_ag</dc:creator>
  <dc:description/>
  <dc:language>ru-RU</dc:language>
  <cp:lastModifiedBy>Надежда Александровна Антонова</cp:lastModifiedBy>
  <cp:lastPrinted>2018-05-22T09:46:00Z</cp:lastPrinted>
  <dcterms:modified xsi:type="dcterms:W3CDTF">2025-11-28T10:56:57Z</dcterms:modified>
  <cp:revision>22</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