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партиями согласно Календарному графику поставки (</w:t>
      </w:r>
      <w:r>
        <w:rPr>
          <w:sz w:val="24"/>
        </w:rPr>
        <w:t>Приложение № 2</w:t>
      </w:r>
      <w:r>
        <w:rPr>
          <w:b w:val="false"/>
          <w:sz w:val="24"/>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rPr>
        <w:t>согласно Календарному графику поставки (Приложение № 2)</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а также стоимость партии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(тридцати процентов) от стоимости первой партии Продукции, согласно Спецификации (Приложение № 1) и Календарному графику поставки (Приложение № 2), выплачивается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первой партии Продукции, с учетом п. 2.6. Договора. Авансовый платеж засчитывается в счет оплаты соответствующей партии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Авансовые платежи в размере 30% (тридцати процентов) от стоимости последующих партий Продукции, согласно Спецификации (Приложение № 1) и Календарному графику поставки (Приложение № 2), выплачиваются в течение 30 (тридцати) календарных дней с даты получения счета, выставленного Поставщиком, но не ранее 30 (тридцати) календарных дней до даты поставки соответствующей партии Продукции согласно Календарному графику поставки (Приложение № 2). Авансовый платеж засчитывается в счет оплаты соответствующей партии Продукции с учетом п. 2.6.</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w:t>
      </w:r>
      <w:r>
        <w:rPr>
          <w:sz w:val="24"/>
          <w:szCs w:val="24"/>
        </w:rPr>
        <w:t>3</w:t>
      </w:r>
      <w:r>
        <w:rPr>
          <w:sz w:val="24"/>
          <w:szCs w:val="24"/>
        </w:rPr>
        <w:t xml:space="preserve">.  Платеж в размере 60 % (шестидесяти процентов) от стоимости поставленной Продукции, согласно Спецификации </w:t>
      </w:r>
      <w:bookmarkStart w:id="0" w:name="_GoBack_Копия_1"/>
      <w:bookmarkEnd w:id="0"/>
      <w:r>
        <w:rPr>
          <w:sz w:val="24"/>
          <w:szCs w:val="24"/>
        </w:rPr>
        <w:t xml:space="preserve">(Приложение № 1), производится Покупателем </w:t>
      </w:r>
      <w:r>
        <w:rPr>
          <w:sz w:val="24"/>
          <w:szCs w:val="24"/>
          <w:shd w:fill="auto" w:val="clear"/>
        </w:rPr>
        <w:t>в течение 30 (тридцати) календарных дней/7 (семи) рабочих дней</w:t>
      </w:r>
      <w:r>
        <w:rPr>
          <w:rStyle w:val="FootnoteReference"/>
          <w:sz w:val="24"/>
          <w:szCs w:val="24"/>
          <w:shd w:fill="auto" w:val="clear"/>
        </w:rPr>
        <w:footnoteReference w:id="2"/>
      </w:r>
      <w:r>
        <w:rPr>
          <w:sz w:val="24"/>
          <w:szCs w:val="24"/>
          <w:shd w:fill="auto" w:val="clear"/>
        </w:rPr>
        <w:t xml:space="preserve"> с даты подписан</w:t>
      </w:r>
      <w:r>
        <w:rPr>
          <w:sz w:val="24"/>
          <w:szCs w:val="24"/>
        </w:rPr>
        <w:t>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shd w:fill="auto" w:val="clear"/>
        </w:rPr>
        <w:tab/>
        <w:t>2.5.</w:t>
      </w:r>
      <w:r>
        <w:rPr>
          <w:sz w:val="24"/>
          <w:szCs w:val="24"/>
          <w:shd w:fill="auto" w:val="clear"/>
        </w:rPr>
        <w:t>4</w:t>
      </w:r>
      <w:r>
        <w:rPr>
          <w:sz w:val="24"/>
          <w:szCs w:val="24"/>
          <w:shd w:fill="auto" w:val="clear"/>
        </w:rPr>
        <w:t xml:space="preserve">.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w:t>
      </w:r>
      <w:bookmarkStart w:id="1" w:name="_GoBack"/>
      <w:bookmarkEnd w:id="1"/>
      <w:r>
        <w:rPr>
          <w:sz w:val="24"/>
          <w:szCs w:val="24"/>
          <w:shd w:fill="auto" w:val="clear"/>
        </w:rPr>
        <w:t xml:space="preserve">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Качество, количество и комплектность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shd w:fill="auto" w:val="clear"/>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Fonts w:cs="Times New Roman"/>
          <w:color w:val="000000"/>
          <w:sz w:val="24"/>
          <w:szCs w:val="24"/>
          <w:shd w:fill="auto" w:val="clear"/>
        </w:rPr>
        <w:t>)</w:t>
      </w:r>
      <w:r>
        <w:rPr>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4"/>
          <w:szCs w:val="24"/>
          <w:shd w:fill="auto" w:val="clear"/>
        </w:rPr>
        <w:t>Покупателем в соответствии с п. 3.14. Договора</w:t>
      </w:r>
      <w:bookmarkEnd w:id="2"/>
      <w:bookmarkEnd w:id="3"/>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партиями в соответствии с Календарным графиком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bCs/>
          <w:sz w:val="24"/>
          <w:szCs w:val="24"/>
          <w:shd w:fill="auto" w:val="clear"/>
          <w:lang w:eastAsia="x-none"/>
        </w:rPr>
        <w:t>Покупатель вправе в одностороннем порядке, не позднее чем за 30 (тридцать)  календарных дней до даты поставки соответствующей партии</w:t>
      </w:r>
      <w:r>
        <w:rPr>
          <w:sz w:val="24"/>
          <w:szCs w:val="24"/>
          <w:shd w:fill="auto" w:val="clear"/>
        </w:rPr>
        <w:t xml:space="preserve"> Продукции</w:t>
      </w:r>
      <w:r>
        <w:rPr>
          <w:bCs/>
          <w:sz w:val="24"/>
          <w:szCs w:val="24"/>
          <w:shd w:fill="auto" w:val="clear"/>
          <w:lang w:eastAsia="x-none"/>
        </w:rPr>
        <w:t>, исключить (уменьшить) часть Продукции. Данные изменения будут оформлены дополнительным соглашением к Договору.</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tabs>
          <w:tab w:val="clear" w:pos="720"/>
          <w:tab w:val="left" w:pos="993" w:leader="none"/>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highlight w:val="none"/>
          <w:shd w:fill="auto" w:val="clear"/>
        </w:rPr>
      </w:pPr>
      <w:r>
        <w:rPr>
          <w:rFonts w:eastAsia="Calibri"/>
          <w:bCs/>
          <w:sz w:val="24"/>
          <w:szCs w:val="24"/>
          <w:shd w:fill="auto" w:val="clear"/>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highlight w:val="none"/>
          <w:shd w:fill="auto" w:val="clear"/>
        </w:rPr>
      </w:pPr>
      <w:r>
        <w:rPr>
          <w:rFonts w:eastAsia="Calibri"/>
          <w:bCs/>
          <w:sz w:val="24"/>
          <w:szCs w:val="24"/>
          <w:shd w:fill="auto" w:val="clear"/>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widowControl w:val="false"/>
        <w:tabs>
          <w:tab w:val="clear" w:pos="720"/>
          <w:tab w:val="left" w:pos="1276" w:leader="none"/>
        </w:tabs>
        <w:spacing w:before="0" w:after="120"/>
        <w:jc w:val="both"/>
        <w:rPr>
          <w:highlight w:val="none"/>
          <w:shd w:fill="auto" w:val="clear"/>
        </w:rPr>
      </w:pPr>
      <w:r>
        <w:rPr>
          <w:rFonts w:eastAsia="Calibri"/>
          <w:bCs/>
          <w:sz w:val="24"/>
          <w:szCs w:val="24"/>
          <w:shd w:fill="auto" w:val="clear"/>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r>
        <w:rPr>
          <w:sz w:val="24"/>
          <w:szCs w:val="24"/>
          <w:shd w:fill="auto" w:val="clear"/>
        </w:rPr>
        <w:tab/>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highlight w:val="none"/>
          <w:shd w:fill="auto" w:val="clear"/>
        </w:rPr>
      </w:pPr>
      <w:r>
        <w:rPr>
          <w:sz w:val="24"/>
          <w:szCs w:val="24"/>
          <w:shd w:fill="auto"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highlight w:val="none"/>
          <w:shd w:fill="auto" w:val="clear"/>
        </w:rPr>
      </w:pPr>
      <w:r>
        <w:rPr>
          <w:sz w:val="24"/>
          <w:szCs w:val="24"/>
          <w:shd w:fill="auto" w:val="clear"/>
        </w:rPr>
        <w:t>выписка из торгового реестра страны инкорпорации;</w:t>
      </w:r>
    </w:p>
    <w:p>
      <w:pPr>
        <w:pStyle w:val="Normal"/>
        <w:numPr>
          <w:ilvl w:val="0"/>
          <w:numId w:val="9"/>
        </w:numPr>
        <w:spacing w:before="0" w:after="120"/>
        <w:ind w:left="709" w:hanging="283"/>
        <w:outlineLvl w:val="0"/>
        <w:rPr>
          <w:highlight w:val="none"/>
          <w:shd w:fill="auto" w:val="clear"/>
        </w:rPr>
      </w:pPr>
      <w:r>
        <w:rPr>
          <w:sz w:val="24"/>
          <w:szCs w:val="24"/>
          <w:shd w:fill="auto"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highlight w:val="none"/>
          <w:shd w:fill="auto" w:val="clear"/>
        </w:rPr>
      </w:pPr>
      <w:r>
        <w:rPr>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color w:val="000000"/>
          <w:sz w:val="24"/>
          <w:szCs w:val="24"/>
          <w:shd w:fill="auto" w:val="clear"/>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sz w:val="24"/>
          <w:szCs w:val="24"/>
          <w:shd w:fill="auto" w:val="clear"/>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shd w:fill="auto" w:val="clear"/>
          </w:rPr>
          <w:t>№ 18162/09</w:t>
        </w:r>
      </w:hyperlink>
      <w:r>
        <w:rPr>
          <w:sz w:val="24"/>
          <w:szCs w:val="24"/>
          <w:shd w:fill="auto" w:val="clear"/>
        </w:rPr>
        <w:t xml:space="preserve"> и от 25.05.2010 </w:t>
      </w:r>
      <w:hyperlink r:id="rId6">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spacing w:before="0" w:after="120"/>
        <w:ind w:left="567" w:hanging="0"/>
        <w:jc w:val="both"/>
        <w:rPr>
          <w:bCs/>
          <w:sz w:val="24"/>
          <w:szCs w:val="24"/>
          <w:highlight w:val="none"/>
          <w:shd w:fill="auto" w:val="clear"/>
        </w:rPr>
      </w:pPr>
      <w:r>
        <w:rPr>
          <w:bCs/>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1 – Спецификация.</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2 – Календарный график поставки.</w:t>
      </w:r>
    </w:p>
    <w:p>
      <w:pPr>
        <w:pStyle w:val="Normal"/>
        <w:spacing w:before="0" w:after="120"/>
        <w:ind w:left="567" w:hanging="567"/>
        <w:rPr>
          <w:highlight w:val="none"/>
          <w:shd w:fill="auto" w:val="clear"/>
        </w:rPr>
      </w:pPr>
      <w:bookmarkStart w:id="5" w:name="sub_1"/>
      <w:r>
        <w:rPr>
          <w:sz w:val="24"/>
          <w:szCs w:val="24"/>
          <w:shd w:fill="auto" w:val="clear"/>
        </w:rPr>
        <w:tab/>
      </w:r>
      <w:bookmarkEnd w:id="5"/>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b/>
          <w:i/>
          <w:i/>
          <w:color w:val="FF0000"/>
          <w:sz w:val="22"/>
          <w:szCs w:val="22"/>
          <w:highlight w:val="none"/>
          <w:shd w:fill="auto" w:val="clear"/>
        </w:rPr>
      </w:pPr>
      <w:r>
        <w:rPr>
          <w:b/>
          <w:i/>
          <w:color w:val="FF0000"/>
          <w:sz w:val="22"/>
          <w:szCs w:val="22"/>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568"/>
        <w:gridCol w:w="844"/>
        <w:gridCol w:w="565"/>
        <w:gridCol w:w="1567"/>
        <w:gridCol w:w="1560"/>
        <w:gridCol w:w="567"/>
        <w:gridCol w:w="567"/>
        <w:gridCol w:w="709"/>
        <w:gridCol w:w="1842"/>
        <w:gridCol w:w="1559"/>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highlight w:val="none"/>
                <w:shd w:fill="auto" w:val="clear"/>
              </w:rPr>
            </w:pPr>
            <w:r>
              <w:rPr>
                <w:sz w:val="24"/>
                <w:szCs w:val="24"/>
                <w:shd w:fill="auto" w:val="clear"/>
              </w:rPr>
              <w:t>Страна происхождения Продукции / цифровой код страны</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highlight w:val="none"/>
                <w:shd w:fill="auto" w:val="clear"/>
              </w:rPr>
            </w:pPr>
            <w:r>
              <w:rPr>
                <w:sz w:val="22"/>
                <w:szCs w:val="24"/>
                <w:shd w:fill="auto" w:val="clear"/>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highlight w:val="none"/>
                <w:shd w:fill="auto" w:val="clear"/>
              </w:rPr>
            </w:pPr>
            <w:r>
              <w:rPr>
                <w:sz w:val="22"/>
                <w:szCs w:val="24"/>
                <w:shd w:fill="auto" w:val="clear"/>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highlight w:val="none"/>
                <w:shd w:fill="auto" w:val="clear"/>
              </w:rPr>
            </w:pPr>
            <w:r>
              <w:rPr>
                <w:b/>
                <w:sz w:val="22"/>
                <w:szCs w:val="24"/>
                <w:shd w:fill="auto" w:val="clear"/>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highlight w:val="none"/>
                <w:shd w:fill="auto" w:val="clear"/>
              </w:rPr>
            </w:pPr>
            <w:r>
              <w:rPr>
                <w:sz w:val="22"/>
                <w:szCs w:val="24"/>
                <w:shd w:fill="auto" w:val="clear"/>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Наименование производителя: 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1"/>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Календарный график поставки</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6"/>
        <w:gridCol w:w="1621"/>
        <w:gridCol w:w="2440"/>
        <w:gridCol w:w="673"/>
        <w:gridCol w:w="776"/>
        <w:gridCol w:w="1918"/>
        <w:gridCol w:w="1676"/>
      </w:tblGrid>
      <w:tr>
        <w:trPr>
          <w:trHeight w:val="507" w:hRule="atLeast"/>
        </w:trPr>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2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r>
      <w:tr>
        <w:trPr>
          <w:trHeight w:val="520" w:hRule="atLeast"/>
        </w:trPr>
        <w:tc>
          <w:tcPr>
            <w:tcW w:w="9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Normal"/>
        <w:widowControl w:val="false"/>
        <w:tabs>
          <w:tab w:val="left" w:pos="720" w:leader="none"/>
        </w:tabs>
        <w:spacing w:before="0" w:after="120"/>
        <w:ind w:left="284" w:hanging="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48" wp14:anchorId="2E285076">
                <wp:simplePos x="0" y="0"/>
                <wp:positionH relativeFrom="column">
                  <wp:posOffset>147955</wp:posOffset>
                </wp:positionH>
                <wp:positionV relativeFrom="paragraph">
                  <wp:posOffset>1155700</wp:posOffset>
                </wp:positionV>
                <wp:extent cx="5943600" cy="635"/>
                <wp:effectExtent l="6350" t="6985" r="6985" b="6350"/>
                <wp:wrapNone/>
                <wp:docPr id="13"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E285076">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highlight w:val="none"/>
          <w:shd w:fill="auto"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127635" cy="145415"/>
              <wp:effectExtent l="0" t="0" r="0" b="0"/>
              <wp:wrapSquare wrapText="bothSides"/>
              <wp:docPr id="14"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none"/>
          <w:shd w:fill="auto" w:val="clear"/>
        </w:rPr>
      </w:pPr>
      <w:r>
        <w:rPr>
          <w:rStyle w:val="Style9"/>
        </w:rPr>
        <w:footnoteRef/>
      </w:r>
      <w:r>
        <w:rPr>
          <w:shd w:fill="auto" w:val="clear"/>
        </w:rPr>
        <w:t xml:space="preserve"> </w:t>
      </w:r>
      <w:r>
        <w:rPr>
          <w:shd w:fill="auto" w:val="clea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3"/>
    <w:lvlOverride w:ilvl="0">
      <w:startOverride w:val="1"/>
    </w:lvlOverride>
  </w:num>
  <w:num w:numId="19">
    <w:abstractNumId w:val="13"/>
  </w:num>
  <w:num w:numId="20">
    <w:abstractNumId w:val="13"/>
  </w:num>
  <w:num w:numId="21">
    <w:abstractNumId w:val="13"/>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1">
    <w:name w:val="1. Статья Знак"/>
    <w:qFormat/>
    <w:rPr>
      <w:sz w:val="24"/>
      <w:szCs w:val="24"/>
      <w:lang w:val="x-none" w:eastAsia="x-none"/>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32">
    <w:name w:val="3. Подпункт"/>
    <w:basedOn w:val="Heading3"/>
    <w:qFormat/>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21">
    <w:name w:val="2. Пункт"/>
    <w:basedOn w:val="Heading3"/>
    <w:qFormat/>
    <w:pPr>
      <w:keepNext w:val="false"/>
      <w:widowControl w:val="false"/>
      <w:numPr>
        <w:ilvl w:val="1"/>
        <w:numId w:val="10"/>
      </w:numPr>
      <w:overflowPunct w:val="false"/>
      <w:jc w:val="both"/>
      <w:textAlignment w:val="baseline"/>
    </w:pPr>
    <w:rPr>
      <w:b w:val="false"/>
      <w:sz w:val="24"/>
      <w:szCs w:val="24"/>
      <w:lang w:val="x-none" w:eastAsia="x-none"/>
    </w:rPr>
  </w:style>
  <w:style w:type="paragraph" w:styleId="12">
    <w:name w:val="1. Статья"/>
    <w:basedOn w:val="Heading3"/>
    <w:qFormat/>
    <w:pPr>
      <w:keepNext w:val="false"/>
      <w:widowControl w:val="false"/>
      <w:numPr>
        <w:ilvl w:val="0"/>
        <w:numId w:val="10"/>
      </w:numPr>
      <w:tabs>
        <w:tab w:val="left" w:pos="0" w:leader="none"/>
        <w:tab w:val="left" w:pos="2340" w:leader="none"/>
      </w:tabs>
      <w:overflowPunct w:val="false"/>
      <w:ind w:left="0" w:right="1462" w:hanging="0"/>
      <w:textAlignment w:val="baseline"/>
    </w:pPr>
    <w:rPr>
      <w:b w:val="false"/>
      <w:sz w:val="24"/>
      <w:szCs w:val="24"/>
      <w:lang w:val="x-none" w:eastAsia="x-none"/>
    </w:rPr>
  </w:style>
  <w:style w:type="paragraph" w:styleId="Style22">
    <w:name w:val="Знак Знак Знак Знак"/>
    <w:basedOn w:val="Normal"/>
    <w:qFormat/>
    <w:pPr>
      <w:spacing w:lineRule="exact" w:line="240" w:before="0" w:after="160"/>
    </w:pPr>
    <w:rPr>
      <w:rFonts w:ascii="Verdana" w:hAnsi="Verdana" w:cs="Verdana"/>
      <w:lang w:val="en-US" w:eastAsia="en-US"/>
    </w:rPr>
  </w:style>
  <w:style w:type="paragraph" w:styleId="Style23">
    <w:name w:val="Таблица текст"/>
    <w:basedOn w:val="Normal"/>
    <w:qFormat/>
    <w:pPr>
      <w:spacing w:before="40" w:after="40"/>
      <w:ind w:left="57" w:right="57" w:hanging="0"/>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64A1-90E7-4B25-870E-3E4F258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AlterOffice/3.4.0.9$Linux_X86_64 LibreOffice_project/b8daf9e823b1a5463a2f48435ddc2e8696e7d4fc</Application>
  <AppVersion>15.0000</AppVersion>
  <Pages>21</Pages>
  <Words>6999</Words>
  <Characters>49907</Characters>
  <CharactersWithSpaces>56414</CharactersWithSpaces>
  <Paragraphs>384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
  <cp:lastPrinted>2017-11-07T14:47:00Z</cp:lastPrinted>
  <dcterms:modified xsi:type="dcterms:W3CDTF">2026-07-21T20:51:46Z</dcterms:modified>
  <cp:revision>43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