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</w:r>
    </w:p>
    <w:p>
      <w:pPr>
        <w:pStyle w:val="Normal"/>
        <w:bidi w:val="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ОКПД2 61.10.30.110 Услуги связи по организации присоединения УПАТС ПАО «Якутскэнерго» к телефонной сети общего пользования с использованием технологии VoIP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ascii="Times New Roman" w:hAnsi="Times New Roman" w:eastAsia="Calibri"/>
          <w:b w:val="false"/>
          <w:bCs w:val="false"/>
          <w:i/>
          <w:i/>
          <w:sz w:val="24"/>
          <w:szCs w:val="24"/>
        </w:rPr>
      </w:pPr>
      <w:r>
        <w:rPr>
          <w:rFonts w:eastAsia="Calibri"/>
          <w:b w:val="false"/>
          <w:bCs w:val="false"/>
          <w:i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keepNext w:val="true"/>
        <w:keepLines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 w:eastAsia="Calibri"/>
          <w:b w:val="false"/>
          <w:bCs w:val="false"/>
          <w:i/>
          <w:i/>
          <w:sz w:val="24"/>
          <w:szCs w:val="24"/>
        </w:rPr>
      </w:pPr>
      <w:r>
        <w:rPr>
          <w:rFonts w:eastAsia="Calibri"/>
          <w:b w:val="false"/>
          <w:bCs w:val="false"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0"/>
        </w:numPr>
        <w:ind w:left="0" w:right="0" w:hanging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ru-RU"/>
        </w:rPr>
        <w:t xml:space="preserve">1. </w:t>
      </w:r>
      <w:bookmarkStart w:id="0" w:name="_Toc54643694"/>
      <w:r>
        <w:rPr>
          <w:b w:val="false"/>
          <w:bCs w:val="false"/>
          <w:sz w:val="24"/>
          <w:szCs w:val="24"/>
          <w:lang w:val="ru-RU"/>
        </w:rPr>
        <w:t>Общие сведения</w:t>
      </w:r>
      <w:bookmarkEnd w:id="0"/>
    </w:p>
    <w:p>
      <w:pPr>
        <w:pStyle w:val="Heading1"/>
        <w:numPr>
          <w:ilvl w:val="0"/>
          <w:numId w:val="0"/>
        </w:numPr>
        <w:ind w:left="0" w:right="0" w:hanging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ru-RU"/>
        </w:rPr>
        <w:t xml:space="preserve">1.1. </w:t>
      </w:r>
      <w:bookmarkStart w:id="1" w:name="_Toc46743505"/>
      <w:bookmarkStart w:id="2" w:name="_Toc54643695"/>
      <w:r>
        <w:rPr>
          <w:b w:val="false"/>
          <w:bCs w:val="false"/>
          <w:sz w:val="24"/>
          <w:szCs w:val="24"/>
        </w:rPr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z w:val="24"/>
                <w:szCs w:val="24"/>
              </w:rPr>
              <w:t>L2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z w:val="24"/>
                <w:szCs w:val="24"/>
              </w:rPr>
              <w:t>Канальный уровень, предназначенный для передачи данных узлам, находящимся в одном сегменте локальной сети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z w:val="24"/>
                <w:szCs w:val="24"/>
              </w:rPr>
              <w:t>ИД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z w:val="24"/>
                <w:szCs w:val="24"/>
              </w:rPr>
              <w:t>Исполнительная дирекция ПАО «Якутскэнерго»</w:t>
            </w:r>
          </w:p>
        </w:tc>
      </w:tr>
    </w:tbl>
    <w:p>
      <w:pPr>
        <w:pStyle w:val="Normal"/>
        <w:keepNext w:val="true"/>
        <w:keepLines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Heading4"/>
        <w:widowControl/>
        <w:numPr>
          <w:ilvl w:val="0"/>
          <w:numId w:val="0"/>
        </w:numPr>
        <w:suppressAutoHyphens w:val="true"/>
        <w:bidi w:val="0"/>
        <w:spacing w:before="120" w:after="60"/>
        <w:ind w:left="0" w:right="0" w:hanging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1.2. </w:t>
      </w:r>
      <w:bookmarkStart w:id="3" w:name="_Toc46743506"/>
      <w:bookmarkStart w:id="4" w:name="_Toc54643696"/>
      <w:r>
        <w:rPr>
          <w:b w:val="false"/>
          <w:bCs w:val="false"/>
          <w:sz w:val="24"/>
          <w:szCs w:val="24"/>
        </w:rPr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</w:rPr>
        <w:t>ОКПД2 61.10.30.110 Услуги связи по организации абоентского присоединения УПАТС ПАО «Якутскэнерго» к телефонной сети общего пользования с использованием технологии VoIP</w:t>
      </w:r>
      <w:bookmarkStart w:id="5" w:name="_Toc46743507"/>
    </w:p>
    <w:p>
      <w:pPr>
        <w:pStyle w:val="Heading4"/>
        <w:numPr>
          <w:ilvl w:val="0"/>
          <w:numId w:val="0"/>
        </w:numPr>
        <w:spacing w:before="240" w:after="60"/>
        <w:ind w:left="0" w:right="0" w:hanging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1.3. </w:t>
      </w:r>
      <w:bookmarkStart w:id="6" w:name="_Toc54643697"/>
      <w:r>
        <w:rPr>
          <w:b w:val="false"/>
          <w:bCs w:val="false"/>
          <w:sz w:val="24"/>
          <w:szCs w:val="24"/>
        </w:rPr>
        <w:t xml:space="preserve">Цель </w:t>
      </w:r>
      <w:bookmarkEnd w:id="5"/>
      <w:r>
        <w:rPr>
          <w:b w:val="false"/>
          <w:bCs w:val="false"/>
          <w:sz w:val="24"/>
          <w:szCs w:val="24"/>
          <w:lang w:val="ru-RU"/>
        </w:rPr>
        <w:t>оказания услуг</w:t>
      </w:r>
      <w:bookmarkEnd w:id="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</w:rPr>
        <w:t>Обеспечение присоединения УПАТС ПАО «Якутскэнерго» к телефонной сети общего пользования на абонентском уровне после отказа ПАО «Якутскэнерго» от лицензии на оказание услуг местной телефонной связи.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</w:rPr>
        <w:t>1.4. Существующее положение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ПАО «Якутскэнерго» является оператором местной телефонной связи с выделением ресурса нумерации в объеме 4000 номеров (диапазон номеров 4112493000 — 4112494999, 4112497000 — 4112498999).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Таблица 1. Ресурс нумерации ПАО «Якутскэнерго», используемой для собственных нужд:</w:t>
      </w:r>
    </w:p>
    <w:tbl>
      <w:tblPr>
        <w:tblW w:w="1009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3"/>
        <w:gridCol w:w="1622"/>
        <w:gridCol w:w="1305"/>
        <w:gridCol w:w="1575"/>
        <w:gridCol w:w="1590"/>
        <w:gridCol w:w="1470"/>
        <w:gridCol w:w="1090"/>
        <w:gridCol w:w="1128"/>
      </w:tblGrid>
      <w:tr>
        <w:trPr/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Нумерация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Емкость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оборудо-вания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подклю-чения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Одновременных соединений</w:t>
            </w:r>
          </w:p>
        </w:tc>
      </w:tr>
      <w:tr>
        <w:trPr/>
        <w:tc>
          <w:tcPr>
            <w:tcW w:w="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4112493000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4112493499</w:t>
            </w:r>
          </w:p>
        </w:tc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УПАТС</w:t>
            </w:r>
          </w:p>
        </w:tc>
        <w:tc>
          <w:tcPr>
            <w:tcW w:w="10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ОКС№7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>
        <w:trPr/>
        <w:tc>
          <w:tcPr>
            <w:tcW w:w="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4112493700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4112494099</w:t>
            </w:r>
          </w:p>
        </w:tc>
        <w:tc>
          <w:tcPr>
            <w:tcW w:w="1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4112494150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4112494199</w:t>
            </w:r>
          </w:p>
        </w:tc>
        <w:tc>
          <w:tcPr>
            <w:tcW w:w="1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4112494500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4112494999</w:t>
            </w:r>
          </w:p>
        </w:tc>
        <w:tc>
          <w:tcPr>
            <w:tcW w:w="1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4112497000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4112498399</w:t>
            </w:r>
          </w:p>
        </w:tc>
        <w:tc>
          <w:tcPr>
            <w:tcW w:w="1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4112498450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4112498999</w:t>
            </w:r>
          </w:p>
        </w:tc>
        <w:tc>
          <w:tcPr>
            <w:tcW w:w="1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BodyText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</w:rPr>
        <w:t>Необходимо организовать SIP-транк для подключения УПАТС ПАО «Якутскэнерго», расположенной в ИД, по адресу 677000, г.Якутск, ул. Федора Попова, д. 14, к телефонной сети общего пользования при отказе ПАО «Якутскэнерго» от деятельности оператора местной телефонной связи.</w:t>
      </w:r>
    </w:p>
    <w:p>
      <w:pPr>
        <w:pStyle w:val="BodyText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b w:val="false"/>
          <w:bCs w:val="false"/>
          <w:i w:val="false"/>
          <w:i w:val="false"/>
          <w:iCs w:val="false"/>
          <w:sz w:val="24"/>
          <w:szCs w:val="24"/>
          <w:shd w:fill="auto" w:val="clear"/>
        </w:rPr>
      </w:pPr>
      <w:r>
        <w:rPr>
          <w:b w:val="false"/>
          <w:bCs w:val="false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b w:val="false"/>
          <w:bCs w:val="false"/>
          <w:i w:val="false"/>
          <w:i w:val="false"/>
          <w:iCs w:val="false"/>
          <w:sz w:val="24"/>
          <w:szCs w:val="24"/>
          <w:shd w:fill="auto" w:val="clear"/>
        </w:rPr>
      </w:pPr>
      <w:r>
        <w:rPr>
          <w:b w:val="false"/>
          <w:bCs w:val="false"/>
          <w:i w:val="false"/>
          <w:iCs w:val="false"/>
          <w:sz w:val="24"/>
          <w:szCs w:val="24"/>
          <w:shd w:fill="auto" w:val="clear"/>
        </w:rPr>
      </w:r>
    </w:p>
    <w:p>
      <w:pPr>
        <w:pStyle w:val="Heading1"/>
        <w:keepLines/>
        <w:numPr>
          <w:ilvl w:val="0"/>
          <w:numId w:val="0"/>
        </w:numPr>
        <w:ind w:left="0" w:right="0" w:hanging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iCs/>
          <w:sz w:val="24"/>
          <w:szCs w:val="24"/>
          <w:lang w:val="ru-RU"/>
        </w:rPr>
        <w:t xml:space="preserve">2. </w:t>
      </w:r>
      <w:bookmarkStart w:id="7" w:name="_Toc51339693"/>
      <w:bookmarkStart w:id="8" w:name="_Toc54643702"/>
      <w:r>
        <w:rPr>
          <w:b w:val="false"/>
          <w:bCs w:val="false"/>
          <w:iCs/>
          <w:sz w:val="24"/>
          <w:szCs w:val="24"/>
          <w:lang w:val="ru-RU"/>
        </w:rPr>
        <w:t>Требования</w:t>
      </w:r>
      <w:r>
        <w:rPr>
          <w:b w:val="false"/>
          <w:bCs w:val="false"/>
          <w:iCs/>
          <w:sz w:val="24"/>
          <w:szCs w:val="24"/>
        </w:rPr>
        <w:t xml:space="preserve"> к </w:t>
      </w:r>
      <w:bookmarkEnd w:id="7"/>
      <w:bookmarkEnd w:id="8"/>
      <w:r>
        <w:rPr>
          <w:b w:val="false"/>
          <w:bCs w:val="false"/>
          <w:iCs/>
          <w:sz w:val="24"/>
          <w:szCs w:val="24"/>
        </w:rPr>
        <w:t>услугам</w:t>
      </w:r>
    </w:p>
    <w:p>
      <w:pPr>
        <w:pStyle w:val="Heading1"/>
        <w:numPr>
          <w:ilvl w:val="0"/>
          <w:numId w:val="0"/>
        </w:numPr>
        <w:ind w:left="0" w:right="0" w:hanging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iCs/>
          <w:sz w:val="24"/>
          <w:szCs w:val="24"/>
        </w:rPr>
        <w:t xml:space="preserve">2.1. </w:t>
      </w:r>
      <w:bookmarkStart w:id="9" w:name="_Toc54643703"/>
      <w:r>
        <w:rPr>
          <w:b w:val="false"/>
          <w:bCs w:val="false"/>
          <w:sz w:val="24"/>
          <w:szCs w:val="24"/>
        </w:rPr>
        <w:t xml:space="preserve">Требования к объемам и срокам </w:t>
      </w:r>
      <w:r>
        <w:rPr>
          <w:b w:val="false"/>
          <w:bCs w:val="false"/>
          <w:sz w:val="24"/>
          <w:szCs w:val="24"/>
          <w:lang w:val="ru-RU"/>
        </w:rPr>
        <w:t>оказания услуг</w:t>
      </w:r>
      <w:bookmarkEnd w:id="9"/>
    </w:p>
    <w:p>
      <w:pPr>
        <w:pStyle w:val="Heading1"/>
        <w:numPr>
          <w:ilvl w:val="0"/>
          <w:numId w:val="0"/>
        </w:numPr>
        <w:ind w:left="0" w:right="0" w:hanging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ru-RU"/>
        </w:rPr>
        <w:t xml:space="preserve">2.1.1. </w:t>
      </w:r>
      <w:bookmarkStart w:id="10" w:name="_Toc54643704"/>
      <w:r>
        <w:rPr>
          <w:b w:val="false"/>
          <w:bCs w:val="false"/>
          <w:sz w:val="24"/>
          <w:szCs w:val="24"/>
          <w:lang w:val="ru-RU"/>
        </w:rPr>
        <w:t>Требования к перечню и объему услуг</w:t>
      </w:r>
      <w:bookmarkEnd w:id="10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jc w:val="left"/>
        <w:rPr>
          <w:b w:val="false"/>
          <w:bCs w:val="false"/>
          <w:sz w:val="24"/>
          <w:szCs w:val="24"/>
        </w:rPr>
      </w:pPr>
      <w:bookmarkStart w:id="11" w:name="_Toc54643705"/>
      <w:bookmarkStart w:id="12" w:name="_Toc51339695"/>
      <w:r>
        <w:rPr>
          <w:b w:val="false"/>
          <w:bCs w:val="false"/>
          <w:sz w:val="24"/>
          <w:szCs w:val="24"/>
        </w:rPr>
        <w:t xml:space="preserve">Таблица </w:t>
      </w:r>
      <w:r>
        <w:rPr>
          <w:b w:val="false"/>
          <w:bCs w:val="false"/>
          <w:sz w:val="24"/>
          <w:szCs w:val="24"/>
          <w:lang w:val="ru-RU"/>
        </w:rPr>
        <w:t>2.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  <w:lang w:val="ru-RU"/>
        </w:rPr>
        <w:t xml:space="preserve">Перечень </w:t>
      </w:r>
      <w:bookmarkEnd w:id="12"/>
      <w:r>
        <w:rPr>
          <w:b w:val="false"/>
          <w:bCs w:val="false"/>
          <w:sz w:val="24"/>
          <w:szCs w:val="24"/>
          <w:lang w:val="ru-RU"/>
        </w:rPr>
        <w:t>и объем оказываемых услуг</w:t>
      </w:r>
      <w:bookmarkEnd w:id="11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70"/>
        <w:gridCol w:w="5495"/>
        <w:gridCol w:w="2375"/>
        <w:gridCol w:w="1269"/>
      </w:tblGrid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Вид платежа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Кол-во (шт)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Style w:val="Style8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>Организация присоединения УПАТС к телефонной сети общего пользования по VoIP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Единовременный за соединительную линию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Не менее 60</w:t>
            </w:r>
          </w:p>
        </w:tc>
      </w:tr>
      <w:tr>
        <w:trPr/>
        <w:tc>
          <w:tcPr>
            <w:tcW w:w="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Style w:val="Style8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>Переоформление ресурса нумерации (согласно Таблице 1) на предоставляющего услуги оператора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Единовременно за номер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3400</w:t>
            </w:r>
          </w:p>
        </w:tc>
      </w:tr>
      <w:tr>
        <w:trPr/>
        <w:tc>
          <w:tcPr>
            <w:tcW w:w="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Style w:val="Style8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>Абонентская плата за пользование телефонным номером SIP, имеющиv выход на телефонную сеть общего пользования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Ежемесячно за номер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3400</w:t>
            </w:r>
          </w:p>
        </w:tc>
      </w:tr>
      <w:tr>
        <w:trPr/>
        <w:tc>
          <w:tcPr>
            <w:tcW w:w="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Style w:val="Style8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>Абонентская плата за пользование SIP соединительной линией с телефонной сетью общего пользования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ежемесячно за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соединительную линию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Не менее 60</w:t>
            </w:r>
          </w:p>
        </w:tc>
      </w:tr>
      <w:tr>
        <w:trPr/>
        <w:tc>
          <w:tcPr>
            <w:tcW w:w="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Style w:val="Style8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>Пользование внутризоновой, междугородней, международной телефонной связью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По отдельному договору, согласно условий публичной оферты оператора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По данным фактической тарификации</w:t>
            </w:r>
          </w:p>
        </w:tc>
      </w:tr>
    </w:tbl>
    <w:p>
      <w:pPr>
        <w:pStyle w:val="Heading3"/>
        <w:numPr>
          <w:ilvl w:val="0"/>
          <w:numId w:val="0"/>
        </w:numPr>
        <w:ind w:left="0" w:right="0" w:hanging="0"/>
        <w:rPr/>
      </w:pPr>
      <w:r>
        <w:rPr>
          <w:b w:val="false"/>
          <w:bCs w:val="false"/>
          <w:sz w:val="24"/>
          <w:szCs w:val="24"/>
          <w:lang w:val="ru-RU"/>
        </w:rPr>
        <w:t>2.1.2. Требования к срокам оказания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jc w:val="left"/>
        <w:rPr>
          <w:b w:val="false"/>
          <w:bCs w:val="false"/>
          <w:sz w:val="24"/>
          <w:szCs w:val="24"/>
        </w:rPr>
      </w:pPr>
      <w:bookmarkStart w:id="13" w:name="_Toc54643707"/>
      <w:bookmarkStart w:id="14" w:name="_Toc51339697"/>
      <w:bookmarkStart w:id="15" w:name="_Toc50125127"/>
      <w:bookmarkStart w:id="16" w:name="_Toc50125126_Копия_1"/>
      <w:bookmarkEnd w:id="16"/>
      <w:r>
        <w:rPr>
          <w:b w:val="false"/>
          <w:bCs w:val="false"/>
          <w:sz w:val="24"/>
          <w:szCs w:val="24"/>
        </w:rPr>
        <w:t xml:space="preserve">Таблица </w:t>
      </w:r>
      <w:r>
        <w:rPr>
          <w:b w:val="false"/>
          <w:bCs w:val="false"/>
          <w:sz w:val="24"/>
          <w:szCs w:val="24"/>
          <w:lang w:val="ru-RU"/>
        </w:rPr>
        <w:t>3</w:t>
      </w:r>
      <w:r>
        <w:rPr>
          <w:b w:val="false"/>
          <w:bCs w:val="false"/>
          <w:sz w:val="24"/>
          <w:szCs w:val="24"/>
        </w:rPr>
        <w:t xml:space="preserve">. </w:t>
      </w:r>
      <w:bookmarkStart w:id="17" w:name="_Hlk50465284"/>
      <w:r>
        <w:rPr>
          <w:b w:val="false"/>
          <w:bCs w:val="false"/>
          <w:sz w:val="24"/>
          <w:szCs w:val="24"/>
        </w:rPr>
        <w:t xml:space="preserve">Требования </w:t>
      </w:r>
      <w:r>
        <w:rPr>
          <w:b w:val="false"/>
          <w:bCs w:val="false"/>
          <w:sz w:val="24"/>
          <w:szCs w:val="24"/>
          <w:lang w:val="ru-RU"/>
        </w:rPr>
        <w:t>к</w:t>
      </w:r>
      <w:r>
        <w:rPr>
          <w:b w:val="false"/>
          <w:bCs w:val="false"/>
          <w:sz w:val="24"/>
          <w:szCs w:val="24"/>
        </w:rPr>
        <w:t xml:space="preserve"> срокам </w:t>
      </w:r>
      <w:bookmarkEnd w:id="14"/>
      <w:bookmarkEnd w:id="15"/>
      <w:bookmarkEnd w:id="17"/>
      <w:r>
        <w:rPr>
          <w:b w:val="false"/>
          <w:bCs w:val="false"/>
          <w:sz w:val="24"/>
          <w:szCs w:val="24"/>
          <w:lang w:val="ru-RU"/>
        </w:rPr>
        <w:t>оказания услуг</w:t>
      </w:r>
      <w:bookmarkEnd w:id="13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4130"/>
        <w:gridCol w:w="2276"/>
        <w:gridCol w:w="2240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№ </w:t>
            </w:r>
            <w:r>
              <w:rPr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Style w:val="Style8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>Услуги  связи, согласно Таблице 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 даты начала фактического оказания услуг, но не позднее 31.10.2026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Бессрочно, согласно действующим Правилам оказания услуг телефонной связи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  <w:numId w:val="0"/>
        </w:numPr>
        <w:ind w:left="0" w:right="0" w:hanging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ru-RU"/>
        </w:rPr>
        <w:t>3. Требования к качеству услуг</w:t>
      </w:r>
      <w:bookmarkStart w:id="18" w:name="_Toc54643709"/>
      <w:bookmarkStart w:id="19" w:name="_Toc51339698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jc w:val="left"/>
        <w:rPr/>
      </w:pPr>
      <w:r>
        <w:rPr>
          <w:b w:val="false"/>
          <w:bCs w:val="false"/>
          <w:sz w:val="24"/>
          <w:szCs w:val="24"/>
        </w:rPr>
        <w:t>Таблица </w:t>
      </w:r>
      <w:r>
        <w:rPr>
          <w:b w:val="false"/>
          <w:bCs w:val="false"/>
          <w:sz w:val="24"/>
          <w:szCs w:val="24"/>
          <w:lang w:val="ru-RU"/>
        </w:rPr>
        <w:t>4</w:t>
      </w:r>
      <w:r>
        <w:rPr>
          <w:b w:val="false"/>
          <w:bCs w:val="false"/>
          <w:sz w:val="24"/>
          <w:szCs w:val="24"/>
        </w:rPr>
        <w:t xml:space="preserve">. Требования к </w:t>
      </w:r>
      <w:bookmarkEnd w:id="19"/>
      <w:r>
        <w:rPr>
          <w:b w:val="false"/>
          <w:bCs w:val="false"/>
          <w:sz w:val="24"/>
          <w:szCs w:val="24"/>
          <w:lang w:val="ru-RU"/>
        </w:rPr>
        <w:t>качеству услуг</w:t>
      </w:r>
      <w:bookmarkStart w:id="20" w:name="_Toc53393312"/>
      <w:bookmarkStart w:id="21" w:name="_Toc51339699"/>
      <w:bookmarkStart w:id="22" w:name="_Toc46743519"/>
      <w:bookmarkStart w:id="23" w:name="_Toc53395937"/>
      <w:bookmarkStart w:id="24" w:name="_Toc54643710"/>
      <w:bookmarkEnd w:id="18"/>
      <w:bookmarkEnd w:id="20"/>
      <w:bookmarkEnd w:id="21"/>
      <w:bookmarkEnd w:id="22"/>
      <w:bookmarkEnd w:id="23"/>
      <w:bookmarkEnd w:id="24"/>
    </w:p>
    <w:tbl>
      <w:tblPr>
        <w:tblStyle w:val="af"/>
        <w:tblW w:w="148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6"/>
        <w:gridCol w:w="5318"/>
        <w:gridCol w:w="2099"/>
        <w:gridCol w:w="2152"/>
        <w:gridCol w:w="2201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3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25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20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3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1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0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bookmarkStart w:id="25" w:name="_Toc53499667"/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5"/>
          </w:p>
        </w:tc>
        <w:tc>
          <w:tcPr>
            <w:tcW w:w="22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3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1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2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75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0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5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0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5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0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5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0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Протокол подключения</w:t>
            </w:r>
          </w:p>
        </w:tc>
        <w:tc>
          <w:tcPr>
            <w:tcW w:w="53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SIP</w:t>
            </w:r>
          </w:p>
        </w:tc>
        <w:tc>
          <w:tcPr>
            <w:tcW w:w="209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152" w:type="dxa"/>
            <w:tcBorders>
              <w:top w:val="nil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Схема включения</w:t>
            </w:r>
          </w:p>
        </w:tc>
        <w:tc>
          <w:tcPr>
            <w:tcW w:w="53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Выделенный канал связи без доступа в интернет с подключением от отдельного физического порта коммутатора, расположенного или вновь устанавливаемого по адресу 677000, г. Якутск, ул. Федора Попова, д. 14.</w:t>
            </w:r>
          </w:p>
        </w:tc>
        <w:tc>
          <w:tcPr>
            <w:tcW w:w="209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152" w:type="dxa"/>
            <w:tcBorders>
              <w:top w:val="nil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Пропускная способность канала передачи данных для цели передачи голосовой информации услуг согласно Таблицы 2</w:t>
            </w:r>
          </w:p>
        </w:tc>
        <w:tc>
          <w:tcPr>
            <w:tcW w:w="53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Не менее 100 Мбит/с</w:t>
            </w:r>
          </w:p>
        </w:tc>
        <w:tc>
          <w:tcPr>
            <w:tcW w:w="20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1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Тарификация услуги передачи данных канала п. 1.1.2</w:t>
            </w:r>
          </w:p>
        </w:tc>
        <w:tc>
          <w:tcPr>
            <w:tcW w:w="53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 тарифицируется</w:t>
            </w:r>
          </w:p>
        </w:tc>
        <w:tc>
          <w:tcPr>
            <w:tcW w:w="209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1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Сетевая задержка в канале связи</w:t>
            </w:r>
          </w:p>
        </w:tc>
        <w:tc>
          <w:tcPr>
            <w:tcW w:w="53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Не более 15 мс</w:t>
            </w:r>
          </w:p>
        </w:tc>
        <w:tc>
          <w:tcPr>
            <w:tcW w:w="209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1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Общий процент потерь в канале связи</w:t>
            </w:r>
          </w:p>
        </w:tc>
        <w:tc>
          <w:tcPr>
            <w:tcW w:w="53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Менее 1%</w:t>
            </w:r>
          </w:p>
        </w:tc>
        <w:tc>
          <w:tcPr>
            <w:tcW w:w="209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1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58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09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5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 связи</w:t>
            </w:r>
          </w:p>
        </w:tc>
        <w:tc>
          <w:tcPr>
            <w:tcW w:w="531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До начала оказания услуг переоформить ресурс нумерации Таблица 1 на Исполнителя.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Предоставлять услуги в диапазоне нумерации телефонной сети связи общего пользования Таблицы 1</w:t>
            </w:r>
          </w:p>
        </w:tc>
        <w:tc>
          <w:tcPr>
            <w:tcW w:w="20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1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en-US" w:eastAsia="ru-RU" w:bidi="ar-SA"/>
              </w:rPr>
            </w:r>
          </w:p>
        </w:tc>
        <w:tc>
          <w:tcPr>
            <w:tcW w:w="75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0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5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0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 связи</w:t>
            </w:r>
          </w:p>
        </w:tc>
        <w:tc>
          <w:tcPr>
            <w:tcW w:w="53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Исполнитель должен обеспечивать защиту от несанкционированного подключения и техническую поддержку, управление и постоянный мониторинг работы каналов связи.</w:t>
            </w:r>
          </w:p>
        </w:tc>
        <w:tc>
          <w:tcPr>
            <w:tcW w:w="2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152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5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0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5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0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53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Оборудование Исполнителя, с помощью которого оказываются Услуги, должно иметь Сертификат соответствия для применения на сетях связи Российской Федерации и быть совместимым с оборудованием, используемым Заказчиком.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Сеть Исполнителя должна иметь разрешение в соответствии с законодательством Российской Федерации и нормативным документами органа, регулирующего деятельность в отрасли связи на территории Российской Федерации.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Исполнитель (оператор связи) обеспечивает совместимость своего каналообразующего оборудования с телекоммуникационным оборудованием Заказчика;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Оборудование для оказания Услуг предоставляется Исполнителем (оператором связи) на весь срок действия Договора на безвозмездной основе;</w:t>
            </w:r>
          </w:p>
        </w:tc>
        <w:tc>
          <w:tcPr>
            <w:tcW w:w="2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1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 составе своей заявки Исполнитель должен приложить: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 Копии Сертификатов соответствия на оборудование, используемое при оказании услуг связи;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 Копии разрешающих документов на эксплуатацию сети связи Исполнителя</w:t>
            </w:r>
          </w:p>
        </w:tc>
        <w:tc>
          <w:tcPr>
            <w:tcW w:w="22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58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0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5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0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53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Персонал Исполнителя при выполнении работ по организации каналов должен иметь при себе удостоверение о проверке знаний охраны труда, иметь группу по электробезопасности не ниже II.</w:t>
            </w:r>
          </w:p>
        </w:tc>
        <w:tc>
          <w:tcPr>
            <w:tcW w:w="2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1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Cs/>
                <w:kern w:val="0"/>
                <w:sz w:val="24"/>
                <w:szCs w:val="24"/>
                <w:lang w:val="ru-RU" w:eastAsia="ru-RU" w:bidi="ar-SA"/>
              </w:rPr>
              <w:t>Требования к службе технической поддержки Исполнителя</w:t>
            </w:r>
          </w:p>
        </w:tc>
        <w:tc>
          <w:tcPr>
            <w:tcW w:w="53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Для обработки заявок Заказчика об ухудшении качества Услуг связи у Исполнителя должна функционировать Служба технической поддержки.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Служба технической поддержки Исполнителя должна быть доступна для обращения специалистов Службы технической поддержки Заказчика круглосуточно без перерывов в режиме: 24 (Двадцать четыре) часа в сутки, 7 (Семь) дней в неделю, 365 дней в году в течение всего срока действия Договора на услуги связи между Исполнителем и Заказчиком.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Специалисты Службы технической поддержки Исполнителя должны в любой момент принять информацию от Заказчика по телефону, электронной почте.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Исполнитель должен проинформировать Заказчика об актуальных контактных данных (номер телефона и адрес электронной почты) своей Службы технической поддержки.</w:t>
            </w:r>
          </w:p>
        </w:tc>
        <w:tc>
          <w:tcPr>
            <w:tcW w:w="2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1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36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75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Требования к результатам услуг</w:t>
            </w:r>
          </w:p>
        </w:tc>
        <w:tc>
          <w:tcPr>
            <w:tcW w:w="20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5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0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75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0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5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0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2.1.1.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53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Обеспечение УПАТС ПАО «Якутскэнерго» каналами телефонной связи, ресурсом нумерации, в соответствии с требуемыми критериями доступности и качества. Оказание услуг телефонной связи в соответствии с действующими Правилами, утвержденными Правительством РФ</w:t>
            </w:r>
          </w:p>
        </w:tc>
        <w:tc>
          <w:tcPr>
            <w:tcW w:w="2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152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-57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2.1.2.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Технические требования к результатам услуг</w:t>
            </w:r>
          </w:p>
        </w:tc>
        <w:tc>
          <w:tcPr>
            <w:tcW w:w="53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Отсутствие прерываний в оказании услуги, за исключением случаев, оговоренных дополнительно (аварийные работы или проведение Исполнителем профилактических и/или регламентных работ (далее также: профилактические работы), приводящих к перерыву связи;). Объем профилактических работ, сопровождающихся прерыванием услуг связи, не должен суммарно превышать 48 часов в год</w:t>
            </w:r>
          </w:p>
        </w:tc>
        <w:tc>
          <w:tcPr>
            <w:tcW w:w="2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1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75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0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5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0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2266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Зоны ответственности Исполнителя и Заказчика</w:t>
            </w:r>
          </w:p>
        </w:tc>
        <w:tc>
          <w:tcPr>
            <w:tcW w:w="53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Разграничение зон ответственности Исполнителя и Заказчика осуществляется по адресу оказания (терминации) услуги на физическом интерфейсе оборудования Заказчика и определяются утверждёнными схемами разграничения.</w:t>
            </w:r>
          </w:p>
        </w:tc>
        <w:tc>
          <w:tcPr>
            <w:tcW w:w="2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1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1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0" w:right="0" w:hanging="0"/>
              <w:contextualSpacing/>
              <w:jc w:val="center"/>
              <w:rPr/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7584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0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5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0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-57" w:right="57" w:hanging="0"/>
              <w:contextualSpacing/>
              <w:jc w:val="center"/>
              <w:rPr/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Требования к исполнителю и его обязательствам</w:t>
            </w:r>
          </w:p>
        </w:tc>
        <w:tc>
          <w:tcPr>
            <w:tcW w:w="53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Исполнитель должен иметь все необходимые разрешения и сертификаты на выполнение данного вида услуг.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Исполнитель должен иметь все необходимые лицензии по предоставлению услуг связи, действующих на территории производственной деятельности Заказчика.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Исполнитель должен предоставлять услугу в соответствии с лицензионными требованиями, предусмотренными в выданной Исполнителю (оператору связи) лицензии.</w:t>
            </w:r>
          </w:p>
        </w:tc>
        <w:tc>
          <w:tcPr>
            <w:tcW w:w="2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152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В состав заявки Исполнитель должен включить:</w:t>
            </w:r>
          </w:p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righ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1. Копии разрешений и сертификатов на оказание услуг связи по предмету закупки;</w:t>
            </w:r>
          </w:p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righ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2. Копии лицензий на предоставление услуг связи</w:t>
            </w:r>
          </w:p>
        </w:tc>
        <w:tc>
          <w:tcPr>
            <w:tcW w:w="2201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0" w:right="57" w:hanging="0"/>
              <w:contextualSpacing/>
              <w:jc w:val="center"/>
              <w:rPr/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75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  <w:tc>
          <w:tcPr>
            <w:tcW w:w="209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5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0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-57" w:right="57" w:hanging="0"/>
              <w:contextualSpacing/>
              <w:jc w:val="center"/>
              <w:rPr/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226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3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Исполнитель обязуется путем направления писем и электронных сообщений на адрес ykt-net@rushydro.ru, уведомлять Заказчика о сроках проведения профилактических и ремонтных работ, в том числе: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Планово-профилактических – не менее, чем за один месяц до начала их проведения;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Внепланово-профилактических – не менее, чем за 7 дней до их проведения;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В случае аварии – незамедлительно;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Время восстановления предоставления Услуги, в случае если, перерыв работе не связан с неисправностью оборудования, с момента фиксации обращения не более 12 часов;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Обеспечение сохранения (текущую функциональность) настроек коммутационного оборудования, IP – адресации сетей и подсетей, с момента их первоначальной установки и до истечения срока действия Контракта;</w:t>
            </w:r>
          </w:p>
        </w:tc>
        <w:tc>
          <w:tcPr>
            <w:tcW w:w="2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152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1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BodyText"/>
        <w:rPr/>
      </w:pPr>
      <w:r>
        <w:rPr/>
        <w:t xml:space="preserve"> </w:t>
      </w:r>
    </w:p>
    <w:p>
      <w:pPr>
        <w:pStyle w:val="Heading1"/>
        <w:keepLines/>
        <w:numPr>
          <w:ilvl w:val="0"/>
          <w:numId w:val="0"/>
        </w:numPr>
        <w:spacing w:before="120" w:after="60"/>
        <w:ind w:left="0" w:right="0" w:hanging="0"/>
        <w:jc w:val="both"/>
        <w:rPr/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widowControl/>
      <w:numPr>
        <w:ilvl w:val="2"/>
        <w:numId w:val="3"/>
      </w:numPr>
      <w:suppressAutoHyphens w:val="true"/>
      <w:bidi w:val="0"/>
      <w:spacing w:before="120" w:after="60"/>
      <w:ind w:left="0" w:right="0" w:hanging="0"/>
      <w:jc w:val="left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D8BB-A1FF-4CD5-A115-408287A5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Application>AlterOffice/3.4.0.9$Linux_X86_64 LibreOffice_project/b8daf9e823b1a5463a2f48435ddc2e8696e7d4fc</Application>
  <AppVersion>15.0000</AppVersion>
  <Pages>8</Pages>
  <Words>1306</Words>
  <Characters>8669</Characters>
  <CharactersWithSpaces>9740</CharactersWithSpaces>
  <Paragraphs>264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vasilevkd@Elektra.local</cp:lastModifiedBy>
  <cp:lastPrinted>2006-07-26T14:04:00Z</cp:lastPrinted>
  <dcterms:modified xsi:type="dcterms:W3CDTF">2026-07-22T09:51:33Z</dcterms:modified>
  <cp:revision>33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