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A96FBE"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61F024FC" w14:textId="04396088" w:rsidR="00754FEC" w:rsidRDefault="001866C8" w:rsidP="00F47F8F">
      <w:pPr>
        <w:widowControl w:val="0"/>
        <w:suppressLineNumbers/>
        <w:suppressAutoHyphens/>
        <w:jc w:val="center"/>
        <w:rPr>
          <w:rFonts w:ascii="Times New Roman" w:eastAsia="Times New Roman" w:hAnsi="Times New Roman" w:cs="Times New Roman"/>
          <w:b/>
        </w:rPr>
      </w:pPr>
      <w:r w:rsidRPr="001866C8">
        <w:rPr>
          <w:rFonts w:ascii="Times New Roman" w:eastAsia="Times New Roman" w:hAnsi="Times New Roman" w:cs="Times New Roman"/>
          <w:b/>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(456684)</w:t>
      </w:r>
    </w:p>
    <w:p w14:paraId="708B4E9F" w14:textId="77777777" w:rsidR="000166D8" w:rsidRPr="00F47F8F" w:rsidRDefault="000166D8"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4E647DAC" w14:textId="77777777" w:rsidR="001866C8" w:rsidRPr="001866C8" w:rsidRDefault="001866C8" w:rsidP="001866C8">
            <w:pPr>
              <w:widowControl w:val="0"/>
              <w:jc w:val="both"/>
              <w:rPr>
                <w:rFonts w:ascii="Times New Roman" w:eastAsia="Times New Roman" w:hAnsi="Times New Roman" w:cs="Times New Roman"/>
                <w:color w:val="auto"/>
                <w:lang w:val="ru-RU"/>
              </w:rPr>
            </w:pPr>
            <w:r w:rsidRPr="001866C8">
              <w:rPr>
                <w:rFonts w:ascii="Times New Roman" w:eastAsia="Times New Roman" w:hAnsi="Times New Roman" w:cs="Times New Roman"/>
                <w:color w:val="auto"/>
                <w:lang w:val="ru-RU"/>
              </w:rPr>
              <w:lastRenderedPageBreak/>
              <w:t>ЭТП РАД</w:t>
            </w:r>
          </w:p>
          <w:p w14:paraId="4770AFC9" w14:textId="00361936" w:rsidR="00F509E6" w:rsidRPr="00F47F8F" w:rsidRDefault="001866C8" w:rsidP="001866C8">
            <w:pPr>
              <w:widowControl w:val="0"/>
              <w:jc w:val="both"/>
              <w:rPr>
                <w:rFonts w:ascii="Times New Roman" w:eastAsia="Times New Roman" w:hAnsi="Times New Roman" w:cs="Times New Roman"/>
                <w:color w:val="auto"/>
                <w:lang w:val="ru-RU"/>
              </w:rPr>
            </w:pPr>
            <w:r w:rsidRPr="001866C8">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1B4BC6" w:rsidRPr="00F47F8F" w14:paraId="1CD70445" w14:textId="77777777" w:rsidTr="001B4BC6">
        <w:trPr>
          <w:jc w:val="center"/>
        </w:trPr>
        <w:tc>
          <w:tcPr>
            <w:tcW w:w="1213" w:type="dxa"/>
            <w:shd w:val="clear" w:color="auto" w:fill="auto"/>
            <w:vAlign w:val="center"/>
          </w:tcPr>
          <w:p w14:paraId="28C3EB0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w:t>
            </w:r>
            <w:r w:rsidR="00DC34F6" w:rsidRPr="00F47F8F">
              <w:rPr>
                <w:rFonts w:ascii="Times New Roman" w:eastAsia="Times New Roman" w:hAnsi="Times New Roman" w:cs="Times New Roman"/>
                <w:color w:val="auto"/>
              </w:rPr>
              <w:t xml:space="preserve">к предоставления документации о </w:t>
            </w:r>
            <w:r w:rsidR="00CC420F" w:rsidRPr="00F47F8F">
              <w:rPr>
                <w:rFonts w:ascii="Times New Roman" w:eastAsia="Times New Roman" w:hAnsi="Times New Roman" w:cs="Times New Roman"/>
                <w:color w:val="auto"/>
              </w:rPr>
              <w:t>ценовом отборе</w:t>
            </w:r>
            <w:r w:rsidR="00DC34F6"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00DC34F6" w:rsidRPr="00F47F8F">
              <w:rPr>
                <w:rFonts w:ascii="Times New Roman" w:eastAsia="Times New Roman" w:hAnsi="Times New Roman" w:cs="Times New Roman"/>
                <w:color w:val="auto"/>
                <w:lang w:val="ru-RU"/>
              </w:rPr>
              <w:t xml:space="preserve">о </w:t>
            </w:r>
            <w:r w:rsidR="00CC420F" w:rsidRPr="00F47F8F">
              <w:rPr>
                <w:rFonts w:ascii="Times New Roman" w:eastAsia="Times New Roman" w:hAnsi="Times New Roman" w:cs="Times New Roman"/>
                <w:color w:val="auto"/>
                <w:lang w:val="ru-RU"/>
              </w:rPr>
              <w:t>ценовом отборе</w:t>
            </w:r>
          </w:p>
        </w:tc>
        <w:tc>
          <w:tcPr>
            <w:tcW w:w="5657" w:type="dxa"/>
            <w:gridSpan w:val="2"/>
            <w:shd w:val="clear" w:color="auto" w:fill="auto"/>
            <w:vAlign w:val="center"/>
          </w:tcPr>
          <w:p w14:paraId="0D171D89" w14:textId="77777777" w:rsidR="00EA7B1C" w:rsidRPr="00F47F8F" w:rsidRDefault="00EA7B1C"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00744E06"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00744E06"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AD4CF09" w14:textId="77777777" w:rsidR="002E7903" w:rsidRPr="00F47F8F" w:rsidRDefault="00DC34F6"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002E7903"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br/>
            </w:r>
            <w:r w:rsidR="00744E06" w:rsidRPr="00F47F8F">
              <w:rPr>
                <w:rFonts w:ascii="Times New Roman" w:eastAsia="Times New Roman" w:hAnsi="Times New Roman" w:cs="Times New Roman"/>
                <w:color w:val="auto"/>
                <w:lang w:val="ru-RU"/>
              </w:rPr>
              <w:t xml:space="preserve">   </w:t>
            </w:r>
            <w:r w:rsidR="002E7903" w:rsidRPr="00F47F8F">
              <w:rPr>
                <w:rFonts w:ascii="Times New Roman" w:eastAsia="Times New Roman" w:hAnsi="Times New Roman" w:cs="Times New Roman"/>
                <w:color w:val="auto"/>
              </w:rPr>
              <w:t xml:space="preserve">Срок предоставления документации: </w:t>
            </w:r>
          </w:p>
          <w:p w14:paraId="0A1981EF" w14:textId="154126C6" w:rsidR="00BA7374" w:rsidRPr="00F47F8F" w:rsidRDefault="00BA7374" w:rsidP="00821BB0">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005C2B84" w:rsidRPr="00F47F8F">
              <w:rPr>
                <w:rFonts w:ascii="Times New Roman" w:eastAsia="Times New Roman" w:hAnsi="Times New Roman" w:cs="Times New Roman"/>
                <w:color w:val="auto"/>
              </w:rPr>
              <w:t>с даты размещения документации</w:t>
            </w:r>
            <w:r w:rsidR="00512ABF" w:rsidRPr="00F47F8F">
              <w:rPr>
                <w:rFonts w:ascii="Times New Roman" w:eastAsia="Times New Roman" w:hAnsi="Times New Roman" w:cs="Times New Roman"/>
                <w:color w:val="auto"/>
                <w:lang w:val="ru-RU"/>
              </w:rPr>
              <w:t xml:space="preserve"> </w:t>
            </w:r>
            <w:r w:rsidR="00EA59BD" w:rsidRPr="00F47F8F">
              <w:rPr>
                <w:rFonts w:ascii="Times New Roman" w:eastAsia="Times New Roman" w:hAnsi="Times New Roman" w:cs="Times New Roman"/>
                <w:lang w:val="ru-RU"/>
              </w:rPr>
              <w:t>в ЕИС, на ЭП</w:t>
            </w:r>
            <w:r w:rsidR="00EA59BD" w:rsidRPr="00F47F8F">
              <w:rPr>
                <w:rFonts w:ascii="Times New Roman" w:eastAsia="Times New Roman" w:hAnsi="Times New Roman" w:cs="Times New Roman"/>
                <w:i/>
              </w:rPr>
              <w:t>;</w:t>
            </w:r>
            <w:r w:rsidR="005C2B84"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1394079F" w14:textId="536CAF17" w:rsidR="00524154" w:rsidRPr="00887166" w:rsidRDefault="00887166" w:rsidP="00821BB0">
            <w:pPr>
              <w:widowControl w:val="0"/>
              <w:tabs>
                <w:tab w:val="left" w:pos="467"/>
              </w:tabs>
              <w:ind w:firstLine="184"/>
              <w:jc w:val="both"/>
              <w:rPr>
                <w:rFonts w:ascii="Times New Roman" w:eastAsia="Times New Roman" w:hAnsi="Times New Roman" w:cs="Times New Roman"/>
                <w:b/>
                <w:color w:val="auto"/>
                <w:lang w:val="ru-RU"/>
              </w:rPr>
            </w:pPr>
            <w:r w:rsidRPr="00887166">
              <w:rPr>
                <w:rFonts w:ascii="Times New Roman" w:eastAsia="Times New Roman" w:hAnsi="Times New Roman" w:cs="Times New Roman"/>
                <w:b/>
                <w:color w:val="auto"/>
                <w:lang w:val="ru-RU"/>
              </w:rPr>
              <w:t>07.08.2026 (09:00 местное время)</w:t>
            </w:r>
          </w:p>
          <w:p w14:paraId="14806608" w14:textId="2B7D89BA" w:rsidR="002E7903" w:rsidRPr="00F47F8F" w:rsidRDefault="00BA7374"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644A9588" w:rsidR="00BA7374" w:rsidRPr="00754FEC" w:rsidRDefault="001866C8" w:rsidP="00821BB0">
            <w:pPr>
              <w:widowControl w:val="0"/>
              <w:rPr>
                <w:rFonts w:ascii="Times New Roman" w:eastAsia="Times New Roman" w:hAnsi="Times New Roman" w:cs="Times New Roman"/>
                <w:b/>
                <w:color w:val="auto"/>
                <w:lang w:val="ru-RU"/>
              </w:rPr>
            </w:pPr>
            <w:r w:rsidRPr="001866C8">
              <w:rPr>
                <w:rFonts w:ascii="Times New Roman" w:eastAsia="Times New Roman" w:hAnsi="Times New Roman" w:cs="Times New Roman"/>
                <w:b/>
                <w:color w:val="auto"/>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Челябинской области АО "Почта России" (456684)</w:t>
            </w:r>
          </w:p>
        </w:tc>
      </w:tr>
      <w:tr w:rsidR="001B4BC6" w:rsidRPr="00F47F8F" w14:paraId="6C658163" w14:textId="77777777" w:rsidTr="001B4BC6">
        <w:trPr>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4B62FD64" w:rsidR="00E523E8" w:rsidRPr="00F47F8F" w:rsidRDefault="005C5E70" w:rsidP="00821BB0">
            <w:pPr>
              <w:widowControl w:val="0"/>
              <w:jc w:val="both"/>
              <w:rPr>
                <w:rFonts w:ascii="Times New Roman" w:eastAsia="Times New Roman" w:hAnsi="Times New Roman" w:cs="Times New Roman"/>
                <w:color w:val="auto"/>
              </w:rPr>
            </w:pPr>
            <w:r w:rsidRPr="005C5E70">
              <w:rPr>
                <w:rFonts w:ascii="Times New Roman" w:eastAsia="Times New Roman" w:hAnsi="Times New Roman" w:cs="Times New Roman"/>
                <w:b/>
                <w:color w:val="auto"/>
                <w:lang w:val="ru-RU"/>
              </w:rPr>
              <w:t>4 292 677 (Четыре миллиона двести девяносто две тысячи шестьсот семьдесят семь) рублей 90 копеек</w:t>
            </w:r>
            <w:r w:rsidR="00BA7374" w:rsidRPr="00F47F8F">
              <w:rPr>
                <w:rFonts w:ascii="Times New Roman" w:eastAsia="Times New Roman" w:hAnsi="Times New Roman" w:cs="Times New Roman"/>
                <w:b/>
                <w:color w:val="auto"/>
              </w:rPr>
              <w:t>,</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w:t>
            </w:r>
            <w:r w:rsidR="00F17A58" w:rsidRPr="00F47F8F">
              <w:rPr>
                <w:rFonts w:ascii="Times New Roman" w:eastAsia="Times New Roman" w:hAnsi="Times New Roman" w:cs="Times New Roman"/>
                <w:color w:val="auto"/>
              </w:rPr>
              <w:lastRenderedPageBreak/>
              <w:t>значение цены 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w:t>
            </w:r>
            <w:r w:rsidRPr="00F47F8F">
              <w:rPr>
                <w:rFonts w:ascii="Times New Roman" w:hAnsi="Times New Roman"/>
                <w:sz w:val="24"/>
                <w:szCs w:val="24"/>
              </w:rPr>
              <w:lastRenderedPageBreak/>
              <w:t>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sidRPr="00F47F8F">
              <w:rPr>
                <w:rFonts w:ascii="Times New Roman" w:hAnsi="Times New Roman"/>
                <w:sz w:val="24"/>
                <w:szCs w:val="24"/>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xml:space="preserve">,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w:t>
            </w:r>
            <w:r w:rsidR="004B1A38" w:rsidRPr="00F47F8F">
              <w:rPr>
                <w:rFonts w:ascii="Times New Roman" w:hAnsi="Times New Roman"/>
                <w:sz w:val="24"/>
                <w:szCs w:val="24"/>
              </w:rPr>
              <w:lastRenderedPageBreak/>
              <w:t>(операциям,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w:t>
            </w:r>
            <w:r w:rsidRPr="00F47F8F">
              <w:rPr>
                <w:rFonts w:ascii="Times New Roman" w:eastAsia="Times New Roman" w:hAnsi="Times New Roman" w:cs="Times New Roman"/>
                <w:iCs/>
                <w:color w:val="auto"/>
                <w:lang w:val="ru-RU"/>
              </w:rPr>
              <w:lastRenderedPageBreak/>
              <w:t>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w:t>
            </w:r>
            <w:r w:rsidR="00F564BA" w:rsidRPr="00F47F8F">
              <w:rPr>
                <w:rFonts w:ascii="Times New Roman" w:eastAsia="Times New Roman" w:hAnsi="Times New Roman" w:cs="Times New Roman"/>
                <w:iCs/>
                <w:color w:val="auto"/>
                <w:lang w:val="ru-RU"/>
              </w:rPr>
              <w:lastRenderedPageBreak/>
              <w:t>(машиночитаемая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lastRenderedPageBreak/>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w:t>
            </w:r>
            <w:r w:rsidRPr="00F47F8F">
              <w:rPr>
                <w:rFonts w:ascii="Times New Roman" w:hAnsi="Times New Roman" w:cs="Times New Roman"/>
                <w:color w:val="auto"/>
                <w:lang w:eastAsia="x-none"/>
              </w:rPr>
              <w:lastRenderedPageBreak/>
              <w:t xml:space="preserve">(требование о предоставлении данного документа 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887166" w:rsidRPr="00F47F8F" w14:paraId="0D4173E4" w14:textId="77777777" w:rsidTr="001B4BC6">
        <w:trPr>
          <w:jc w:val="center"/>
        </w:trPr>
        <w:tc>
          <w:tcPr>
            <w:tcW w:w="1213" w:type="dxa"/>
            <w:shd w:val="clear" w:color="auto" w:fill="auto"/>
            <w:vAlign w:val="center"/>
          </w:tcPr>
          <w:p w14:paraId="203AD67B" w14:textId="77777777" w:rsidR="00887166" w:rsidRPr="00F47F8F" w:rsidRDefault="00887166" w:rsidP="00887166">
            <w:pPr>
              <w:widowControl w:val="0"/>
              <w:numPr>
                <w:ilvl w:val="1"/>
                <w:numId w:val="16"/>
              </w:numPr>
              <w:ind w:left="7" w:firstLine="142"/>
              <w:rPr>
                <w:rFonts w:ascii="Times New Roman" w:eastAsia="Times New Roman" w:hAnsi="Times New Roman" w:cs="Times New Roman"/>
                <w:color w:val="auto"/>
                <w:lang w:val="ru-RU"/>
              </w:rPr>
            </w:pPr>
            <w:bookmarkStart w:id="20" w:name="_GoBack" w:colFirst="2" w:colLast="2"/>
          </w:p>
        </w:tc>
        <w:tc>
          <w:tcPr>
            <w:tcW w:w="2458" w:type="dxa"/>
            <w:shd w:val="clear" w:color="auto" w:fill="auto"/>
            <w:vAlign w:val="center"/>
          </w:tcPr>
          <w:p w14:paraId="0C42FD89" w14:textId="77777777" w:rsidR="00887166" w:rsidRPr="00F47F8F" w:rsidRDefault="00887166" w:rsidP="0088716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w:t>
            </w:r>
            <w:r w:rsidRPr="00F47F8F">
              <w:rPr>
                <w:rFonts w:ascii="Times New Roman" w:eastAsia="Times New Roman" w:hAnsi="Times New Roman" w:cs="Times New Roman"/>
                <w:color w:val="auto"/>
              </w:rPr>
              <w:lastRenderedPageBreak/>
              <w:t>окончания срока подачи заявок на участие в ценовом отборе</w:t>
            </w:r>
          </w:p>
        </w:tc>
        <w:tc>
          <w:tcPr>
            <w:tcW w:w="5657" w:type="dxa"/>
            <w:gridSpan w:val="2"/>
            <w:shd w:val="clear" w:color="auto" w:fill="auto"/>
            <w:vAlign w:val="center"/>
          </w:tcPr>
          <w:p w14:paraId="71D5F8E0" w14:textId="77777777" w:rsidR="00887166" w:rsidRPr="00E73C21" w:rsidRDefault="00887166" w:rsidP="00887166">
            <w:pPr>
              <w:widowControl w:val="0"/>
              <w:jc w:val="both"/>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lastRenderedPageBreak/>
              <w:t xml:space="preserve">Дата начала подачи заявок на участие в ценовом отборе: </w:t>
            </w:r>
            <w:r w:rsidRPr="00E73C21">
              <w:rPr>
                <w:rFonts w:ascii="Times New Roman" w:eastAsia="Times New Roman" w:hAnsi="Times New Roman" w:cs="Times New Roman"/>
                <w:b/>
                <w:color w:val="auto"/>
                <w:lang w:val="ru-RU"/>
              </w:rPr>
              <w:t>23.07.2026</w:t>
            </w:r>
          </w:p>
          <w:p w14:paraId="3D3DF735" w14:textId="38B9A66E" w:rsidR="00887166" w:rsidRPr="00F47F8F" w:rsidRDefault="00887166" w:rsidP="00887166">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br/>
              <w:t xml:space="preserve">Дата и время окончания подачи заявок на участие в </w:t>
            </w:r>
            <w:r w:rsidRPr="00F47F8F">
              <w:rPr>
                <w:rFonts w:ascii="Times New Roman" w:eastAsia="Times New Roman" w:hAnsi="Times New Roman" w:cs="Times New Roman"/>
                <w:color w:val="auto"/>
              </w:rPr>
              <w:lastRenderedPageBreak/>
              <w:t xml:space="preserve">ценовом отборе: </w:t>
            </w:r>
            <w:r w:rsidRPr="00E73C21">
              <w:rPr>
                <w:rFonts w:ascii="Times New Roman" w:eastAsia="Times New Roman" w:hAnsi="Times New Roman" w:cs="Times New Roman"/>
                <w:b/>
                <w:color w:val="auto"/>
                <w:lang w:val="ru-RU"/>
              </w:rPr>
              <w:t>07.08.2026 (09:00 местное время)</w:t>
            </w:r>
          </w:p>
        </w:tc>
      </w:tr>
      <w:tr w:rsidR="00887166" w:rsidRPr="00F47F8F" w14:paraId="62CFE919" w14:textId="77777777" w:rsidTr="001B4BC6">
        <w:trPr>
          <w:jc w:val="center"/>
        </w:trPr>
        <w:tc>
          <w:tcPr>
            <w:tcW w:w="1213" w:type="dxa"/>
            <w:shd w:val="clear" w:color="auto" w:fill="auto"/>
            <w:vAlign w:val="center"/>
          </w:tcPr>
          <w:p w14:paraId="2307A348" w14:textId="77777777" w:rsidR="00887166" w:rsidRPr="00F47F8F" w:rsidRDefault="00887166" w:rsidP="0088716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887166" w:rsidRPr="00F47F8F" w:rsidRDefault="00887166" w:rsidP="0088716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43AE768A" w14:textId="77777777" w:rsidR="00887166" w:rsidRPr="00E73C21" w:rsidRDefault="00887166" w:rsidP="00887166">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Pr="00E73C21">
              <w:rPr>
                <w:rFonts w:ascii="Times New Roman" w:eastAsia="Times New Roman" w:hAnsi="Times New Roman" w:cs="Times New Roman"/>
                <w:b/>
                <w:color w:val="auto"/>
                <w:lang w:val="ru-RU"/>
              </w:rPr>
              <w:t>23.07.2026</w:t>
            </w:r>
          </w:p>
          <w:p w14:paraId="17066CDE" w14:textId="77777777" w:rsidR="00887166" w:rsidRPr="00E73C21" w:rsidRDefault="00887166" w:rsidP="00887166">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Pr="00E73C21">
              <w:rPr>
                <w:rFonts w:ascii="Times New Roman" w:eastAsia="Times New Roman" w:hAnsi="Times New Roman" w:cs="Times New Roman"/>
                <w:b/>
                <w:color w:val="auto"/>
                <w:lang w:val="ru-RU"/>
              </w:rPr>
              <w:t>06.08.2026</w:t>
            </w:r>
          </w:p>
          <w:p w14:paraId="6C8B473A" w14:textId="77777777" w:rsidR="00887166" w:rsidRPr="00E73C21" w:rsidRDefault="00887166" w:rsidP="00887166">
            <w:pPr>
              <w:widowControl w:val="0"/>
              <w:rPr>
                <w:rFonts w:ascii="Times New Roman" w:eastAsia="Times New Roman" w:hAnsi="Times New Roman" w:cs="Times New Roman"/>
                <w:b/>
                <w:color w:val="auto"/>
              </w:rPr>
            </w:pPr>
          </w:p>
          <w:p w14:paraId="4B9D0B86" w14:textId="36388052" w:rsidR="00887166" w:rsidRPr="00F47F8F" w:rsidRDefault="00887166" w:rsidP="0088716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Pr>
                <w:rFonts w:ascii="Times New Roman" w:eastAsia="Times New Roman" w:hAnsi="Times New Roman" w:cs="Times New Roman"/>
                <w:color w:val="auto"/>
                <w:lang w:val="ru-RU"/>
              </w:rPr>
              <w:t xml:space="preserve"> </w:t>
            </w:r>
            <w:r w:rsidRPr="00E73C21">
              <w:rPr>
                <w:rFonts w:ascii="Times New Roman" w:eastAsia="Times New Roman" w:hAnsi="Times New Roman" w:cs="Times New Roman"/>
                <w:b/>
                <w:color w:val="auto"/>
                <w:lang w:val="ru-RU"/>
              </w:rPr>
              <w:t>03.08.2026</w:t>
            </w:r>
          </w:p>
        </w:tc>
      </w:tr>
      <w:tr w:rsidR="00887166" w:rsidRPr="00F47F8F" w14:paraId="58B41882" w14:textId="77777777" w:rsidTr="001B4BC6">
        <w:trPr>
          <w:jc w:val="center"/>
        </w:trPr>
        <w:tc>
          <w:tcPr>
            <w:tcW w:w="1213" w:type="dxa"/>
            <w:shd w:val="clear" w:color="auto" w:fill="auto"/>
            <w:vAlign w:val="center"/>
          </w:tcPr>
          <w:p w14:paraId="5D2E409E" w14:textId="77777777" w:rsidR="00887166" w:rsidRPr="00F47F8F" w:rsidRDefault="00887166" w:rsidP="0088716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6ABCDAA5" w:rsidR="00887166" w:rsidRPr="00F47F8F" w:rsidRDefault="00887166" w:rsidP="00887166">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309F9432" w:rsidR="00887166" w:rsidRPr="00F47F8F" w:rsidRDefault="00887166" w:rsidP="00887166">
            <w:pPr>
              <w:widowControl w:val="0"/>
              <w:rPr>
                <w:rFonts w:ascii="Times New Roman" w:eastAsia="Times New Roman" w:hAnsi="Times New Roman" w:cs="Times New Roman"/>
                <w:i/>
                <w:color w:val="auto"/>
              </w:rPr>
            </w:pPr>
            <w:r>
              <w:rPr>
                <w:rFonts w:ascii="Times New Roman" w:eastAsia="Times New Roman" w:hAnsi="Times New Roman" w:cs="Times New Roman"/>
                <w:b/>
                <w:color w:val="auto"/>
                <w:lang w:val="ru-RU"/>
              </w:rPr>
              <w:t>11.08.2026</w:t>
            </w:r>
          </w:p>
        </w:tc>
      </w:tr>
      <w:tr w:rsidR="00887166" w:rsidRPr="00F47F8F" w14:paraId="74BA38DA" w14:textId="77777777" w:rsidTr="001B4BC6">
        <w:trPr>
          <w:jc w:val="center"/>
        </w:trPr>
        <w:tc>
          <w:tcPr>
            <w:tcW w:w="1213" w:type="dxa"/>
            <w:shd w:val="clear" w:color="auto" w:fill="auto"/>
            <w:vAlign w:val="center"/>
          </w:tcPr>
          <w:p w14:paraId="101D19A8" w14:textId="77777777" w:rsidR="00887166" w:rsidRPr="00F47F8F" w:rsidRDefault="00887166" w:rsidP="0088716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887166" w:rsidRPr="00F47F8F" w:rsidRDefault="00887166" w:rsidP="00887166">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750503CC" w:rsidR="00887166" w:rsidRPr="00F47F8F" w:rsidRDefault="00887166" w:rsidP="00887166">
            <w:pPr>
              <w:widowControl w:val="0"/>
              <w:jc w:val="both"/>
              <w:rPr>
                <w:rFonts w:ascii="Times New Roman" w:eastAsia="Times New Roman" w:hAnsi="Times New Roman" w:cs="Times New Roman"/>
                <w:i/>
                <w:color w:val="auto"/>
              </w:rPr>
            </w:pPr>
            <w:r>
              <w:rPr>
                <w:rFonts w:ascii="Times New Roman" w:eastAsia="Times New Roman" w:hAnsi="Times New Roman" w:cs="Times New Roman"/>
                <w:b/>
                <w:color w:val="auto"/>
                <w:lang w:val="ru-RU"/>
              </w:rPr>
              <w:t>12.08.2026 (09:00 местное время)</w:t>
            </w:r>
          </w:p>
        </w:tc>
      </w:tr>
      <w:tr w:rsidR="00887166" w:rsidRPr="00F47F8F" w14:paraId="2C13537C" w14:textId="77777777" w:rsidTr="001B4BC6">
        <w:trPr>
          <w:jc w:val="center"/>
        </w:trPr>
        <w:tc>
          <w:tcPr>
            <w:tcW w:w="1213" w:type="dxa"/>
            <w:shd w:val="clear" w:color="auto" w:fill="auto"/>
            <w:vAlign w:val="center"/>
          </w:tcPr>
          <w:p w14:paraId="2723F9E2" w14:textId="77777777" w:rsidR="00887166" w:rsidRPr="00F47F8F" w:rsidRDefault="00887166" w:rsidP="00887166">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887166" w:rsidRPr="00F47F8F" w:rsidRDefault="00887166" w:rsidP="00887166">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5C6FADCE" w14:textId="77777777" w:rsidR="00887166" w:rsidRPr="00E73C21" w:rsidRDefault="00887166" w:rsidP="00887166">
            <w:pPr>
              <w:widowControl w:val="0"/>
              <w:jc w:val="both"/>
              <w:rPr>
                <w:rFonts w:ascii="Times New Roman" w:eastAsia="Times New Roman" w:hAnsi="Times New Roman" w:cs="Times New Roman"/>
                <w:b/>
                <w:color w:val="auto"/>
                <w:lang w:val="ru-RU"/>
              </w:rPr>
            </w:pPr>
          </w:p>
          <w:p w14:paraId="436BAC0D" w14:textId="77777777" w:rsidR="00887166" w:rsidRPr="00E73C21" w:rsidRDefault="00887166" w:rsidP="00887166">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14.08.2026</w:t>
            </w:r>
          </w:p>
          <w:p w14:paraId="56CDB130" w14:textId="77777777" w:rsidR="00887166" w:rsidRPr="00F47F8F" w:rsidRDefault="00887166" w:rsidP="00887166">
            <w:pPr>
              <w:widowControl w:val="0"/>
              <w:jc w:val="both"/>
              <w:rPr>
                <w:rFonts w:ascii="Times New Roman" w:eastAsia="Times New Roman" w:hAnsi="Times New Roman" w:cs="Times New Roman"/>
                <w:i/>
                <w:color w:val="auto"/>
              </w:rPr>
            </w:pPr>
          </w:p>
        </w:tc>
      </w:tr>
      <w:bookmarkEnd w:id="20"/>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Обеспечение 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0455B939"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t xml:space="preserve">Размер обеспечения исполнения договора 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7D3D08" w:rsidRPr="007D3D08">
              <w:rPr>
                <w:rFonts w:ascii="Times New Roman" w:hAnsi="Times New Roman" w:cs="Times New Roman"/>
                <w:b/>
                <w:color w:val="auto"/>
                <w:lang w:val="ru-RU"/>
              </w:rPr>
              <w:t>214 633 (Двести четырнадцать тысяч шестьсот тридцать три) рубля 89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 xml:space="preserve">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w:t>
            </w:r>
            <w:r w:rsidRPr="00F47F8F">
              <w:rPr>
                <w:color w:val="000000"/>
                <w:sz w:val="24"/>
                <w:szCs w:val="24"/>
                <w:lang w:val="ru-RU" w:eastAsia="ru-RU"/>
              </w:rPr>
              <w:lastRenderedPageBreak/>
              <w:t>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10110F"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37E5AA9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Исполнитель со стороны Заказчика (Филиал): УФПС СВЕРДЛОВСКОЙ ОБЛАСТИ</w:t>
            </w:r>
          </w:p>
          <w:p w14:paraId="2A8D2F59" w14:textId="77777777" w:rsid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 xml:space="preserve">Адрес: 620700, РОССИЯ, СВЕРДЛОВСКАЯ ОБЛ, ЕКАТЕРИНБУРГ Г, ЛЕНИНА ПР-КТ, СТРОЕНИЕ 39  </w:t>
            </w:r>
          </w:p>
          <w:p w14:paraId="00CED0E8" w14:textId="0395F2B8"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ОГРН 1197746000000</w:t>
            </w:r>
          </w:p>
          <w:p w14:paraId="19310A88"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ИНН 7724490000</w:t>
            </w:r>
          </w:p>
          <w:p w14:paraId="096DCA5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КПП филиала: 667043001</w:t>
            </w:r>
          </w:p>
          <w:p w14:paraId="53F937A6"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Р/с филиала: 40502810500280008610 в ФИЛИАЛ БАНКА ВТБ (ПАО) В Г. ЕКАТЕРИНБУРГЕ</w:t>
            </w:r>
          </w:p>
          <w:p w14:paraId="1AD8C60B"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к/с 30101810400000000952</w:t>
            </w:r>
          </w:p>
          <w:p w14:paraId="093250FE"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БИК 046577952</w:t>
            </w:r>
          </w:p>
          <w:p w14:paraId="6A59CE34" w14:textId="77777777" w:rsidR="0010110F" w:rsidRPr="0010110F" w:rsidRDefault="0010110F" w:rsidP="0010110F">
            <w:pPr>
              <w:widowControl w:val="0"/>
              <w:jc w:val="both"/>
              <w:rPr>
                <w:rFonts w:ascii="Times New Roman" w:eastAsia="Times New Roman" w:hAnsi="Times New Roman" w:cs="Times New Roman"/>
                <w:bCs/>
                <w:lang w:val="ru-RU"/>
              </w:rPr>
            </w:pPr>
            <w:r w:rsidRPr="0010110F">
              <w:rPr>
                <w:rFonts w:ascii="Times New Roman" w:eastAsia="Times New Roman" w:hAnsi="Times New Roman" w:cs="Times New Roman"/>
                <w:bCs/>
                <w:lang w:val="ru-RU"/>
              </w:rPr>
              <w:t>Тел.: +7(343)3501633; +7(343)2270459</w:t>
            </w:r>
          </w:p>
          <w:p w14:paraId="295A352C" w14:textId="124887FF" w:rsidR="009C16BF" w:rsidRPr="004004A4" w:rsidRDefault="0010110F" w:rsidP="0010110F">
            <w:pPr>
              <w:widowControl w:val="0"/>
              <w:jc w:val="both"/>
              <w:rPr>
                <w:rFonts w:ascii="Times New Roman" w:eastAsia="Times New Roman" w:hAnsi="Times New Roman" w:cs="Times New Roman"/>
                <w:lang w:val="ru-RU"/>
              </w:rPr>
            </w:pPr>
            <w:r w:rsidRPr="0010110F">
              <w:rPr>
                <w:rFonts w:ascii="Times New Roman" w:eastAsia="Times New Roman" w:hAnsi="Times New Roman" w:cs="Times New Roman"/>
                <w:bCs/>
                <w:lang w:val="en-US"/>
              </w:rPr>
              <w:t>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mail</w:t>
            </w:r>
            <w:r w:rsidRPr="004004A4">
              <w:rPr>
                <w:rFonts w:ascii="Times New Roman" w:eastAsia="Times New Roman" w:hAnsi="Times New Roman" w:cs="Times New Roman"/>
                <w:bCs/>
                <w:lang w:val="ru-RU"/>
              </w:rPr>
              <w:t xml:space="preserve">: </w:t>
            </w:r>
            <w:r w:rsidRPr="0010110F">
              <w:rPr>
                <w:rFonts w:ascii="Times New Roman" w:eastAsia="Times New Roman" w:hAnsi="Times New Roman" w:cs="Times New Roman"/>
                <w:bCs/>
                <w:lang w:val="en-US"/>
              </w:rPr>
              <w:t>office</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w:t>
            </w:r>
            <w:r w:rsidRPr="004004A4">
              <w:rPr>
                <w:rFonts w:ascii="Times New Roman" w:eastAsia="Times New Roman" w:hAnsi="Times New Roman" w:cs="Times New Roman"/>
                <w:bCs/>
                <w:lang w:val="ru-RU"/>
              </w:rPr>
              <w:t>96@</w:t>
            </w:r>
            <w:r w:rsidRPr="0010110F">
              <w:rPr>
                <w:rFonts w:ascii="Times New Roman" w:eastAsia="Times New Roman" w:hAnsi="Times New Roman" w:cs="Times New Roman"/>
                <w:bCs/>
                <w:lang w:val="en-US"/>
              </w:rPr>
              <w:t>russianpost</w:t>
            </w:r>
            <w:r w:rsidRPr="004004A4">
              <w:rPr>
                <w:rFonts w:ascii="Times New Roman" w:eastAsia="Times New Roman" w:hAnsi="Times New Roman" w:cs="Times New Roman"/>
                <w:bCs/>
                <w:lang w:val="ru-RU"/>
              </w:rPr>
              <w:t>.</w:t>
            </w:r>
            <w:r w:rsidRPr="0010110F">
              <w:rPr>
                <w:rFonts w:ascii="Times New Roman" w:eastAsia="Times New Roman" w:hAnsi="Times New Roman" w:cs="Times New Roman"/>
                <w:bCs/>
                <w:lang w:val="en-US"/>
              </w:rPr>
              <w:t>ru</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4004A4"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3F2B8724" w:rsidR="00147ED3" w:rsidRPr="009D0A2F" w:rsidRDefault="00147ED3" w:rsidP="00F47F8F">
      <w:pPr>
        <w:widowControl w:val="0"/>
        <w:ind w:left="20" w:firstLine="689"/>
        <w:jc w:val="both"/>
        <w:outlineLvl w:val="0"/>
        <w:rPr>
          <w:rFonts w:ascii="Times New Roman" w:hAnsi="Times New Roman" w:cs="Times New Roman"/>
          <w:color w:val="auto"/>
          <w:lang w:val="ru-RU"/>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w:t>
      </w:r>
      <w:r w:rsidR="00A96FBE">
        <w:rPr>
          <w:rFonts w:ascii="Times New Roman" w:hAnsi="Times New Roman" w:cs="Times New Roman"/>
          <w:color w:val="auto"/>
          <w:lang w:val="ru-RU"/>
        </w:rPr>
        <w:t>Метод сопоставимых рыночных цен (анализа рынка)</w:t>
      </w:r>
      <w:r w:rsidR="009D0A2F">
        <w:rPr>
          <w:rFonts w:ascii="Times New Roman" w:hAnsi="Times New Roman" w:cs="Times New Roman"/>
          <w:color w:val="auto"/>
          <w:lang w:val="ru-RU"/>
        </w:rPr>
        <w:t>.</w:t>
      </w:r>
    </w:p>
    <w:p w14:paraId="2A4827B1" w14:textId="0C4F4D7C" w:rsidR="00D9258C" w:rsidRPr="00D9258C"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Pr="009D0A2F">
        <w:rPr>
          <w:rFonts w:ascii="Times New Roman" w:eastAsia="Calibri" w:hAnsi="Times New Roman" w:cs="Times New Roman"/>
          <w:color w:val="auto"/>
          <w:lang w:val="ru-RU" w:eastAsia="en-US"/>
        </w:rPr>
        <w:t xml:space="preserve">     </w:t>
      </w:r>
      <w:r w:rsidR="00147ED3" w:rsidRPr="009D0A2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9D0A2F">
        <w:rPr>
          <w:rFonts w:ascii="Times New Roman" w:hAnsi="Times New Roman" w:cs="Times New Roman"/>
          <w:color w:val="auto"/>
        </w:rPr>
        <w:t>использована ценовая</w:t>
      </w:r>
      <w:r w:rsidR="009D0A2F" w:rsidRPr="009D0A2F">
        <w:rPr>
          <w:rFonts w:ascii="Times New Roman" w:hAnsi="Times New Roman" w:cs="Times New Roman"/>
        </w:rPr>
        <w:t xml:space="preserve"> информация,</w:t>
      </w:r>
      <w:r w:rsidR="009D0A2F" w:rsidRPr="009D0A2F">
        <w:rPr>
          <w:rFonts w:ascii="Times New Roman" w:hAnsi="Times New Roman" w:cs="Times New Roman"/>
          <w:lang w:val="ru-RU"/>
        </w:rPr>
        <w:t xml:space="preserve"> </w:t>
      </w:r>
      <w:r w:rsidR="009D0A2F" w:rsidRPr="009D0A2F">
        <w:rPr>
          <w:rFonts w:ascii="Times New Roman" w:hAnsi="Times New Roman" w:cs="Times New Roman"/>
          <w:color w:val="auto"/>
        </w:rPr>
        <w:t xml:space="preserve">полученная по запросу заказчика у поставщиков, осуществляющих поставку идентичных товаров, планируемых к закупке.   </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6B4A2CD4"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D03C7" w14:textId="77777777" w:rsidR="00B22660" w:rsidRDefault="00B22660">
      <w:r>
        <w:separator/>
      </w:r>
    </w:p>
  </w:endnote>
  <w:endnote w:type="continuationSeparator" w:id="0">
    <w:p w14:paraId="568F3762" w14:textId="77777777" w:rsidR="00B22660" w:rsidRDefault="00B22660">
      <w:r>
        <w:continuationSeparator/>
      </w:r>
    </w:p>
  </w:endnote>
  <w:endnote w:type="continuationNotice" w:id="1">
    <w:p w14:paraId="452B789A" w14:textId="77777777" w:rsidR="00B22660" w:rsidRDefault="00B226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846D3" w14:textId="77777777" w:rsidR="00B22660" w:rsidRDefault="00B22660">
      <w:r>
        <w:separator/>
      </w:r>
    </w:p>
  </w:footnote>
  <w:footnote w:type="continuationSeparator" w:id="0">
    <w:p w14:paraId="7EC8F1B8" w14:textId="77777777" w:rsidR="00B22660" w:rsidRDefault="00B22660">
      <w:r>
        <w:continuationSeparator/>
      </w:r>
    </w:p>
  </w:footnote>
  <w:footnote w:type="continuationNotice" w:id="1">
    <w:p w14:paraId="3552C708" w14:textId="77777777" w:rsidR="00B22660" w:rsidRDefault="00B22660"/>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10F"/>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6C8"/>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9FE"/>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31D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1D2A"/>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10F"/>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4A4"/>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B78E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4E13"/>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E70"/>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159A"/>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AAE"/>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3D08"/>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166"/>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A2F"/>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6C0"/>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6FBE"/>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660"/>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4CF1"/>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56"/>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442"/>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58C"/>
    <w:rsid w:val="00D92916"/>
    <w:rsid w:val="00D92AE5"/>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EBFBC-7DD6-4D5A-B39B-45B1B183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5726</Words>
  <Characters>32639</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38289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48</cp:revision>
  <cp:lastPrinted>2020-02-03T09:51:00Z</cp:lastPrinted>
  <dcterms:created xsi:type="dcterms:W3CDTF">2025-08-18T06:03:00Z</dcterms:created>
  <dcterms:modified xsi:type="dcterms:W3CDTF">2026-07-21T13:47:00Z</dcterms:modified>
</cp:coreProperties>
</file>