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10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media/image1.png" ContentType="image/png"/>
  <Override PartName="/word/media/image2.png" ContentType="image/png"/>
  <Override PartName="/word/footer12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4253" w:hanging="0"/>
        <w:jc w:val="right"/>
        <w:rPr/>
      </w:pPr>
      <w:r>
        <w:rPr/>
        <w:t xml:space="preserve">Приложение № </w:t>
      </w:r>
      <w:r>
        <w:rPr/>
        <w:t>1</w:t>
      </w:r>
      <w:r>
        <w:rPr/>
        <w:t xml:space="preserve"> к ТЗ на выполнение работ </w:t>
      </w:r>
    </w:p>
    <w:p>
      <w:pPr>
        <w:pStyle w:val="NoSpacing"/>
        <w:ind w:left="3828" w:hanging="0"/>
        <w:jc w:val="right"/>
        <w:rPr/>
      </w:pPr>
      <w:r>
        <w:rPr/>
        <w:t>по капитальному ремонту гидроагрегата ст. №1</w:t>
      </w:r>
    </w:p>
    <w:p>
      <w:pPr>
        <w:pStyle w:val="NoSpacing"/>
        <w:ind w:left="4253" w:hanging="0"/>
        <w:jc w:val="right"/>
        <w:rPr/>
      </w:pPr>
      <w:r>
        <w:rPr>
          <w:lang w:eastAsia="en-US"/>
        </w:rPr>
        <w:t>Филиала ПАО «РусГидро» - «Жигулевская ГЭС»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304" w:right="924" w:gutter="0" w:header="0" w:top="539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оформлению и составлению документации по ценообразованию 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оформлению и составлению</w:t>
      </w:r>
    </w:p>
    <w:p>
      <w:pPr>
        <w:pStyle w:val="ConsPlusNormal1"/>
        <w:widowControl/>
        <w:tabs>
          <w:tab w:val="clear" w:pos="709"/>
          <w:tab w:val="left" w:pos="1620" w:leader="none"/>
        </w:tabs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сметной документации на работы по программе ремонтов</w:t>
      </w:r>
    </w:p>
    <w:p>
      <w:pPr>
        <w:pStyle w:val="ConsPlusNormal1"/>
        <w:widowControl/>
        <w:tabs>
          <w:tab w:val="clear" w:pos="709"/>
          <w:tab w:val="left" w:pos="1620" w:leader="none"/>
        </w:tabs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нормативов ценообразования, не зарегистрированных и не вошедших в ФРСН, </w:t>
      </w:r>
      <w:r>
        <w:rPr>
          <w:rFonts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4"/>
          <w:szCs w:val="24"/>
          <w:u w:val="single"/>
        </w:rPr>
        <w:t>должна быть не ниже 2024.2.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дополнений, Методикой применения сметных норм, утвержденной приказом Министерства строительства и жилищно-коммунального хозяйства Российской Федерации от 14 июля 2022 г. N 571/пр, Приказом ПАО «РусГидро» от 22.11.2022 №891 «Об утверждении Единой методики установления требований и критериев (отбора, оценки) при подготовке в проведении закупок в Группе РусГидро», с учетом изменений и дополнений; Приказом ПАО «РусГидро» от 23.11.2022г. №893 «Об утверждении Единой методики формирования плановой цены на закупаемую продукцию для организаций группы РусГидро», с учетом изменений и дополнений (далее – Методика ПЦ).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Сметная документация на ремонт энергетического оборудования составляется с применением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Энергоремонт», с учетом дополнений и изменений (БЦ с учетом Доп.1-12)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Поправочный индекс к Базовым ценам учитывать в размере, не превышающем предельный индекс, установленный ПАО «РусГидро»: для работ, выполняемых в 2027 году, применять поправочные индексы к БЦ в размере, не превышающем 2,46 с начислением индекса-дефлятора на 2027 год в размере 7,64%</w:t>
      </w:r>
    </w:p>
    <w:p>
      <w:pPr>
        <w:pStyle w:val="ConsPlusNormal1"/>
        <w:widowControl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расценок на ремонт энергетического оборудования в БЦ, а также при составлении локальных смет (далее – ЛС) на ремонт зданий и сооружений, применять сметно-нормативную базу «ФСНБ-2022» с изм. 1-15.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851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Определение сметной стоимости работ при ремонте, реконструкции и техническом перевооружении выполняется </w:t>
      </w:r>
      <w:bookmarkStart w:id="0" w:name="_Hlk80987880"/>
      <w:r>
        <w:rPr>
          <w:rFonts w:cs="Arial" w:ascii="Times New Roman" w:hAnsi="Times New Roman"/>
          <w:b/>
          <w:sz w:val="24"/>
          <w:szCs w:val="24"/>
        </w:rPr>
        <w:t>Ресурсно-индексным методом</w:t>
      </w:r>
      <w:r>
        <w:rPr>
          <w:rFonts w:cs="Arial" w:ascii="Times New Roman" w:hAnsi="Times New Roman"/>
          <w:sz w:val="24"/>
          <w:szCs w:val="24"/>
        </w:rPr>
        <w:t xml:space="preserve"> 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bookmarkEnd w:id="0"/>
      <w:r>
        <w:rPr>
          <w:rFonts w:cs="Arial" w:ascii="Times New Roman" w:hAnsi="Times New Roman"/>
          <w:sz w:val="24"/>
          <w:szCs w:val="24"/>
        </w:rPr>
        <w:t xml:space="preserve">3 квартале 2025. 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определении сметной стоимости </w:t>
      </w:r>
      <w:r>
        <w:rPr>
          <w:rFonts w:ascii="Times New Roman" w:hAnsi="Times New Roman"/>
          <w:b/>
          <w:sz w:val="24"/>
          <w:szCs w:val="24"/>
        </w:rPr>
        <w:t>ресурсно-индексным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методом</w:t>
      </w:r>
      <w:r>
        <w:rPr>
          <w:rFonts w:ascii="Times New Roman" w:hAnsi="Times New Roman"/>
          <w:sz w:val="24"/>
          <w:szCs w:val="24"/>
        </w:rPr>
        <w:t xml:space="preserve">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 индексы к отдельным строительным ресурсам, индексы к группам строительных ресурсов</w:t>
      </w:r>
      <w:r>
        <w:rPr>
          <w:rFonts w:ascii="Times New Roman" w:hAnsi="Times New Roman"/>
          <w:b/>
          <w:sz w:val="24"/>
          <w:szCs w:val="24"/>
        </w:rPr>
        <w:t xml:space="preserve">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индексы изменения сметных цен </w:t>
      </w:r>
      <w:r>
        <w:rPr>
          <w:rFonts w:ascii="Times New Roman" w:hAnsi="Times New Roman"/>
          <w:b/>
          <w:sz w:val="24"/>
          <w:szCs w:val="24"/>
        </w:rPr>
        <w:t>на перевозку грузов</w:t>
      </w:r>
      <w:r>
        <w:rPr>
          <w:rFonts w:ascii="Times New Roman" w:hAnsi="Times New Roman"/>
          <w:sz w:val="24"/>
          <w:szCs w:val="24"/>
        </w:rPr>
        <w:t xml:space="preserve">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индексы изменения сметной </w:t>
      </w:r>
      <w:r>
        <w:rPr>
          <w:rFonts w:ascii="Times New Roman" w:hAnsi="Times New Roman"/>
          <w:b/>
          <w:sz w:val="24"/>
          <w:szCs w:val="24"/>
        </w:rPr>
        <w:t>стоимости оборудования</w:t>
      </w:r>
      <w:r>
        <w:rPr>
          <w:rFonts w:ascii="Times New Roman" w:hAnsi="Times New Roman"/>
          <w:sz w:val="24"/>
          <w:szCs w:val="24"/>
        </w:rPr>
        <w:t xml:space="preserve"> – применяются к сметной стоимости оборудования;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индексы изменения сметной стоимости, рассчитываемые для применения к сметной стоимости отдельных видов </w:t>
      </w:r>
      <w:r>
        <w:rPr>
          <w:rFonts w:ascii="Times New Roman" w:hAnsi="Times New Roman"/>
          <w:b/>
          <w:sz w:val="24"/>
          <w:szCs w:val="24"/>
        </w:rPr>
        <w:t>прочих работ и затрат.</w:t>
      </w:r>
    </w:p>
    <w:p>
      <w:pPr>
        <w:pStyle w:val="ConsPlusNormal1"/>
        <w:numPr>
          <w:ilvl w:val="0"/>
          <w:numId w:val="8"/>
        </w:numPr>
        <w:tabs>
          <w:tab w:val="clear" w:pos="709"/>
          <w:tab w:val="left" w:pos="426" w:leader="none"/>
          <w:tab w:val="left" w:pos="993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пересчета сметной стоимости в прогнозный уровень цен применяются текущие индексы – дефляторы в соответствии с прогнозом Министерства экономического развития РФ (ИПЦ базовый, по строке – Показатель инфляции / в среднем за год), определенные в установленном порядке для Заказчика в соответствии с планируемым периодом выполнения работ в размере на 2027г. - 1,0764 . </w:t>
      </w:r>
    </w:p>
    <w:p>
      <w:pPr>
        <w:pStyle w:val="ConsPlusNormal1"/>
        <w:tabs>
          <w:tab w:val="clear" w:pos="709"/>
          <w:tab w:val="left" w:pos="426" w:leader="none"/>
          <w:tab w:val="left" w:pos="993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планируемый период выполнения работ составляет до одного календарного года 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(ИПЦ базовый, по строке - Показатели инфляции / в среднем за год ) установленного в целом за год:</w:t>
      </w:r>
    </w:p>
    <w:p>
      <w:pPr>
        <w:pStyle w:val="ConsPlusNormal1"/>
        <w:tabs>
          <w:tab w:val="clear" w:pos="709"/>
          <w:tab w:val="left" w:pos="426" w:leader="none"/>
          <w:tab w:val="left" w:pos="993" w:leader="none"/>
        </w:tabs>
        <w:spacing w:before="40" w:after="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И</m:t>
              </m:r>
            </m:e>
            <m:sub>
              <m:r>
                <w:rPr>
                  <w:rFonts w:ascii="Cambria Math" w:hAnsi="Cambria Math"/>
                </w:rPr>
                <m:t xml:space="preserve">инфл</m:t>
              </m:r>
              <m:r>
                <w:rPr>
                  <w:rFonts w:ascii="Cambria Math" w:hAnsi="Cambria Math"/>
                </w:rPr>
                <m:t xml:space="preserve">.</m:t>
              </m:r>
              <m:r>
                <w:rPr>
                  <w:rFonts w:ascii="Cambria Math" w:hAnsi="Cambria Math"/>
                </w:rPr>
                <m:t xml:space="preserve">мес</m:t>
              </m:r>
            </m:sub>
          </m:sSub>
          <m:r>
            <w:rPr>
              <w:rFonts w:ascii="Cambria Math" w:hAnsi="Cambria Math"/>
            </w:rPr>
            <m:t xml:space="preserve">=</m:t>
          </m:r>
          <m:rad>
            <m:deg>
              <m:r>
                <w:rPr>
                  <w:rFonts w:ascii="Cambria Math" w:hAnsi="Cambria Math"/>
                </w:rPr>
                <m:t xml:space="preserve">12</m:t>
              </m:r>
            </m:deg>
            <m:e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инфлгод</m:t>
                  </m:r>
                </m:sub>
              </m:sSub>
            </m:e>
          </m:rad>
        </m:oMath>
      </m:oMathPara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 мес – индекс прогнозной инфляции на один месяц, полученное значение округляется до 4 знаков после запятой;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инфл год – индекс-дефлятор Министерства экономического развития Российской Федерации (ИПЦ базовый, по строке - Показатели инфляции / в среднем за год).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определения размера индекса прогнозной инфляции периодом в несколько месяцев,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работ, принимается среднее значение индекса-дефлятора, между индексом прогнозной инфляции на месяц начала производства работ и индексом на месяц окончания производства работ:</w:t>
      </w:r>
    </w:p>
    <w:p>
      <w:pPr>
        <w:pStyle w:val="Style36"/>
        <w:numPr>
          <w:ilvl w:val="0"/>
          <w:numId w:val="0"/>
        </w:numPr>
        <w:tabs>
          <w:tab w:val="clear" w:pos="709"/>
          <w:tab w:val="left" w:pos="708" w:leader="none"/>
        </w:tabs>
        <w:ind w:left="0" w:hanging="0"/>
        <w:jc w:val="center"/>
        <w:rPr>
          <w:rFonts w:ascii="Times New Roman" w:hAnsi="Times New Roman" w:eastAsia="Times New Roman" w:cs="Times New Roman"/>
          <w:szCs w:val="24"/>
          <w:lang w:eastAsia="ru-RU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инфл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пер</m:t>
            </m:r>
            <m: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И</m:t>
                    </m:r>
                  </m:e>
                  <m:sub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инфл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  <m:r>
                          <w:rPr>
                            <w:rFonts w:ascii="Cambria Math" w:hAnsi="Cambria Math"/>
                          </w:rPr>
                          <m:t xml:space="preserve">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eastAsia="Times New Roman" w:cs="Times New Roman" w:ascii="Times New Roman" w:hAnsi="Times New Roman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Cs w:val="24"/>
          <w:lang w:eastAsia="ru-RU"/>
        </w:rPr>
        <w:t>(1)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 пер – индекс прогнозной инфляции для периода выполнения работ, полученное значение округляется до 4 знаков после запятой.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срок выполнения работ превышает календарный год, то индекс прогнозной инфляции для второго и последующих годов, определяется с учетом установленных договором сроков строительства по формуле: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Цд=С * Иинфл     (2)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Цд – стоимость договора (этапа);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- сметная стоимость подрядных работ, подлежащих выполнению подрядчиком;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Иинф – индекс инфляции, рассчитываемый по формуле: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инф = Д1*К1+Д2*К2+...+Дi*Кi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Д1, Д2, Дi - доля сметной стоимости работ соответственно в 1-й, 2-й, 3-й, i-ый годы строительства;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- год завершения строительства объекта;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К1 -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К2 -индекс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Кi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 (пример расчета индекса-дефлятора приведен в Приложении 3 к настоящим Требованиям).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(2);</w:t>
      </w:r>
    </w:p>
    <w:p>
      <w:pPr>
        <w:pStyle w:val="ConsPlusNormal1"/>
        <w:tabs>
          <w:tab w:val="clear" w:pos="709"/>
          <w:tab w:val="left" w:pos="426" w:leader="none"/>
          <w:tab w:val="left" w:pos="993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если договором предусмотрен график выполнения работ с разбивкой на этапы (дата начала работ по этапу – дата окончания работ по этапу), дефлятор применяется в соответствии с таким графиком, и рассчитывается на каждый этап, в соответствии с формулой (2).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i/>
          <w:sz w:val="24"/>
          <w:szCs w:val="24"/>
        </w:rPr>
        <w:t>отсутствия</w:t>
      </w:r>
      <w:r>
        <w:rPr>
          <w:rFonts w:ascii="Times New Roman" w:hAnsi="Times New Roman"/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информации о сметных ценах в ФГИС ЦС и ФССЦ по материальным ресурсам и оборудованию, их сметная цена определяется по наиболее экономичному варианту, определенному на основании сбора информации о текущих ценах (конъюнктурный анализ) в соответствии с Методикой определения сметной стоимости (Приказ Минстроя России от 04.08.2020г. №421/пр, п.13). Результаты конъюнктурного анализа оформляются в соответствии с формой, приведенной в Приложении №1 к Методике.</w:t>
      </w:r>
    </w:p>
    <w:p>
      <w:pPr>
        <w:pStyle w:val="ConsPlusNormal1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ConsPlusNormal1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Транспортные затраты определяются следующими методами: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доставке материальных ресурсов: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nsPlusNormal1"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отсутствии информации во ФГИС ЦС транспортные затраты могут определяться по результатам конъюнктурного анализа в соответствии с пп. 13-21 Методики определения сметной стоимости (Приказ Минстроя России от 04.08.2020г. №421/пр). Результаты конъюнктурного анализа оформляются в соответствии с формой, приведенной в Приложении №1 к Методике.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доставке оборудования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widowControl/>
        <w:numPr>
          <w:ilvl w:val="0"/>
          <w:numId w:val="11"/>
        </w:numPr>
        <w:tabs>
          <w:tab w:val="clear" w:pos="709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отсутствии информации во ФГИС ЦС транспортные затраты могут определяться по результатам конъюнктурного анализа в соответствии с пп. 13-21 Методики определения сметной стоимости (Приказ Минстроя России от 04.08.2020г. №421/пр). Результаты конъюнктурного анализа оформляются в соответствии с формой, приведенной в Приложении №1 к Методике.</w:t>
      </w:r>
    </w:p>
    <w:p>
      <w:pPr>
        <w:pStyle w:val="ConsPlusNormal1"/>
        <w:numPr>
          <w:ilvl w:val="0"/>
          <w:numId w:val="11"/>
        </w:numPr>
        <w:tabs>
          <w:tab w:val="clear" w:pos="709"/>
          <w:tab w:val="left" w:pos="284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оборудования (при невозможности определить затраты</w:t>
      </w:r>
      <w:bookmarkStart w:id="1" w:name="_Hlk86255346"/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"/>
      <w:r>
        <w:rPr>
          <w:rFonts w:cs="Times New Roman" w:ascii="Times New Roman" w:hAnsi="Times New Roman"/>
          <w:sz w:val="24"/>
          <w:szCs w:val="24"/>
        </w:rPr>
        <w:t>указанными выше способами), по решению заказчика.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2% -для материальных ресурсов (кроме металлоконструкций);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0,75%- для металлоконструкций;</w:t>
      </w:r>
    </w:p>
    <w:p>
      <w:pPr>
        <w:pStyle w:val="ConsPlusNormal1"/>
        <w:numPr>
          <w:ilvl w:val="0"/>
          <w:numId w:val="10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1,2% - для оборудования.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по наиболее экономичному варианту, определенному на основании сбора информации о текущих ценах (конъюнктурный анализ) в соответствии с Методикой определения сметной стоимости (Приказ Минстроя России от 04.08.2020г. №421/пр, п.13), и включаются в Главу 9 ССРСС. Результаты конъюнктурного анализа оформляются в соответствии с формой, приведенной в Приложении №1 к Методике.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ListParagraph"/>
        <w:numPr>
          <w:ilvl w:val="0"/>
          <w:numId w:val="8"/>
        </w:numPr>
        <w:tabs>
          <w:tab w:val="left" w:pos="284" w:leader="none"/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Затраты</w:t>
      </w:r>
      <w:r>
        <w:rPr>
          <w:rFonts w:ascii="Times New Roman" w:hAnsi="Times New Roman"/>
          <w:sz w:val="24"/>
          <w:szCs w:val="24"/>
        </w:rPr>
        <w:t xml:space="preserve"> на возведение временных зданий и сооружений учитывать в том случае, если они указаны в ПОС, Технических требованиях. Размер средств на устройство и ликвидацию временных зданий и сооружений определяются одним из способов: нормативным методом с применением нормативов затрат на строительство титульных временных зданий и сооружений, сведения о которых включены в ФРСН, расчетным методом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Резерв</w:t>
      </w:r>
      <w:r>
        <w:rPr>
          <w:rFonts w:ascii="Times New Roman" w:hAnsi="Times New Roman"/>
          <w:sz w:val="24"/>
          <w:szCs w:val="24"/>
        </w:rPr>
        <w:t xml:space="preserve"> средств на непредвиденные работы и затраты определять в Технических 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>
      <w:pPr>
        <w:pStyle w:val="ListParagraph"/>
        <w:numPr>
          <w:ilvl w:val="0"/>
          <w:numId w:val="8"/>
        </w:numPr>
        <w:tabs>
          <w:tab w:val="left" w:pos="284" w:leader="none"/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ЛСР</w:t>
      </w:r>
      <w:r>
        <w:rPr>
          <w:rFonts w:ascii="Times New Roman" w:hAnsi="Times New Roman"/>
          <w:sz w:val="24"/>
          <w:szCs w:val="24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ListParagraph"/>
        <w:numPr>
          <w:ilvl w:val="0"/>
          <w:numId w:val="8"/>
        </w:numPr>
        <w:tabs>
          <w:tab w:val="left" w:pos="284" w:leader="none"/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ЛСР</w:t>
      </w:r>
      <w:r>
        <w:rPr>
          <w:rFonts w:ascii="Times New Roman" w:hAnsi="Times New Roman"/>
          <w:sz w:val="24"/>
          <w:szCs w:val="24"/>
        </w:rP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ListParagraph"/>
        <w:numPr>
          <w:ilvl w:val="0"/>
          <w:numId w:val="8"/>
        </w:numPr>
        <w:tabs>
          <w:tab w:val="left" w:pos="284" w:leader="none"/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Сметная</w:t>
      </w:r>
      <w:r>
        <w:rPr>
          <w:rFonts w:ascii="Times New Roman" w:hAnsi="Times New Roman"/>
          <w:sz w:val="24"/>
          <w:szCs w:val="24"/>
        </w:rPr>
        <w:t xml:space="preserve">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. Методики определения сметной стоимости строительства: 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993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993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ConsPlusNormal1"/>
        <w:tabs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работы оформляются отдельными локальными сметами в соответствии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Стоимость</w:t>
      </w:r>
      <w:r>
        <w:rPr>
          <w:rFonts w:ascii="Times New Roman" w:hAnsi="Times New Roman"/>
          <w:sz w:val="24"/>
          <w:szCs w:val="24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rFonts w:ascii="Times New Roman" w:hAnsi="Times New Roman"/>
          <w:color w:val="000000"/>
          <w:sz w:val="24"/>
          <w:szCs w:val="24"/>
        </w:rPr>
        <w:t>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перевооружению).</w:t>
      </w:r>
      <w:r>
        <w:rPr>
          <w:rFonts w:ascii="Times New Roman" w:hAnsi="Times New Roman"/>
          <w:sz w:val="24"/>
          <w:szCs w:val="24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 - 700 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проживание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– 500 </w:t>
      </w:r>
      <w:r>
        <w:rPr>
          <w:rFonts w:cs="Times New Roman" w:ascii="Times New Roman" w:hAnsi="Times New Roman"/>
          <w:sz w:val="24"/>
          <w:szCs w:val="24"/>
        </w:rPr>
        <w:t>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ConsPlusNormal1"/>
        <w:tabs>
          <w:tab w:val="left" w:pos="284" w:leader="none"/>
          <w:tab w:val="left" w:pos="709" w:leader="none"/>
          <w:tab w:val="left" w:pos="851" w:leader="none"/>
        </w:tabs>
        <w:spacing w:before="40" w:after="40"/>
        <w:ind w:firstLine="709"/>
        <w:jc w:val="both"/>
        <w:rPr>
          <w:rFonts w:ascii="Times New Roman" w:hAnsi="Times New Roman" w:cs="Times New Roman"/>
          <w:b/>
          <w:i/>
          <w:i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 w:themeColor="text1"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  <w:r>
        <w:rPr>
          <w:rFonts w:ascii="Times New Roman" w:hAnsi="Times New Roman"/>
          <w:sz w:val="24"/>
          <w:szCs w:val="24"/>
          <w:highlight w:val="lightGray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highlight w:val="lightGray"/>
        </w:rPr>
        <w:t>локальных</w:t>
      </w:r>
      <w:r>
        <w:rPr>
          <w:rFonts w:ascii="Times New Roman" w:hAnsi="Times New Roman"/>
          <w:sz w:val="24"/>
          <w:szCs w:val="24"/>
          <w:highlight w:val="lightGray"/>
        </w:rPr>
        <w:t xml:space="preserve"> сметных расчетах построчные и итоговые суммы 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округлять: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cs="Times New Roman" w:ascii="Times New Roman" w:hAnsi="Times New Roman"/>
          <w:sz w:val="24"/>
          <w:szCs w:val="24"/>
          <w:highlight w:val="lightGray"/>
        </w:rPr>
        <w:t>при ресурсно-индексном и ресурсном методах, а также в сметных расчетах на отдельные виды затрат - до двух знаков после запятой (до копеек);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cs="Times New Roman" w:ascii="Times New Roman" w:hAnsi="Times New Roman"/>
          <w:sz w:val="24"/>
          <w:szCs w:val="24"/>
          <w:highlight w:val="lightGray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Выходные</w:t>
      </w:r>
      <w:r>
        <w:rPr>
          <w:rFonts w:ascii="Times New Roman" w:hAnsi="Times New Roman"/>
          <w:sz w:val="24"/>
          <w:szCs w:val="24"/>
        </w:rPr>
        <w:t xml:space="preserve"> формы сметных расчетов должны соответствовать Образцу согласно Приложению 1.5.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rmal1"/>
        <w:widowControl/>
        <w:numPr>
          <w:ilvl w:val="1"/>
          <w:numId w:val="8"/>
        </w:numPr>
        <w:tabs>
          <w:tab w:val="left" w:pos="709" w:leader="none"/>
          <w:tab w:val="left" w:pos="851" w:leader="none"/>
          <w:tab w:val="left" w:pos="1560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</w:t>
      </w:r>
      <w:r>
        <w:rPr>
          <w:rFonts w:cs="Times New Roman" w:ascii="Times New Roman" w:hAnsi="Times New Roman"/>
          <w:color w:val="000000"/>
          <w:sz w:val="24"/>
          <w:szCs w:val="24"/>
        </w:rPr>
        <w:t>сметной</w:t>
      </w:r>
      <w:r>
        <w:rPr>
          <w:rFonts w:cs="Times New Roman" w:ascii="Times New Roman" w:hAnsi="Times New Roman"/>
          <w:sz w:val="24"/>
          <w:szCs w:val="24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>
      <w:pPr>
        <w:pStyle w:val="ConsPlusNormal1"/>
        <w:widowControl/>
        <w:numPr>
          <w:ilvl w:val="1"/>
          <w:numId w:val="8"/>
        </w:numPr>
        <w:tabs>
          <w:tab w:val="left" w:pos="709" w:leader="none"/>
          <w:tab w:val="left" w:pos="851" w:leader="none"/>
          <w:tab w:val="left" w:pos="1560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предоставляемым грузоподъемным механизмам, учтенным в составе сметных норм и расценок: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Исключать из норм и расценок предоставляемые грузоподъемные механизмы. </w:t>
      </w:r>
    </w:p>
    <w:p>
      <w:pPr>
        <w:pStyle w:val="ConsPlusNormal1"/>
        <w:widowControl/>
        <w:tabs>
          <w:tab w:val="left" w:pos="709" w:leader="none"/>
          <w:tab w:val="left" w:pos="851" w:leader="none"/>
          <w:tab w:val="left" w:pos="1418" w:leader="none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предоставляемой электроэнергии (в том числе, в составе стоимости машино-часа):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Рассчитанная</w:t>
      </w:r>
      <w:r>
        <w:rPr>
          <w:rFonts w:ascii="Times New Roman" w:hAnsi="Times New Roman"/>
          <w:sz w:val="24"/>
          <w:szCs w:val="24"/>
        </w:rPr>
        <w:t xml:space="preserve">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. Рекомендации по расчету суммы возврата стоимости электрической энергии указаны в приложении 4 к настоящим требованиям. 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 пересчета в текущие цены применять аналогичный примененному в сметной документации.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предоставляемому сжатому воздуху: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норм и расценок исключать стоимость компрессоров. 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предоставляемой воде: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норм и расценок исключать стоимость воды.</w:t>
      </w:r>
    </w:p>
    <w:p>
      <w:pPr>
        <w:pStyle w:val="ConsPlusNormal1"/>
        <w:widowControl/>
        <w:numPr>
          <w:ilvl w:val="2"/>
          <w:numId w:val="8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Учтенные в составе накладных расходов: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пожарной и сторожевой охраны (удельный вес статьи затрат в накладных расходах - 2,01%);</w:t>
      </w:r>
    </w:p>
    <w:p>
      <w:pPr>
        <w:pStyle w:val="ConsPlusNormal1"/>
        <w:numPr>
          <w:ilvl w:val="0"/>
          <w:numId w:val="9"/>
        </w:numPr>
        <w:tabs>
          <w:tab w:val="left" w:pos="709" w:leader="none"/>
          <w:tab w:val="left" w:pos="851" w:leader="none"/>
          <w:tab w:val="left" w:pos="170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расходы</w:t>
      </w:r>
      <w:r>
        <w:rPr>
          <w:rFonts w:cs="Times New Roman" w:ascii="Times New Roman" w:hAnsi="Times New Roman"/>
          <w:sz w:val="24"/>
          <w:szCs w:val="24"/>
        </w:rPr>
        <w:t xml:space="preserve"> по благоустройству и содержанию строительных площадок (удельный вес статьи затрат в накладных расходах – 1,61%)</w:t>
      </w:r>
    </w:p>
    <w:p>
      <w:pPr>
        <w:pStyle w:val="Normal"/>
        <w:tabs>
          <w:tab w:val="left" w:pos="709" w:leader="none"/>
          <w:tab w:val="left" w:pos="851" w:leader="none"/>
          <w:tab w:val="left" w:pos="1418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</w:t>
      </w:r>
      <w:r>
        <w:rPr>
          <w:rFonts w:ascii="Times New Roman" w:hAnsi="Times New Roman"/>
          <w:color w:val="000000"/>
          <w:sz w:val="24"/>
          <w:szCs w:val="24"/>
        </w:rPr>
        <w:t>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>
      <w:pPr>
        <w:pStyle w:val="ListParagraph"/>
        <w:numPr>
          <w:ilvl w:val="0"/>
          <w:numId w:val="8"/>
        </w:numPr>
        <w:tabs>
          <w:tab w:val="left" w:pos="709" w:leader="none"/>
          <w:tab w:val="left" w:pos="851" w:leader="none"/>
          <w:tab w:val="left" w:pos="1276" w:leader="none"/>
        </w:tabs>
        <w:spacing w:lineRule="auto" w:line="240" w:before="40" w:after="40"/>
        <w:ind w:left="0" w:firstLine="709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  <w:tab w:val="left" w:pos="1134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ConsPlusNormal1"/>
        <w:numPr>
          <w:ilvl w:val="0"/>
          <w:numId w:val="6"/>
        </w:numPr>
        <w:tabs>
          <w:tab w:val="left" w:pos="709" w:leader="none"/>
          <w:tab w:val="left" w:pos="851" w:leader="none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формате ПК «Гранд-смета» выходная форма для печати указана ниже: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737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/>
        <w:drawing>
          <wp:inline distT="0" distB="0" distL="0" distR="0">
            <wp:extent cx="5748020" cy="34613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3558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Требования к оформлению и составлению сводного сметного расчета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 договорам на ремонт 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1.1 к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>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4"/>
          <w:szCs w:val="24"/>
        </w:rPr>
        <w:t>ЛСР (</w:t>
      </w:r>
      <w:r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1.2 к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 Требованиям </w:t>
      </w:r>
      <w:r>
        <w:rPr>
          <w:rFonts w:ascii="Times New Roman" w:hAnsi="Times New Roman"/>
          <w:color w:val="000000"/>
          <w:sz w:val="24"/>
          <w:szCs w:val="24"/>
        </w:rPr>
        <w:t xml:space="preserve">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ССРСС, построчные и итоговые суммы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указывать </w:t>
      </w:r>
      <w:r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>
      <w:pPr>
        <w:sectPr>
          <w:footerReference w:type="default" r:id="rId4"/>
          <w:footerReference w:type="first" r:id="rId5"/>
          <w:footnotePr>
            <w:numFmt w:val="decimal"/>
            <w:numRestart w:val="eachPage"/>
          </w:footnotePr>
          <w:type w:val="nextPage"/>
          <w:pgSz w:w="11906" w:h="16838"/>
          <w:pgMar w:left="1276" w:right="707" w:gutter="0" w:header="0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numPr>
          <w:ilvl w:val="0"/>
          <w:numId w:val="7"/>
        </w:numPr>
        <w:tabs>
          <w:tab w:val="clear" w:pos="709"/>
          <w:tab w:val="left" w:pos="993" w:leader="none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>
      <w:pPr>
        <w:pStyle w:val="ConsPlusNormal1"/>
        <w:ind w:left="57"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Приложение № 1.1</w:t>
      </w:r>
    </w:p>
    <w:p>
      <w:pPr>
        <w:pStyle w:val="ConsPlusNormal1"/>
        <w:ind w:left="57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ОБРАЗЕЦ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</w:t>
      </w:r>
    </w:p>
    <w:p>
      <w:pPr>
        <w:pStyle w:val="ConsPlusNormal1"/>
        <w:ind w:left="5811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Требованиям к оформлению и составлению документации по ценообразованию</w:t>
      </w:r>
    </w:p>
    <w:p>
      <w:pPr>
        <w:pStyle w:val="ConsPlusNormal1"/>
        <w:ind w:left="5811"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Приложение №___                                                                                    к договору от_______№_____ </w:t>
      </w:r>
      <w:r>
        <w:rPr>
          <w:rFonts w:ascii="Times New Roman" w:hAnsi="Times New Roman"/>
          <w:szCs w:val="24"/>
          <w:lang w:val="en-US"/>
        </w:rPr>
        <w:t xml:space="preserve"> </w:t>
      </w:r>
    </w:p>
    <w:p>
      <w:pPr>
        <w:pStyle w:val="ConsPlusNormal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>
      <w:pPr>
        <w:pStyle w:val="ConsPlusNormal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2" w:name="P2945"/>
      <w:bookmarkStart w:id="3" w:name="P2746"/>
      <w:bookmarkStart w:id="4" w:name="P2736"/>
      <w:bookmarkStart w:id="5" w:name="P2616"/>
      <w:bookmarkStart w:id="6" w:name="P2566"/>
      <w:bookmarkStart w:id="7" w:name="P2546"/>
      <w:bookmarkStart w:id="8" w:name="P2531"/>
      <w:bookmarkStart w:id="9" w:name="P2530"/>
      <w:bookmarkStart w:id="10" w:name="P2529"/>
      <w:bookmarkStart w:id="11" w:name="P2528"/>
      <w:bookmarkStart w:id="12" w:name="P2527"/>
      <w:bookmarkStart w:id="13" w:name="P2526"/>
      <w:bookmarkStart w:id="14" w:name="P2525"/>
      <w:bookmarkStart w:id="15" w:name="P2524"/>
      <w:bookmarkStart w:id="16" w:name="P2523"/>
      <w:bookmarkStart w:id="17" w:name="P2522"/>
      <w:bookmarkStart w:id="18" w:name="P2506"/>
      <w:bookmarkStart w:id="19" w:name="P3258"/>
      <w:bookmarkStart w:id="20" w:name="P2945"/>
      <w:bookmarkStart w:id="21" w:name="P2746"/>
      <w:bookmarkStart w:id="22" w:name="P2736"/>
      <w:bookmarkStart w:id="23" w:name="P2616"/>
      <w:bookmarkStart w:id="24" w:name="P2566"/>
      <w:bookmarkStart w:id="25" w:name="P2546"/>
      <w:bookmarkStart w:id="26" w:name="P2531"/>
      <w:bookmarkStart w:id="27" w:name="P2530"/>
      <w:bookmarkStart w:id="28" w:name="P2529"/>
      <w:bookmarkStart w:id="29" w:name="P2528"/>
      <w:bookmarkStart w:id="30" w:name="P2527"/>
      <w:bookmarkStart w:id="31" w:name="P2526"/>
      <w:bookmarkStart w:id="32" w:name="P2525"/>
      <w:bookmarkStart w:id="33" w:name="P2524"/>
      <w:bookmarkStart w:id="34" w:name="P2523"/>
      <w:bookmarkStart w:id="35" w:name="P2522"/>
      <w:bookmarkStart w:id="36" w:name="P2506"/>
      <w:bookmarkStart w:id="37" w:name="P3258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left="283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СОГЛАСОВАНО</w:t>
            </w:r>
            <w:r>
              <w:rPr>
                <w:rFonts w:cs="Times New Roman" w:ascii="Times New Roman" w:hAnsi="Times New Roman"/>
                <w:szCs w:val="24"/>
              </w:rPr>
              <w:t xml:space="preserve">:                                           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______________(Подрядчик )       </w:t>
            </w:r>
          </w:p>
          <w:p>
            <w:pPr>
              <w:pStyle w:val="ConsPlusNormal1"/>
              <w:widowControl w:val="false"/>
              <w:tabs>
                <w:tab w:val="clear" w:pos="709"/>
                <w:tab w:val="left" w:pos="0" w:leader="none"/>
              </w:tabs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_______________(ФИО)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ind w:left="142" w:hanging="142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Заказчик:______________________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right="-3855" w:firstLine="7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УТВЕРЖДАЮ: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Cs w:val="24"/>
              </w:rPr>
              <w:t xml:space="preserve">_____________(Заказчик )       </w:t>
            </w:r>
          </w:p>
          <w:p>
            <w:pPr>
              <w:pStyle w:val="ConsPlusNormal1"/>
              <w:widowControl w:val="false"/>
              <w:ind w:left="2551" w:firstLine="7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                 </w:t>
            </w:r>
            <w:r>
              <w:rPr>
                <w:rFonts w:cs="Times New Roman" w:ascii="Times New Roman" w:hAnsi="Times New Roman"/>
                <w:szCs w:val="24"/>
              </w:rPr>
              <w:t>______________(ФИО)</w:t>
            </w:r>
          </w:p>
        </w:tc>
      </w:tr>
      <w:tr>
        <w:trPr/>
        <w:tc>
          <w:tcPr>
            <w:tcW w:w="3464" w:type="dxa"/>
            <w:tcBorders/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(наименование организации)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0914" w:type="dxa"/>
            <w:gridSpan w:val="2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Утвержден: __ ______________202__ г.</w:t>
            </w:r>
          </w:p>
        </w:tc>
      </w:tr>
    </w:tbl>
    <w:p>
      <w:pPr>
        <w:pStyle w:val="ConsPlusNormal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098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 ССРСС-________</w:t>
            </w:r>
          </w:p>
        </w:tc>
      </w:tr>
      <w:tr>
        <w:trPr>
          <w:trHeight w:val="22" w:hRule="atLeast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1"/>
        <w:jc w:val="center"/>
        <w:rPr>
          <w:szCs w:val="24"/>
        </w:rPr>
      </w:pPr>
      <w:r>
        <w:rPr>
          <w:szCs w:val="24"/>
        </w:rPr>
      </w:r>
    </w:p>
    <w:tbl>
      <w:tblPr>
        <w:tblW w:w="1098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33"/>
        <w:gridCol w:w="996"/>
        <w:gridCol w:w="281"/>
        <w:gridCol w:w="1272"/>
        <w:gridCol w:w="365"/>
        <w:gridCol w:w="1345"/>
        <w:gridCol w:w="425"/>
        <w:gridCol w:w="1132"/>
        <w:gridCol w:w="1561"/>
        <w:gridCol w:w="1420"/>
        <w:gridCol w:w="1550"/>
      </w:tblGrid>
      <w:tr>
        <w:trPr>
          <w:trHeight w:val="212" w:hRule="atLeast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Nп/п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5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91" w:hanging="6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монтажных работ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8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оборудования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прочих затрат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8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327" w:hRule="atLeast"/>
        </w:trPr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tabs>
                <w:tab w:val="clear" w:pos="709"/>
                <w:tab w:val="left" w:pos="567" w:leader="none"/>
                <w:tab w:val="left" w:pos="2091" w:leader="none"/>
              </w:tabs>
              <w:ind w:left="170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Cs w:val="24"/>
              </w:rPr>
              <w:t>Руководитель</w:t>
            </w:r>
          </w:p>
          <w:p>
            <w:pPr>
              <w:pStyle w:val="ConsPlusNormal1"/>
              <w:widowControl w:val="false"/>
              <w:tabs>
                <w:tab w:val="clear" w:pos="709"/>
                <w:tab w:val="left" w:pos="851" w:leader="none"/>
              </w:tabs>
              <w:ind w:left="170" w:hanging="14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проектной организации</w:t>
            </w:r>
          </w:p>
        </w:tc>
        <w:tc>
          <w:tcPr>
            <w:tcW w:w="7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Главный инженер проекта</w:t>
            </w:r>
          </w:p>
        </w:tc>
        <w:tc>
          <w:tcPr>
            <w:tcW w:w="7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907" w:firstLine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Начальник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отдела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19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(наименование)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284" w:firstLine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Заказчик</w:t>
            </w:r>
          </w:p>
        </w:tc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ind w:left="357" w:firstLine="72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</w:r>
    </w:p>
    <w:p>
      <w:pPr>
        <w:pStyle w:val="Normal"/>
        <w:spacing w:lineRule="auto" w:line="240" w:before="0" w:after="0"/>
        <w:ind w:left="3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97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ОБРАЗЕЦ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8646" w:firstLine="72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Приложение №1.2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Требованиям к оформлению и составлению документации по ценообразованию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PlusNormal1"/>
        <w:tabs>
          <w:tab w:val="clear" w:pos="709"/>
          <w:tab w:val="left" w:pos="6804" w:leader="none"/>
        </w:tabs>
        <w:ind w:left="5811"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</w:t>
      </w:r>
      <w:r>
        <w:rPr>
          <w:rFonts w:ascii="Times New Roman" w:hAnsi="Times New Roman"/>
          <w:szCs w:val="24"/>
        </w:rPr>
        <w:t>Приложение №___</w:t>
      </w:r>
    </w:p>
    <w:p>
      <w:pPr>
        <w:pStyle w:val="ConsPlusNormal1"/>
        <w:tabs>
          <w:tab w:val="clear" w:pos="709"/>
          <w:tab w:val="left" w:pos="6946" w:leader="none"/>
        </w:tabs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 xml:space="preserve">к дополнительному соглашению от ___ № ___                                                                                                                             к договору от________№_____ </w:t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222"/>
        <w:gridCol w:w="9692"/>
      </w:tblGrid>
      <w:tr>
        <w:trPr/>
        <w:tc>
          <w:tcPr>
            <w:tcW w:w="1222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2"/>
                <w:szCs w:val="24"/>
              </w:rPr>
              <w:t>Заказчик</w:t>
            </w:r>
          </w:p>
        </w:tc>
        <w:tc>
          <w:tcPr>
            <w:tcW w:w="9692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1222" w:type="dxa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692" w:type="dxa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Утвержден __ ______________ 20__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098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N ССРСС-________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</w:r>
    </w:p>
    <w:tbl>
      <w:tblPr>
        <w:tblW w:w="10706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9"/>
        <w:gridCol w:w="990"/>
        <w:gridCol w:w="297"/>
        <w:gridCol w:w="1632"/>
        <w:gridCol w:w="57"/>
        <w:gridCol w:w="1699"/>
        <w:gridCol w:w="14"/>
        <w:gridCol w:w="1264"/>
        <w:gridCol w:w="1423"/>
        <w:gridCol w:w="1135"/>
        <w:gridCol w:w="1764"/>
      </w:tblGrid>
      <w:tr>
        <w:trPr>
          <w:trHeight w:val="311" w:hRule="atLeast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Обоснование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98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91" w:hanging="6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монтажных работ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8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прочих затрат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</w:t>
            </w:r>
          </w:p>
        </w:tc>
      </w:tr>
      <w:tr>
        <w:trPr/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 xml:space="preserve">Сметы основного договора </w:t>
            </w:r>
          </w:p>
        </w:tc>
      </w:tr>
      <w:tr>
        <w:trPr>
          <w:trHeight w:val="287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 xml:space="preserve">Итого по сметам основного договора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Итого включено дополнительным соглашением №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Итого исключено дополнительным соглашением №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Итого по главе №: 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 xml:space="preserve">Итого по главам №№: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Всего по ССР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  <w:u w:val="single"/>
              </w:rPr>
              <w:t>Справочно</w:t>
            </w:r>
            <w:r>
              <w:rPr>
                <w:rFonts w:cs="Times New Roman" w:ascii="Times New Roman" w:hAnsi="Times New Roman"/>
                <w:i/>
                <w:sz w:val="22"/>
                <w:szCs w:val="24"/>
              </w:rPr>
              <w:t>.</w:t>
            </w:r>
          </w:p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</w:rPr>
              <w:t>Сумма основного договора,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4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ConsPlusNormal1"/>
              <w:widowControl w:val="false"/>
              <w:tabs>
                <w:tab w:val="clear" w:pos="709"/>
                <w:tab w:val="left" w:pos="2091" w:leader="none"/>
              </w:tabs>
              <w:ind w:left="425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Cs w:val="24"/>
              </w:rPr>
              <w:t>Руководитель</w:t>
            </w:r>
          </w:p>
          <w:p>
            <w:pPr>
              <w:pStyle w:val="ConsPlusNormal1"/>
              <w:widowControl w:val="false"/>
              <w:ind w:left="425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       </w:t>
            </w:r>
            <w:r>
              <w:rPr>
                <w:rFonts w:cs="Times New Roman" w:ascii="Times New Roman" w:hAnsi="Times New Roman"/>
                <w:szCs w:val="24"/>
              </w:rPr>
              <w:t>проектной организации</w:t>
            </w:r>
          </w:p>
        </w:tc>
        <w:tc>
          <w:tcPr>
            <w:tcW w:w="7356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356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ConsPlusNormal1"/>
              <w:widowControl w:val="false"/>
              <w:ind w:left="141" w:hanging="14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Главный инженер проекта</w:t>
            </w:r>
          </w:p>
        </w:tc>
        <w:tc>
          <w:tcPr>
            <w:tcW w:w="7356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356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1716" w:type="dxa"/>
            <w:gridSpan w:val="3"/>
            <w:tcBorders/>
          </w:tcPr>
          <w:p>
            <w:pPr>
              <w:pStyle w:val="ConsPlusNormal1"/>
              <w:widowControl w:val="false"/>
              <w:ind w:firstLine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Начальник</w:t>
            </w:r>
          </w:p>
        </w:tc>
        <w:tc>
          <w:tcPr>
            <w:tcW w:w="1689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713" w:type="dxa"/>
            <w:gridSpan w:val="2"/>
            <w:tcBorders/>
          </w:tcPr>
          <w:p>
            <w:pPr>
              <w:pStyle w:val="ConsPlusNormal1"/>
              <w:widowControl w:val="false"/>
              <w:ind w:hanging="6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отдела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716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19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(наименование)</w:t>
            </w:r>
          </w:p>
        </w:tc>
        <w:tc>
          <w:tcPr>
            <w:tcW w:w="1713" w:type="dxa"/>
            <w:gridSpan w:val="2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5586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[подпись (инициалы, фамилия)]</w:t>
            </w:r>
          </w:p>
        </w:tc>
      </w:tr>
      <w:tr>
        <w:trPr/>
        <w:tc>
          <w:tcPr>
            <w:tcW w:w="1716" w:type="dxa"/>
            <w:gridSpan w:val="3"/>
            <w:tcBorders/>
          </w:tcPr>
          <w:p>
            <w:pPr>
              <w:pStyle w:val="ConsPlusNormal1"/>
              <w:widowControl w:val="false"/>
              <w:ind w:left="141" w:hanging="14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</w:rPr>
              <w:t>Заказчик</w:t>
            </w:r>
          </w:p>
        </w:tc>
        <w:tc>
          <w:tcPr>
            <w:tcW w:w="8988" w:type="dxa"/>
            <w:gridSpan w:val="8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1716" w:type="dxa"/>
            <w:gridSpan w:val="3"/>
            <w:tcBorders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988" w:type="dxa"/>
            <w:gridSpan w:val="8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[должность, подпись (инициалы, фамилия)]</w:t>
            </w:r>
          </w:p>
        </w:tc>
      </w:tr>
    </w:tbl>
    <w:p>
      <w:pPr>
        <w:sectPr>
          <w:footerReference w:type="default" r:id="rId6"/>
          <w:footerReference w:type="first" r:id="rId7"/>
          <w:footnotePr>
            <w:numFmt w:val="decimal"/>
            <w:numRestart w:val="eachPage"/>
          </w:footnotePr>
          <w:type w:val="nextPage"/>
          <w:pgSz w:w="11906" w:h="16838"/>
          <w:pgMar w:left="426" w:right="567" w:gutter="0" w:header="0" w:top="0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6" w:hanging="426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Приложение №1.3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 Требованиям к оформлению и составлению документации по ценообразованию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дополнительному соглашению от ___ № ___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</w:t>
      </w:r>
      <w:r>
        <w:rPr>
          <w:rFonts w:ascii="Times New Roman" w:hAnsi="Times New Roman"/>
          <w:szCs w:val="24"/>
        </w:rPr>
        <w:t xml:space="preserve">к договору от_______№_____ </w:t>
      </w:r>
    </w:p>
    <w:p>
      <w:pPr>
        <w:pStyle w:val="ConsPlusNormal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4"/>
        <w:gridCol w:w="851"/>
        <w:gridCol w:w="850"/>
        <w:gridCol w:w="1278"/>
        <w:gridCol w:w="1278"/>
        <w:gridCol w:w="1698"/>
        <w:gridCol w:w="1708"/>
        <w:gridCol w:w="2117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Сметная стоимость, тыс. руб.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Разница в сметной стоимости, руб.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Cs w:val="24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шифр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позиции сметного расчета (сметы) в ССР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подлежащая включению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подлежащая исключению</w:t>
            </w:r>
          </w:p>
        </w:tc>
        <w:tc>
          <w:tcPr>
            <w:tcW w:w="1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Cs w:val="24"/>
                <w:lang w:eastAsia="en-US"/>
              </w:rPr>
            </w:r>
          </w:p>
        </w:tc>
        <w:tc>
          <w:tcPr>
            <w:tcW w:w="2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Cs w:val="24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57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357" w:firstLine="72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Приложение №1.4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Требованиям к оформлению и составлению документации по ценообразованию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дополнительному соглашению от ___ № ___</w:t>
      </w:r>
    </w:p>
    <w:p>
      <w:pPr>
        <w:pStyle w:val="ConsPlusNormal1"/>
        <w:ind w:left="5811"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Сопоставительная ведомость объемов работ</w:t>
      </w:r>
    </w:p>
    <w:p>
      <w:pPr>
        <w:pStyle w:val="ConsPlus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"/>
        <w:gridCol w:w="710"/>
        <w:gridCol w:w="850"/>
        <w:gridCol w:w="1210"/>
        <w:gridCol w:w="914"/>
        <w:gridCol w:w="851"/>
        <w:gridCol w:w="854"/>
        <w:gridCol w:w="850"/>
        <w:gridCol w:w="851"/>
        <w:gridCol w:w="706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2"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№№ </w:t>
            </w:r>
            <w:r>
              <w:rPr>
                <w:rFonts w:cs="Times New Roman" w:ascii="Times New Roman" w:hAnsi="Times New Roman"/>
                <w:szCs w:val="24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работ и затрат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Объем работ в сметной документации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360" w:hanging="141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Cs w:val="24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797" w:firstLine="7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Cs w:val="24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до изменений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firstLine="79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 учетом изменений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увели</w:t>
            </w:r>
          </w:p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sectPr>
          <w:footerReference w:type="default" r:id="rId8"/>
          <w:footerReference w:type="first" r:id="rId9"/>
          <w:footnotePr>
            <w:numFmt w:val="decimal"/>
            <w:numRestart w:val="eachPage"/>
          </w:footnotePr>
          <w:type w:val="nextPage"/>
          <w:pgSz w:w="11906" w:h="16838"/>
          <w:pgMar w:left="426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Приложение№1.5 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Требованиям к оформлению и составлению документации по ценообразованию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18"/>
          <w:szCs w:val="24"/>
        </w:rPr>
      </w:pPr>
      <w:r>
        <w:rPr>
          <w:rFonts w:ascii="Times New Roman" w:hAnsi="Times New Roman"/>
          <w:b/>
          <w:color w:val="000000"/>
          <w:sz w:val="18"/>
          <w:szCs w:val="24"/>
        </w:rPr>
        <w:t>ОБРАЗЕЦ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18"/>
          <w:szCs w:val="24"/>
        </w:rPr>
      </w:pPr>
      <w:r>
        <w:rPr>
          <w:rFonts w:ascii="Times New Roman" w:hAnsi="Times New Roman"/>
          <w:color w:val="000000"/>
          <w:sz w:val="18"/>
          <w:szCs w:val="24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1407"/>
        <w:gridCol w:w="685"/>
        <w:gridCol w:w="2511"/>
        <w:gridCol w:w="985"/>
        <w:gridCol w:w="1091"/>
        <w:gridCol w:w="661"/>
        <w:gridCol w:w="1033"/>
        <w:gridCol w:w="1075"/>
        <w:gridCol w:w="660"/>
        <w:gridCol w:w="1035"/>
        <w:gridCol w:w="506"/>
        <w:gridCol w:w="682"/>
        <w:gridCol w:w="2213"/>
      </w:tblGrid>
      <w:tr>
        <w:trPr>
          <w:trHeight w:val="285" w:hRule="atLeast"/>
        </w:trPr>
        <w:tc>
          <w:tcPr>
            <w:tcW w:w="322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СОГЛАСОВАНО:</w:t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43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73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509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11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5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"_____" _____________2021 г</w:t>
            </w:r>
          </w:p>
        </w:tc>
        <w:tc>
          <w:tcPr>
            <w:tcW w:w="6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22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Наименование редакции сметных нормативов  </w:t>
            </w:r>
          </w:p>
        </w:tc>
        <w:tc>
          <w:tcPr>
            <w:tcW w:w="12452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32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Наименование программного продукта</w:t>
            </w:r>
          </w:p>
        </w:tc>
        <w:tc>
          <w:tcPr>
            <w:tcW w:w="34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ПК "ГРАНД-Смета 2021"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567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67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567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67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5674" w:type="dxa"/>
            <w:gridSpan w:val="1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567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Составлен 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Ресурсно-индексным</w:t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методом</w:t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Основание</w:t>
            </w:r>
          </w:p>
        </w:tc>
        <w:tc>
          <w:tcPr>
            <w:tcW w:w="6679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79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</w:rPr>
              <w:t>(проектная и (или) иная техническая документация)</w:t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2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Составлен(а) в текущем (базисном) уровне цен </w:t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соответствующих периоду выполнения работ по договору</w:t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5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 xml:space="preserve">Сметная стоимость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строительных работ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34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Средства на оплату труда рабочих</w:t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монтажных работ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34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Нормативные затраты труда рабочих</w:t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оборудования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34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Нормативные затраты труда машинистов</w:t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прочих затрат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51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тыс.руб.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446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Расчетный измеритель конструктивного решения  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</w:tr>
      <w:tr>
        <w:trPr>
          <w:trHeight w:val="195" w:hRule="exact"/>
        </w:trPr>
        <w:tc>
          <w:tcPr>
            <w:tcW w:w="11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40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5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5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68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W w:w="22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Обоснование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Наименование работ и затрат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Единица измерения</w:t>
            </w:r>
          </w:p>
        </w:tc>
        <w:tc>
          <w:tcPr>
            <w:tcW w:w="27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Количество</w:t>
            </w: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Индексы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41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76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20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41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 единицу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коэффициенты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всего с учетом коэффициентов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 единицу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коэффициенты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  <w:tc>
          <w:tcPr>
            <w:tcW w:w="2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22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</w:tr>
    </w:tbl>
    <w:p>
      <w:pPr>
        <w:sectPr>
          <w:footerReference w:type="default" r:id="rId10"/>
          <w:footerReference w:type="first" r:id="rId11"/>
          <w:footnotePr>
            <w:numFmt w:val="decimal"/>
            <w:numRestart w:val="eachPage"/>
          </w:footnotePr>
          <w:type w:val="nextPage"/>
          <w:pgSz w:orient="landscape" w:w="16838" w:h="11906"/>
          <w:pgMar w:left="720" w:right="284" w:gutter="0" w:header="0" w:top="426" w:footer="709" w:bottom="92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Приложение № 2 </w:t>
      </w:r>
    </w:p>
    <w:p>
      <w:pPr>
        <w:pStyle w:val="Normal"/>
        <w:spacing w:lineRule="auto" w:line="240" w:before="0" w:after="0"/>
        <w:ind w:left="5811" w:firstLine="142"/>
        <w:jc w:val="right"/>
        <w:rPr>
          <w:rFonts w:ascii="Times New Roman" w:hAnsi="Times New Roman"/>
          <w:b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к Требованиям к оформлению и составлению документации по ценообразованию</w:t>
      </w:r>
    </w:p>
    <w:p>
      <w:pPr>
        <w:pStyle w:val="Normal"/>
        <w:shd w:val="clear" w:color="auto" w:fill="FFFFFF"/>
        <w:spacing w:lineRule="auto" w:line="240"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Образец № 3п</w:t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89"/>
      </w:tblGrid>
      <w:tr>
        <w:trPr/>
        <w:tc>
          <w:tcPr>
            <w:tcW w:w="9989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523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4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4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Cs w:val="24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 Расчет заработной платы</w:t>
            </w:r>
            <w:r>
              <w:rPr>
                <w:rFonts w:ascii="Times New Roman" w:hAnsi="Times New Roman"/>
                <w:szCs w:val="24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75"/>
              <w:gridCol w:w="2201"/>
              <w:gridCol w:w="1124"/>
              <w:gridCol w:w="1183"/>
              <w:gridCol w:w="1413"/>
              <w:gridCol w:w="1421"/>
              <w:gridCol w:w="1731"/>
            </w:tblGrid>
            <w:tr>
              <w:trPr>
                <w:tblHeader w:val="true"/>
              </w:trPr>
              <w:tc>
                <w:tcPr>
                  <w:tcW w:w="5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Cs w:val="24"/>
                    </w:rPr>
                    <w:t>п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Cs w:val="24"/>
                    </w:rPr>
                    <w:t>п.</w:t>
                  </w:r>
                </w:p>
              </w:tc>
              <w:tc>
                <w:tcPr>
                  <w:tcW w:w="2201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Исполнители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</w:rPr>
                    <w:t>за 1 день</w:t>
                  </w:r>
                </w:p>
              </w:tc>
              <w:tc>
                <w:tcPr>
                  <w:tcW w:w="1731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  <w:tc>
                <w:tcPr>
                  <w:tcW w:w="2201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  <w:tc>
                <w:tcPr>
                  <w:tcW w:w="112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количество</w:t>
                  </w:r>
                </w:p>
              </w:tc>
              <w:tc>
                <w:tcPr>
                  <w:tcW w:w="11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должность</w:t>
                  </w:r>
                </w:p>
              </w:tc>
              <w:tc>
                <w:tcPr>
                  <w:tcW w:w="141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  <w:tc>
                <w:tcPr>
                  <w:tcW w:w="142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  <w:tc>
                <w:tcPr>
                  <w:tcW w:w="1731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220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12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17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</w:tr>
            <w:tr>
              <w:trPr/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220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7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</w:tr>
            <w:tr>
              <w:trPr/>
              <w:tc>
                <w:tcPr>
                  <w:tcW w:w="57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220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Cs w:val="24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Всего (руб.)</w:t>
            </w:r>
            <w:r>
              <w:rPr>
                <w:rFonts w:ascii="Times New Roman" w:hAnsi="Times New Roman"/>
                <w:szCs w:val="24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207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Приложение № 2.1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к Требованиям к оформлению и составлению документации по ценообразованию</w:t>
      </w: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sz w:val="24"/>
          <w:szCs w:val="24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Особенности заполнения формы 3п.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sz w:val="24"/>
          <w:szCs w:val="24"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sz w:val="24"/>
          <w:szCs w:val="24"/>
          <w:lang w:eastAsia="en-US"/>
        </w:rPr>
        <w:t>);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Лимиты командировочных расходов: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суточные - 700 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 xml:space="preserve">проживание - </w:t>
      </w:r>
      <w:r>
        <w:rPr>
          <w:rFonts w:eastAsia="Calibri" w:ascii="Times New Roman" w:hAnsi="Times New Roman"/>
          <w:color w:val="FF0000"/>
          <w:sz w:val="24"/>
          <w:szCs w:val="24"/>
          <w:lang w:eastAsia="en-US"/>
        </w:rPr>
        <w:t xml:space="preserve">до 5000 </w:t>
      </w:r>
      <w:r>
        <w:rPr>
          <w:rFonts w:eastAsia="Calibri" w:ascii="Times New Roman" w:hAnsi="Times New Roman"/>
          <w:sz w:val="24"/>
          <w:szCs w:val="24"/>
          <w:lang w:eastAsia="en-US"/>
        </w:rPr>
        <w:t>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  <w:sz w:val="24"/>
          <w:szCs w:val="24"/>
        </w:rPr>
        <w:t>класс–эконом с багажом до 20 (двадцати) кг, ручная кладь до 10 (десяти) кг</w:t>
      </w:r>
      <w:r>
        <w:rPr>
          <w:rFonts w:eastAsia="Calibri" w:ascii="Times New Roman" w:hAnsi="Times New Roman"/>
          <w:sz w:val="24"/>
          <w:szCs w:val="24"/>
          <w:lang w:eastAsia="en-US"/>
        </w:rPr>
        <w:t>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i/>
          <w:i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учете командировочных расходов стоимость проезда (авиа-, ж/д, …) определяется по наиболее экономичному варианту, определенному на основании сбора информации о текущих ценах (конъюнктурный анализ) в соответствии с Методикой определения сметной стоимости (Приказ Минстроя России от 04.08.2020г. №421/пр, п.13). Результаты конъюнктурного анализа оформляются в соответствии с формой, приведенной в Приложении №1 к Методике.</w:t>
      </w:r>
    </w:p>
    <w:p>
      <w:pPr>
        <w:sectPr>
          <w:footerReference w:type="default" r:id="rId12"/>
          <w:footerReference w:type="first" r:id="rId13"/>
          <w:footnotePr>
            <w:numFmt w:val="decimal"/>
            <w:numRestart w:val="eachPage"/>
          </w:footnotePr>
          <w:type w:val="nextPage"/>
          <w:pgSz w:w="11906" w:h="16838"/>
          <w:pgMar w:left="993" w:right="924" w:gutter="0" w:header="0" w:top="568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5811" w:hanging="0"/>
        <w:contextualSpacing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Cs w:val="24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(Главный бухгалтер)</w:t>
      </w:r>
      <w:r>
        <w:rPr>
          <w:rStyle w:val="FootnoteReference"/>
          <w:rFonts w:ascii="Times New Roman" w:hAnsi="Times New Roman"/>
          <w:szCs w:val="24"/>
        </w:rPr>
        <w:footnoteReference w:id="5"/>
      </w:r>
      <w:r>
        <w:rPr>
          <w:rFonts w:ascii="Times New Roman" w:hAnsi="Times New Roman"/>
          <w:szCs w:val="24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м.п.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cs="Times New Roman" w:ascii="Times New Roman" w:hAnsi="Times New Roman"/>
          <w:sz w:val="22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Расчет командировочных расходов</w:t>
      </w:r>
    </w:p>
    <w:tbl>
      <w:tblPr>
        <w:tblW w:w="10661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142"/>
        <w:gridCol w:w="989"/>
        <w:gridCol w:w="710"/>
        <w:gridCol w:w="1275"/>
        <w:gridCol w:w="709"/>
        <w:gridCol w:w="1442"/>
        <w:gridCol w:w="1311"/>
        <w:gridCol w:w="937"/>
        <w:gridCol w:w="1132"/>
        <w:gridCol w:w="1556"/>
      </w:tblGrid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Вид транспорта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Стоимость проезда, руб. (без НДС)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дней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Стоимость проживания, руб./сут.. </w:t>
              <w:br/>
              <w:t>(без НДС)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командировок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командированных человек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1 в пункт 5</w:t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1 в пункт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2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4 в пункт 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стоимость командировочных расходов из пункта 1 в пункт 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17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0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5 в пункт 1</w:t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5 в пункт 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4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</w:tr>
      <w:tr>
        <w:trPr/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пункта 2 в пункт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стоимость командировочных расходов из пункта 5 в пункт 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стоимость командировочных расходов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Составил:________/должность,организация/_______/подпись/___________/расшифровка подписи/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Проверил:_________/должность, организация/_________/подпись/_________/расшифровка подписи/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Приложение № 3 </w:t>
      </w:r>
    </w:p>
    <w:p>
      <w:pPr>
        <w:pStyle w:val="Normal"/>
        <w:spacing w:lineRule="auto" w:line="240" w:before="0" w:after="0"/>
        <w:ind w:left="5811" w:firstLine="142"/>
        <w:jc w:val="right"/>
        <w:rPr>
          <w:rFonts w:ascii="Times New Roman" w:hAnsi="Times New Roman"/>
          <w:b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к Требованиям</w:t>
      </w:r>
      <w:bookmarkStart w:id="38" w:name="_GoBack"/>
      <w:bookmarkEnd w:id="38"/>
      <w:r>
        <w:rPr>
          <w:rFonts w:ascii="Times New Roman" w:hAnsi="Times New Roman"/>
          <w:color w:val="000000"/>
          <w:sz w:val="20"/>
          <w:szCs w:val="24"/>
        </w:rPr>
        <w:t xml:space="preserve"> к оформлению и составлению документации по ценообразованию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Пример расчета единого индекса-дефлятора к  договору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соответствии с условиями Договора начало строительства – сентябрь 2024г, окончание декабрь 2025 г. Продолжительность реконструкции / строительства составляет – 16 месяцев. Сметная документация составлена с применением СНБ – ГЭСН-2020, ФЕР – 2020 (с изм 1-9).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Доля сметной стоимости в 2024 году – 0,25 (4 мес. из 16). 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Доля сметной стоимости в 2025 году - 0,75 (12 мес. из 16).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Годовой индекс инфляции по данным Министерства экономического развития (письмо от __.__.20__г №_____ «__________________»): 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на 2024г. - 114,6%, 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2025г. – 107,0%: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Ежемесячный индекс-инфляции: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rPr>
          <w:rFonts w:ascii="Times New Roman" w:hAnsi="Times New Roman"/>
          <w:sz w:val="22"/>
        </w:rPr>
      </w:pPr>
      <w:r>
        <w:rPr/>
        <mc:AlternateContent>
          <mc:Choice Requires="wps">
            <w:drawing>
              <wp:inline distT="0" distB="0" distL="0" distR="0" wp14:anchorId="1CDB7023">
                <wp:extent cx="2303780" cy="228600"/>
                <wp:effectExtent l="0" t="0" r="0" b="0"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Иинфмес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2024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ad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1.146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1,0114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18.05pt;width:181.35pt;height:17.95pt;mso-wrap-style:square;v-text-anchor:top;mso-position-vertical:top" wp14:anchorId="1CDB702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2024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1.146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1,0114</m:t>
                        </m:r>
                      </m:oMath>
                      <w:r>
                        <w:rPr>
                          <w:i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hanging="0"/>
        <w:rPr>
          <w:rFonts w:ascii="Cambria Math" w:hAnsi="Cambria Math" w:eastAsia="Arial Unicode MS" w:cs="" w:cstheme="minorBidi"/>
          <w:i/>
          <w:i/>
          <w:color w:val="000000" w:themeColor="text1"/>
          <w:spacing w:val="2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Иинфмес</m:t>
        </m:r>
        <m:r>
          <w:rPr>
            <w:rFonts w:ascii="Cambria Math" w:hAnsi="Cambria Math"/>
          </w:rPr>
          <m:t xml:space="preserve">2025</m:t>
        </m:r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12</m:t>
            </m:r>
          </m:deg>
          <m:e>
            <m:r>
              <w:rPr>
                <w:rFonts w:ascii="Cambria Math" w:hAnsi="Cambria Math"/>
              </w:rPr>
              <m:t xml:space="preserve">1.07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1,0057</m:t>
        </m:r>
      </m:oMath>
      <w:r>
        <w:rPr>
          <w:rFonts w:eastAsia="Arial Unicode MS" w:cs="" w:ascii="Cambria Math" w:hAnsi="Cambria Math" w:cstheme="minorBidi"/>
          <w:i/>
          <w:color w:val="000000" w:themeColor="text1"/>
          <w:spacing w:val="2"/>
          <w:sz w:val="24"/>
          <w:szCs w:val="24"/>
        </w:rPr>
        <w:t>,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center"/>
        <w:rPr>
          <w:rFonts w:ascii="Cambria Math" w:hAnsi="Cambria Math" w:eastAsia="Arial Unicode MS" w:cs="" w:cstheme="minorBidi"/>
          <w:i/>
          <w:i/>
          <w:color w:val="000000" w:themeColor="text1"/>
          <w:spacing w:val="2"/>
          <w:sz w:val="24"/>
          <w:szCs w:val="24"/>
        </w:rPr>
      </w:pPr>
      <w:r>
        <w:rPr>
          <w:rFonts w:eastAsia="Arial Unicode MS" w:cs="" w:cstheme="minorBidi" w:ascii="Cambria Math" w:hAnsi="Cambria Math"/>
          <w:i/>
          <w:color w:val="000000" w:themeColor="text1"/>
          <w:spacing w:val="2"/>
          <w:sz w:val="24"/>
          <w:szCs w:val="24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Индекс-инфляции на период исполнения договора: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572F0490">
                <wp:simplePos x="0" y="0"/>
                <wp:positionH relativeFrom="column">
                  <wp:posOffset>41910</wp:posOffset>
                </wp:positionH>
                <wp:positionV relativeFrom="paragraph">
                  <wp:posOffset>8890</wp:posOffset>
                </wp:positionV>
                <wp:extent cx="3253740" cy="403860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ind w:left="-567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  <m:oMathPara xmlns:m="http://schemas.openxmlformats.org/officeDocument/2006/math"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Иинфлпер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2024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d>
                                  <m:dPr>
                                    <m:begChr m:val="("/>
                                    <m:endChr m:val=")"/>
                                  </m:dPr>
                                  <m:e>
                                    <m:f>
                                      <m:num>
                                        <m:sSup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1,0114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3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 xml:space="preserve">+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1,0173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3.3pt;margin-top:0.7pt;width:256.15pt;height:31.75pt;mso-wrap-style:none;v-text-anchor:middle" wp14:anchorId="572F049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ind w:left="-567" w:hanging="0"/>
                        <w:jc w:val="center"/>
                        <w:rPr/>
                      </w:pPr>
                      <w:r>
                        <w:rPr/>
                      </w:r>
                      <m:oMathPara xmlns:m="http://schemas.openxmlformats.org/officeDocument/2006/math"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Иинфлпер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2024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d>
                            <m:dPr>
                              <m:begChr m:val="("/>
                              <m:endChr m:val=")"/>
                            </m:dPr>
                            <m:e>
                              <m:f>
                                <m:num>
                                  <m:sSup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1,0114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−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+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1,0173</m:t>
                          </m:r>
                        </m:oMath>
                      </m:oMathPara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3A958F05">
                <wp:simplePos x="0" y="0"/>
                <wp:positionH relativeFrom="margin">
                  <wp:posOffset>233045</wp:posOffset>
                </wp:positionH>
                <wp:positionV relativeFrom="paragraph">
                  <wp:posOffset>125730</wp:posOffset>
                </wp:positionV>
                <wp:extent cx="3680460" cy="373380"/>
                <wp:effectExtent l="0" t="0" r="0" b="0"/>
                <wp:wrapNone/>
                <wp:docPr id="6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640" cy="37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  <m:oMathPara xmlns:m="http://schemas.openxmlformats.org/officeDocument/2006/math"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Иинфлпер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2025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sSup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1,0114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3</m:t>
                                    </m:r>
                                  </m:sup>
                                </m:sSup>
                                <m:d>
                                  <m:dPr>
                                    <m:begChr m:val="("/>
                                    <m:endChr m:val=")"/>
                                  </m:dPr>
                                  <m:e>
                                    <m:f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1,0057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1,07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1,0738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18.35pt;margin-top:9.9pt;width:289.75pt;height:29.35pt;mso-wrap-style:none;v-text-anchor:middle;mso-position-horizontal-relative:margin" wp14:anchorId="3A958F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jc w:val="center"/>
                        <w:rPr/>
                      </w:pPr>
                      <w:r>
                        <w:rPr/>
                      </w:r>
                      <m:oMathPara xmlns:m="http://schemas.openxmlformats.org/officeDocument/2006/math"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Иинфлпер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2025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sSup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1,0114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 xml:space="preserve">3</m:t>
                              </m:r>
                            </m:sup>
                          </m:sSup>
                          <m:d>
                            <m:dPr>
                              <m:begChr m:val="("/>
                              <m:endChr m:val=")"/>
                            </m:dPr>
                            <m:e>
                              <m:f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1,0057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+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1,07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1,0738</m:t>
                          </m:r>
                        </m:oMath>
                      </m:oMathPara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Итого индекс-инфляции на 2024-2025гг. 0,25*1,0173+0,75*1,0738=1,0597</w:t>
      </w:r>
    </w:p>
    <w:p>
      <w:pPr>
        <w:pStyle w:val="ConsPlusNormal1"/>
        <w:widowControl/>
        <w:tabs>
          <w:tab w:val="clear" w:pos="709"/>
          <w:tab w:val="left" w:pos="993" w:leader="none"/>
        </w:tabs>
        <w:ind w:firstLine="426"/>
        <w:jc w:val="both"/>
        <w:rPr>
          <w:rFonts w:ascii="Times New Roman" w:hAnsi="Times New Roman"/>
          <w:sz w:val="22"/>
        </w:rPr>
      </w:pPr>
      <w:r>
        <w:rPr/>
        <w:drawing>
          <wp:inline distT="0" distB="0" distL="0" distR="0">
            <wp:extent cx="5930900" cy="3149600"/>
            <wp:effectExtent l="0" t="0" r="0" b="0"/>
            <wp:docPr id="8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0" t="838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nsPlusNormal1"/>
        <w:widowControl/>
        <w:tabs>
          <w:tab w:val="clear" w:pos="709"/>
          <w:tab w:val="left" w:pos="993" w:leader="none"/>
        </w:tabs>
        <w:ind w:left="-567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Если договором предусмотрен график выполнения работ с разбивкой на этапы, индекс-дефлятор рассчитывается индивидуально для каждого этапа в соответствии с формулой 2  пункта 9 раздела 3.3.6 Методики (аналогично примеру расчета единого индекса-дефлятора к договору приложение 10).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sectPr>
      <w:footerReference w:type="default" r:id="rId15"/>
      <w:footerReference w:type="first" r:id="rId16"/>
      <w:footnotePr>
        <w:numFmt w:val="decimal"/>
        <w:numRestart w:val="eachPage"/>
      </w:footnotePr>
      <w:type w:val="nextPage"/>
      <w:pgSz w:w="11906" w:h="16838"/>
      <w:pgMar w:left="1276" w:right="707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8602217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563466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418824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2474687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6174724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457807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 xml:space="preserve">Пункт </w:t>
      </w:r>
      <w:r>
        <w:rPr/>
        <w:fldChar w:fldCharType="begin"/>
      </w:r>
      <w:r>
        <w:rPr/>
        <w:instrText xml:space="preserve"> REF _Ref19086149 \r \h </w:instrText>
      </w:r>
      <w:r>
        <w:rPr/>
        <w:fldChar w:fldCharType="separate"/>
      </w:r>
      <w:r>
        <w:rPr/>
        <w:t>Ошибка: источник перекрёстной ссылки не найден</w:t>
      </w:r>
      <w:r>
        <w:rPr/>
        <w:fldChar w:fldCharType="end"/>
      </w:r>
      <w:r>
        <w:rPr/>
        <w:t xml:space="preserve">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3">
    <w:p>
      <w:pPr>
        <w:pStyle w:val="FootnoteText"/>
        <w:jc w:val="both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 xml:space="preserve">Стоимость электроэнергии определять в соответствии с рекомендациями, изложенными по ссылке </w:t>
      </w:r>
      <w:hyperlink r:id="rId1">
        <w:r>
          <w:rPr>
            <w:rStyle w:val="Hyperlink"/>
          </w:rPr>
          <w:t>http://grandsmeta82.ru/znaj-kak/grand-smeta-baza-znanij/109-raschet-zatrat-na-energonositeli-elektroenergiyu-toplivo-i-pr-v-grand-smete.html</w:t>
        </w:r>
      </w:hyperlink>
      <w:r>
        <w:rPr/>
        <w:t xml:space="preserve"> </w:t>
      </w:r>
    </w:p>
    <w:p>
      <w:pPr>
        <w:pStyle w:val="FootnoteText"/>
        <w:jc w:val="both"/>
        <w:rPr/>
      </w:pPr>
      <w:r>
        <w:rPr/>
      </w:r>
    </w:p>
  </w:footnote>
  <w:footnote w:id="4"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Style w:val="Style3"/>
        </w:rPr>
        <w:footnoteRef/>
      </w:r>
      <w:r>
        <w:rPr/>
        <w:t xml:space="preserve"> </w:t>
      </w:r>
      <w:r>
        <w:rPr>
          <w:rFonts w:eastAsia="Calibri" w:ascii="Times New Roman" w:hAnsi="Times New Roman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rFonts w:ascii="Times New Roman" w:hAnsi="Times New Roman"/>
          <w:szCs w:val="24"/>
        </w:rPr>
        <w:t xml:space="preserve"> </w:t>
      </w:r>
    </w:p>
    <w:p>
      <w:pPr>
        <w:pStyle w:val="FootnoteText"/>
        <w:rPr/>
      </w:pPr>
      <w:r>
        <w:rPr/>
      </w:r>
    </w:p>
  </w:footnote>
  <w:footnote w:id="5">
    <w:p>
      <w:pPr>
        <w:pStyle w:val="FootnoteText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2"/>
        <w:i w:val="false"/>
        <w:b w:val="false"/>
        <w:szCs w:val="22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sz w:val="22"/>
        <w:b w:val="false"/>
        <w:szCs w:val="22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4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 w:customStyle="1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6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">
    <w:name w:val="line number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30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1113" w:customStyle="1">
    <w:name w:val="РГ_1.1.1_3 Знак"/>
    <w:link w:val="11131"/>
    <w:qFormat/>
    <w:rsid w:val="00ca2697"/>
    <w:rPr>
      <w:rFonts w:ascii="Times New Roman" w:hAnsi="Times New Roman"/>
      <w:sz w:val="28"/>
      <w:szCs w:val="28"/>
    </w:rPr>
  </w:style>
  <w:style w:type="character" w:styleId="Style16" w:customStyle="1">
    <w:name w:val="РГ_текст табл Знак"/>
    <w:basedOn w:val="DefaultParagraphFont"/>
    <w:link w:val="Style35"/>
    <w:qFormat/>
    <w:rsid w:val="00ca2697"/>
    <w:rPr>
      <w:rFonts w:ascii="Calibri" w:hAnsi="Calibri" w:eastAsia="Calibri" w:cs="Calibri" w:asciiTheme="minorHAnsi" w:cstheme="minorHAnsi" w:hAnsiTheme="minorHAnsi"/>
      <w:sz w:val="24"/>
      <w:szCs w:val="24"/>
      <w:lang w:eastAsia="en-US"/>
    </w:rPr>
  </w:style>
  <w:style w:type="character" w:styleId="Style17" w:customStyle="1">
    <w:name w:val="РГ_номер текста табл Знак"/>
    <w:basedOn w:val="12"/>
    <w:link w:val="Style36"/>
    <w:qFormat/>
    <w:rsid w:val="00ca2697"/>
    <w:rPr>
      <w:rFonts w:ascii="Calibri" w:hAnsi="Calibri" w:eastAsia="Calibri" w:cs="Calibri" w:asciiTheme="minorHAnsi" w:cstheme="minorHAnsi" w:hAnsiTheme="minorHAnsi"/>
      <w:sz w:val="24"/>
      <w:szCs w:val="22"/>
      <w:lang w:eastAsia="en-US"/>
    </w:rPr>
  </w:style>
  <w:style w:type="character" w:styleId="111" w:customStyle="1">
    <w:name w:val="1.1. таблица Знак"/>
    <w:basedOn w:val="Style17"/>
    <w:link w:val="113"/>
    <w:qFormat/>
    <w:rsid w:val="00ca2697"/>
    <w:rPr>
      <w:rFonts w:ascii="Calibri" w:hAnsi="Calibri" w:eastAsia="Calibri" w:cs="Calibri" w:asciiTheme="minorHAnsi" w:cstheme="minorHAnsi" w:hAnsiTheme="minorHAnsi"/>
      <w:sz w:val="24"/>
      <w:szCs w:val="22"/>
      <w:lang w:eastAsia="en-US"/>
    </w:rPr>
  </w:style>
  <w:style w:type="character" w:styleId="11114" w:customStyle="1">
    <w:name w:val="РГ_1.1.1.1._4 Знак"/>
    <w:link w:val="111141"/>
    <w:qFormat/>
    <w:rsid w:val="00e9474d"/>
    <w:rPr>
      <w:rFonts w:ascii="Times New Roman" w:hAnsi="Times New Roman"/>
      <w:sz w:val="28"/>
      <w:szCs w:val="28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1" w:customStyle="1">
    <w:name w:val="WW8Num1z1"/>
    <w:qFormat/>
    <w:rsid w:val="00966c04"/>
    <w:rPr>
      <w:rFonts w:ascii="OpenSymbol" w:hAnsi="OpenSymbol" w:cs="OpenSymbol"/>
    </w:rPr>
  </w:style>
  <w:style w:type="character" w:styleId="Style19" w:customStyle="1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ListParagraph">
    <w:name w:val="List Paragraph"/>
    <w:basedOn w:val="Normal"/>
    <w:link w:val="Style13"/>
    <w:uiPriority w:val="34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3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4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5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6" w:customStyle="1">
    <w:name w:val="Подпункт"/>
    <w:basedOn w:val="Style25"/>
    <w:link w:val="1"/>
    <w:qFormat/>
    <w:rsid w:val="00b5006b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7" w:customStyle="1">
    <w:name w:val="Подподпункт"/>
    <w:basedOn w:val="Style26"/>
    <w:qFormat/>
    <w:rsid w:val="00b5006b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8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qFormat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30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32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3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4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12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16" w:customStyle="1">
    <w:name w:val="РГ_Глава_1"/>
    <w:basedOn w:val="Normal"/>
    <w:qFormat/>
    <w:rsid w:val="00ca2697"/>
    <w:pPr>
      <w:keepNext w:val="true"/>
      <w:keepLines/>
      <w:numPr>
        <w:ilvl w:val="0"/>
        <w:numId w:val="14"/>
      </w:numPr>
      <w:tabs>
        <w:tab w:val="clear" w:pos="709"/>
        <w:tab w:val="left" w:pos="1985" w:leader="none"/>
      </w:tabs>
      <w:spacing w:lineRule="auto" w:line="240" w:before="0" w:after="0"/>
      <w:jc w:val="center"/>
      <w:outlineLvl w:val="1"/>
    </w:pPr>
    <w:rPr>
      <w:rFonts w:ascii="Times New Roman" w:hAnsi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ca2697"/>
    <w:pPr>
      <w:widowControl w:val="false"/>
      <w:numPr>
        <w:ilvl w:val="1"/>
        <w:numId w:val="14"/>
      </w:numPr>
      <w:spacing w:lineRule="auto" w:line="240" w:before="120" w:after="0"/>
      <w:jc w:val="both"/>
      <w:outlineLvl w:val="0"/>
    </w:pPr>
    <w:rPr>
      <w:rFonts w:ascii="Calibri" w:hAnsi="Calibri" w:cs="Calibri" w:asciiTheme="minorHAnsi" w:cstheme="minorHAnsi" w:hAnsiTheme="minorHAnsi"/>
      <w:sz w:val="28"/>
      <w:szCs w:val="28"/>
    </w:rPr>
  </w:style>
  <w:style w:type="paragraph" w:styleId="11131" w:customStyle="1">
    <w:name w:val="РГ_1.1.1_3"/>
    <w:basedOn w:val="Normal"/>
    <w:link w:val="1113"/>
    <w:qFormat/>
    <w:rsid w:val="00ca2697"/>
    <w:pPr>
      <w:widowControl w:val="false"/>
      <w:numPr>
        <w:ilvl w:val="2"/>
        <w:numId w:val="14"/>
      </w:numPr>
      <w:spacing w:lineRule="auto" w:line="240" w:before="120" w:after="120"/>
      <w:jc w:val="both"/>
    </w:pPr>
    <w:rPr>
      <w:rFonts w:ascii="Times New Roman" w:hAnsi="Times New Roman"/>
      <w:sz w:val="28"/>
      <w:szCs w:val="28"/>
    </w:rPr>
  </w:style>
  <w:style w:type="paragraph" w:styleId="111141" w:customStyle="1">
    <w:name w:val="РГ_1.1.1.1._4"/>
    <w:basedOn w:val="11131"/>
    <w:link w:val="11114"/>
    <w:qFormat/>
    <w:rsid w:val="00ca2697"/>
    <w:pPr>
      <w:numPr>
        <w:ilvl w:val="3"/>
      </w:numPr>
      <w:tabs>
        <w:tab w:val="clear" w:pos="709"/>
        <w:tab w:val="left" w:pos="360" w:leader="none"/>
      </w:tabs>
    </w:pPr>
    <w:rPr/>
  </w:style>
  <w:style w:type="paragraph" w:styleId="51" w:customStyle="1">
    <w:name w:val="РГ_а)_5"/>
    <w:basedOn w:val="Normal"/>
    <w:qFormat/>
    <w:rsid w:val="00ca2697"/>
    <w:pPr>
      <w:numPr>
        <w:ilvl w:val="5"/>
        <w:numId w:val="14"/>
      </w:numPr>
      <w:spacing w:lineRule="auto" w:line="240" w:before="0" w:after="0"/>
      <w:jc w:val="both"/>
    </w:pPr>
    <w:rPr>
      <w:rFonts w:ascii="Times New Roman" w:hAnsi="Times New Roman"/>
      <w:sz w:val="28"/>
      <w:szCs w:val="28"/>
    </w:rPr>
  </w:style>
  <w:style w:type="paragraph" w:styleId="151" w:customStyle="1">
    <w:name w:val="РГ_1)___5"/>
    <w:basedOn w:val="111141"/>
    <w:qFormat/>
    <w:rsid w:val="00ca2697"/>
    <w:pPr>
      <w:numPr>
        <w:ilvl w:val="4"/>
      </w:numPr>
    </w:pPr>
    <w:rPr/>
  </w:style>
  <w:style w:type="paragraph" w:styleId="Style35" w:customStyle="1">
    <w:name w:val="РГ_текст табл"/>
    <w:basedOn w:val="112"/>
    <w:link w:val="Style16"/>
    <w:qFormat/>
    <w:rsid w:val="00ca2697"/>
    <w:pPr>
      <w:numPr>
        <w:ilvl w:val="0"/>
        <w:numId w:val="0"/>
      </w:numPr>
      <w:spacing w:before="0" w:after="0"/>
      <w:ind w:left="34" w:hanging="0"/>
      <w:outlineLvl w:val="9"/>
    </w:pPr>
    <w:rPr>
      <w:rFonts w:eastAsia="Calibri"/>
      <w:sz w:val="24"/>
      <w:szCs w:val="24"/>
      <w:lang w:eastAsia="en-US"/>
    </w:rPr>
  </w:style>
  <w:style w:type="paragraph" w:styleId="Style36" w:customStyle="1">
    <w:name w:val="РГ_номер текста табл"/>
    <w:basedOn w:val="ListParagraph"/>
    <w:link w:val="Style17"/>
    <w:qFormat/>
    <w:rsid w:val="00ca2697"/>
    <w:pPr>
      <w:numPr>
        <w:ilvl w:val="0"/>
        <w:numId w:val="13"/>
      </w:numPr>
      <w:spacing w:lineRule="auto" w:line="240" w:before="0" w:after="0"/>
      <w:contextualSpacing/>
      <w:jc w:val="both"/>
    </w:pPr>
    <w:rPr>
      <w:rFonts w:ascii="Calibri" w:hAnsi="Calibri" w:eastAsia="Calibri" w:cs="Calibri" w:asciiTheme="minorHAnsi" w:cstheme="minorHAnsi" w:hAnsiTheme="minorHAnsi"/>
      <w:sz w:val="24"/>
      <w:lang w:eastAsia="en-US"/>
    </w:rPr>
  </w:style>
  <w:style w:type="paragraph" w:styleId="113" w:customStyle="1">
    <w:name w:val="1.1. таблица"/>
    <w:basedOn w:val="Style36"/>
    <w:link w:val="111"/>
    <w:qFormat/>
    <w:rsid w:val="00ca2697"/>
    <w:pPr>
      <w:numPr>
        <w:ilvl w:val="1"/>
      </w:numPr>
    </w:pPr>
    <w:rPr/>
  </w:style>
  <w:style w:type="paragraph" w:styleId="Style3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4296234291" w:customStyle="1">
    <w:name w:val="429623429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6"/>
    <w:uiPriority w:val="5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image" Target="media/image2.png"/><Relationship Id="rId15" Type="http://schemas.openxmlformats.org/officeDocument/2006/relationships/footer" Target="footer12.xml"/><Relationship Id="rId16" Type="http://schemas.openxmlformats.org/officeDocument/2006/relationships/footer" Target="footer13.xml"/><Relationship Id="rId17" Type="http://schemas.openxmlformats.org/officeDocument/2006/relationships/footnotes" Target="footnotes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grandsmeta82.ru/znaj-kak/grand-smeta-baza-znanij/109-raschet-zatrat-na-energonositeli-elektroenergiyu-toplivo-i-pr-v-grand-smete.html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B55B-7EA9-4402-9A0C-61D5FB3A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AlterOffice/3.4.0.9$Linux_X86_64 LibreOffice_project/b8daf9e823b1a5463a2f48435ddc2e8696e7d4fc</Application>
  <AppVersion>15.0000</AppVersion>
  <Pages>23</Pages>
  <Words>5220</Words>
  <Characters>36320</Characters>
  <CharactersWithSpaces>42431</CharactersWithSpaces>
  <Paragraphs>578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2024-10-15T06:11:00Z</dcterms:created>
  <dc:creator>Торопов Денис Владимирович</dc:creator>
  <dc:description/>
  <dc:language>ru-RU</dc:language>
  <cp:lastModifiedBy>tihanovaov@corp.gidroogk.com</cp:lastModifiedBy>
  <cp:lastPrinted>2021-07-09T09:18:00Z</cp:lastPrinted>
  <dcterms:modified xsi:type="dcterms:W3CDTF">2026-07-22T10:18:20Z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