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footnotes.xml.rels" ContentType="application/vnd.openxmlformats-package.relationship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footer6.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media/image9.wmf" ContentType="image/x-wmf"/>
  <Override PartName="/word/media/image19.wmf" ContentType="image/x-wmf"/>
  <Override PartName="/word/media/image8.wmf" ContentType="image/x-wmf"/>
  <Override PartName="/word/media/image18.wmf" ContentType="image/x-wmf"/>
  <Override PartName="/word/media/image20.wmf" ContentType="image/x-wmf"/>
  <Override PartName="/word/media/image7.wmf" ContentType="image/x-wmf"/>
  <Override PartName="/word/media/image6.wmf" ContentType="image/x-wmf"/>
  <Override PartName="/word/media/image16.wmf" ContentType="image/x-wmf"/>
  <Override PartName="/word/media/image17.png" ContentType="image/png"/>
  <Override PartName="/word/media/image4.wmf" ContentType="image/x-wmf"/>
  <Override PartName="/word/media/image14.wmf" ContentType="image/x-wmf"/>
  <Override PartName="/word/media/image11.wmf" ContentType="image/x-wmf"/>
  <Override PartName="/word/media/image13.wmf" ContentType="image/x-wmf"/>
  <Override PartName="/word/media/image3.wmf" ContentType="image/x-wmf"/>
  <Override PartName="/word/media/image12.wmf" ContentType="image/x-wmf"/>
  <Override PartName="/word/media/image2.wmf" ContentType="image/x-wmf"/>
  <Override PartName="/word/media/image1.png" ContentType="image/png"/>
  <Override PartName="/word/media/image10.wmf" ContentType="image/x-wmf"/>
  <Override PartName="/word/media/image5.wmf" ContentType="image/x-wmf"/>
  <Override PartName="/word/media/image15.wmf" ContentType="image/x-wmf"/>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 xml:space="preserve">Договор поставки № </w:t>
      </w:r>
      <w:r>
        <w:rPr>
          <w:b/>
          <w:bCs/>
          <w:sz w:val="24"/>
          <w:szCs w:val="24"/>
        </w:rPr>
        <w:t>__________________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Жигулевск</w:t>
        <w:tab/>
        <w:t xml:space="preserve">   «___» _________ 202</w:t>
      </w:r>
      <w:r>
        <w:rPr>
          <w:bCs/>
          <w:sz w:val="24"/>
          <w:szCs w:val="24"/>
        </w:rPr>
        <w:t>__</w:t>
      </w:r>
      <w:r>
        <w:rPr>
          <w:bCs/>
          <w:sz w:val="24"/>
          <w:szCs w:val="24"/>
        </w:rPr>
        <w:t xml:space="preserve">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филиала ПАО «РусГидро - «Жигулёвская ГЭС» Шепелева Вячеслава Владимировича</w:t>
      </w:r>
      <w:r>
        <w:rPr>
          <w:spacing w:val="4"/>
          <w:sz w:val="24"/>
          <w:szCs w:val="24"/>
        </w:rPr>
        <w:t>, действующего на основании доверенности № _____________г.,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highlight w:val="lightGray"/>
          <w:lang w:eastAsia="en-US"/>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закупки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0" w:leader="none"/>
        </w:tabs>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 xml:space="preserve">запасные части для ремонта компрессорного оборудования Филиала ПАО «РусГидро» - «Жигулевской ГЭС»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«Жигулевская ГЭС».</w:t>
      </w:r>
    </w:p>
    <w:p>
      <w:pPr>
        <w:pStyle w:val="Normal"/>
        <w:numPr>
          <w:ilvl w:val="1"/>
          <w:numId w:val="2"/>
        </w:numPr>
        <w:shd w:val="clear" w:color="auto" w:fill="FFFFFF"/>
        <w:tabs>
          <w:tab w:val="clear" w:pos="709"/>
          <w:tab w:val="left" w:pos="0" w:leader="none"/>
          <w:tab w:val="left" w:pos="540" w:leader="none"/>
          <w:tab w:val="left" w:pos="1134" w:leader="none"/>
          <w:tab w:val="left" w:pos="1855" w:leader="none"/>
        </w:tabs>
        <w:ind w:left="0" w:firstLine="709"/>
        <w:jc w:val="both"/>
        <w:rPr>
          <w:bCs/>
          <w:sz w:val="24"/>
          <w:szCs w:val="24"/>
        </w:rPr>
      </w:pPr>
      <w:r>
        <w:rPr>
          <w:bCs/>
          <w:sz w:val="24"/>
          <w:szCs w:val="24"/>
        </w:rPr>
        <w:t xml:space="preserve">Место поставки Товара: </w:t>
      </w:r>
      <w:r>
        <w:rPr>
          <w:sz w:val="24"/>
          <w:szCs w:val="24"/>
        </w:rPr>
        <w:t>г.Жигулевск, Московское шоссе, д.2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подписания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 не позднее 6 месяцев с даты подписания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vertAlign w:val="superscript"/>
        </w:rPr>
        <w:t xml:space="preserve"> </w:t>
      </w:r>
      <w:r>
        <w:rPr>
          <w:bCs/>
          <w:sz w:val="24"/>
          <w:szCs w:val="24"/>
        </w:rPr>
        <w:t xml:space="preserve">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vertAlign w:val="superscript"/>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Авансовые платежи за Товар в размере 30 (тридцати) процентов от стоимости Товара выплачиваются Поставщику при условии получения Покупателем уведомления от Поставщика о начале изготовления 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w:t>
      </w:r>
      <w:r>
        <w:rPr>
          <w:sz w:val="24"/>
          <w:szCs w:val="24"/>
          <w:vertAlign w:val="superscript"/>
        </w:rPr>
        <w:t xml:space="preserve"> </w:t>
      </w:r>
      <w:r>
        <w:rPr>
          <w:sz w:val="24"/>
          <w:szCs w:val="24"/>
        </w:rPr>
        <w:t>Товара, и с учетом пунктов 2.4.1, 2.4.4 Договора.</w:t>
      </w:r>
    </w:p>
    <w:p>
      <w:pPr>
        <w:pStyle w:val="ListParagraph"/>
        <w:numPr>
          <w:ilvl w:val="2"/>
          <w:numId w:val="2"/>
        </w:numPr>
        <w:shd w:val="clear" w:color="auto" w:fill="FFFFFF"/>
        <w:tabs>
          <w:tab w:val="clear" w:pos="709"/>
          <w:tab w:val="left" w:pos="1418" w:leader="none"/>
        </w:tabs>
        <w:ind w:left="0" w:firstLine="709"/>
        <w:jc w:val="both"/>
        <w:rPr>
          <w:sz w:val="24"/>
          <w:szCs w:val="24"/>
        </w:rPr>
      </w:pPr>
      <w:r>
        <w:rPr>
          <w:sz w:val="24"/>
          <w:szCs w:val="24"/>
        </w:rPr>
        <w:t xml:space="preserve">Последующие платежи в размере 70 % (семидесяти процентов) от стоимости Товара выплачиваются Поставщику в течение </w:t>
      </w:r>
      <w:r>
        <w:rPr>
          <w:sz w:val="24"/>
          <w:szCs w:val="24"/>
          <w:highlight w:val="lightGray"/>
        </w:rPr>
        <w:t>20 (двадцати) календарных дней</w:t>
      </w:r>
      <w:r>
        <w:rPr>
          <w:rStyle w:val="FootnoteReference"/>
          <w:sz w:val="24"/>
          <w:szCs w:val="24"/>
          <w:highlight w:val="lightGray"/>
        </w:rPr>
        <w:footnoteReference w:id="3"/>
      </w:r>
      <w:r>
        <w:rPr>
          <w:sz w:val="24"/>
          <w:szCs w:val="24"/>
          <w:highlight w:val="lightGray"/>
        </w:rPr>
        <w:t xml:space="preserve"> / 7 (семи) рабочих дней</w:t>
      </w:r>
      <w:r>
        <w:rPr>
          <w:rStyle w:val="FootnoteReference"/>
          <w:sz w:val="24"/>
          <w:szCs w:val="24"/>
          <w:highlight w:val="lightGray"/>
        </w:rPr>
        <w:footnoteReference w:id="4"/>
      </w:r>
      <w:r>
        <w:rPr>
          <w:sz w:val="24"/>
          <w:szCs w:val="24"/>
          <w:vertAlign w:val="superscript"/>
        </w:rPr>
        <w:t xml:space="preserve"> </w:t>
      </w:r>
      <w:r>
        <w:rPr>
          <w:sz w:val="24"/>
          <w:szCs w:val="24"/>
        </w:rPr>
        <w:t>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Погрузка, доставка, </w:t>
      </w:r>
      <w:r>
        <w:rPr>
          <w:sz w:val="24"/>
          <w:szCs w:val="24"/>
          <w:highlight w:val="lightGray"/>
        </w:rPr>
        <w:t xml:space="preserve">разгрузка и перемещение Товара (в том числе </w:t>
        <w:br/>
        <w:t>по территории Покупателя)</w:t>
      </w:r>
      <w:r>
        <w:rPr>
          <w:rStyle w:val="FootnoteReference"/>
          <w:bCs/>
          <w:sz w:val="24"/>
          <w:szCs w:val="24"/>
          <w:highlight w:val="lightGray"/>
        </w:rPr>
        <w:footnoteReference w:id="5"/>
      </w:r>
      <w:r>
        <w:rPr>
          <w:bCs/>
          <w:sz w:val="24"/>
          <w:szCs w:val="24"/>
        </w:rPr>
        <w:t xml:space="preserve"> осуществляется Поставщиком. Стоимость погрузки, доставки, разгрузки </w:t>
      </w:r>
      <w:r>
        <w:rPr>
          <w:sz w:val="24"/>
          <w:szCs w:val="24"/>
          <w:highlight w:val="lightGray"/>
        </w:rPr>
        <w:t>и перемещения Товара</w:t>
      </w:r>
      <w:r>
        <w:rPr>
          <w:bCs/>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6"/>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без учета НДС.</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7"/>
      </w:r>
      <w:r>
        <w:rPr>
          <w:sz w:val="24"/>
          <w:szCs w:val="24"/>
          <w:highlight w:val="lightGray"/>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w:t>
      </w:r>
      <w:r>
        <w:rPr>
          <w:rFonts w:eastAsia="Calibri"/>
          <w:bCs/>
          <w:sz w:val="24"/>
          <w:szCs w:val="24"/>
        </w:rPr>
        <w:t xml:space="preserve">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 - в случае, когда нарушение привело или неизбежно приведет к изменению срока поставки Товара в целом по Договору;</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numPr>
          <w:ilvl w:val="1"/>
          <w:numId w:val="2"/>
        </w:numPr>
        <w:tabs>
          <w:tab w:val="clear" w:pos="709"/>
          <w:tab w:val="left" w:pos="1560" w:leader="none"/>
          <w:tab w:val="left" w:pos="1701" w:leader="none"/>
        </w:tabs>
        <w:ind w:left="0" w:firstLine="709"/>
        <w:jc w:val="both"/>
        <w:rPr>
          <w:sz w:val="24"/>
          <w:szCs w:val="24"/>
          <w:highlight w:val="lightGray"/>
        </w:rPr>
      </w:pPr>
      <w:r>
        <w:rPr>
          <w:sz w:val="24"/>
          <w:szCs w:val="24"/>
          <w:highlight w:val="lightGray"/>
        </w:rPr>
        <w:t>В случае если неисполнение / ненадлежащее исполнение Поставщиком обязательств по Договору повлекло за собой нарушение Покупателем обязательств на оптовом и / или розничных рынках электрической энергии и мощности, Поставщик несет ответственность перед Покупателем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Покупателем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 своих обязательств.</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Кроме суммы реального ущерба, Поставщик компенсирует Покупателю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Размер упущенной выгоды (выручки) подтверждается (по выбору Покупателя):</w:t>
      </w:r>
    </w:p>
    <w:p>
      <w:pPr>
        <w:pStyle w:val="Normal"/>
        <w:widowControl/>
        <w:numPr>
          <w:ilvl w:val="0"/>
          <w:numId w:val="14"/>
        </w:numPr>
        <w:tabs>
          <w:tab w:val="clear" w:pos="709"/>
          <w:tab w:val="left" w:pos="1560" w:leader="none"/>
          <w:tab w:val="left" w:pos="1701" w:leader="none"/>
        </w:tabs>
        <w:spacing w:lineRule="auto" w:line="259"/>
        <w:ind w:left="0" w:firstLine="709"/>
        <w:jc w:val="both"/>
        <w:rPr>
          <w:sz w:val="24"/>
          <w:szCs w:val="24"/>
          <w:highlight w:val="lightGray"/>
        </w:rPr>
      </w:pPr>
      <w:r>
        <w:rPr>
          <w:sz w:val="24"/>
          <w:szCs w:val="24"/>
          <w:highlight w:val="lightGray"/>
        </w:rPr>
        <w:t>в ценовых зонах:</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и / или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расчетом, подготовленным Покупателем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widowControl/>
        <w:numPr>
          <w:ilvl w:val="0"/>
          <w:numId w:val="14"/>
        </w:numPr>
        <w:tabs>
          <w:tab w:val="clear" w:pos="709"/>
          <w:tab w:val="left" w:pos="1560" w:leader="none"/>
          <w:tab w:val="left" w:pos="1701" w:leader="none"/>
        </w:tabs>
        <w:spacing w:lineRule="auto" w:line="259"/>
        <w:ind w:left="0" w:firstLine="709"/>
        <w:jc w:val="both"/>
        <w:rPr>
          <w:sz w:val="24"/>
          <w:szCs w:val="24"/>
          <w:highlight w:val="lightGray"/>
        </w:rPr>
      </w:pPr>
      <w:r>
        <w:rPr>
          <w:sz w:val="24"/>
          <w:szCs w:val="24"/>
          <w:highlight w:val="lightGray"/>
        </w:rPr>
        <w:t xml:space="preserve">в неценовой зоне Дальнего Востока: </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Покупателем на основании Методики (приложение № 7 к Договору);</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и / или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расчетом, подготовленным Покупателем на основании методики, утвержденной Наблюдательным советом Ассоциации «НП Совет рынка».</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В отношении вновь вводимого оборудования ГЭС / ГАЭС – объектов ДПМ, ДПМ ВИЭ в ценовых зонах ОРЭМ Поставщик дополнительно компенсирует Покупателю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 xml:space="preserve">В отношении вновь вводимого (модернизируемого) оборудования ТЭС в неценовой зоне Дальнего Востока Поставщик дополнительно компенсирует Покупателю упущенную выгоду (выручку) в связи: </w:t>
      </w:r>
    </w:p>
    <w:p>
      <w:pPr>
        <w:pStyle w:val="ListParagraph"/>
        <w:numPr>
          <w:ilvl w:val="2"/>
          <w:numId w:val="2"/>
        </w:numPr>
        <w:tabs>
          <w:tab w:val="clear" w:pos="709"/>
          <w:tab w:val="left" w:pos="1560" w:leader="none"/>
          <w:tab w:val="left" w:pos="1701" w:leader="none"/>
        </w:tabs>
        <w:ind w:left="0" w:firstLine="709"/>
        <w:jc w:val="both"/>
        <w:rPr>
          <w:sz w:val="24"/>
          <w:szCs w:val="24"/>
          <w:highlight w:val="lightGray"/>
        </w:rPr>
      </w:pPr>
      <w:r>
        <w:rPr>
          <w:sz w:val="24"/>
          <w:szCs w:val="24"/>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pPr>
        <w:pStyle w:val="ListParagraph"/>
        <w:numPr>
          <w:ilvl w:val="2"/>
          <w:numId w:val="2"/>
        </w:numPr>
        <w:tabs>
          <w:tab w:val="clear" w:pos="709"/>
          <w:tab w:val="left" w:pos="1560" w:leader="none"/>
          <w:tab w:val="left" w:pos="1701" w:leader="none"/>
        </w:tabs>
        <w:ind w:left="0" w:firstLine="709"/>
        <w:jc w:val="both"/>
        <w:rPr>
          <w:sz w:val="24"/>
          <w:szCs w:val="24"/>
          <w:highlight w:val="lightGray"/>
        </w:rPr>
      </w:pPr>
      <w:r>
        <w:rPr>
          <w:sz w:val="24"/>
          <w:szCs w:val="24"/>
          <w:highlight w:val="lightGray"/>
        </w:rPr>
        <w:t xml:space="preserve"> </w:t>
      </w:r>
      <w:r>
        <w:rPr>
          <w:sz w:val="24"/>
          <w:szCs w:val="24"/>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pPr>
        <w:pStyle w:val="Normal"/>
        <w:tabs>
          <w:tab w:val="clear" w:pos="709"/>
          <w:tab w:val="left" w:pos="1560" w:leader="none"/>
          <w:tab w:val="left" w:pos="1701" w:leader="none"/>
        </w:tabs>
        <w:ind w:firstLine="709"/>
        <w:jc w:val="both"/>
        <w:rPr>
          <w:sz w:val="24"/>
          <w:szCs w:val="24"/>
          <w:highlight w:val="lightGray"/>
        </w:rPr>
      </w:pPr>
      <w:r>
        <w:rPr>
          <w:sz w:val="24"/>
          <w:szCs w:val="24"/>
          <w:highlight w:val="lightGray"/>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
        </w:numPr>
        <w:tabs>
          <w:tab w:val="clear" w:pos="709"/>
          <w:tab w:val="left" w:pos="1560" w:leader="none"/>
        </w:tabs>
        <w:ind w:left="0" w:firstLine="709"/>
        <w:jc w:val="both"/>
        <w:rPr>
          <w:sz w:val="24"/>
          <w:szCs w:val="24"/>
          <w:highlight w:val="lightGray"/>
        </w:rPr>
      </w:pPr>
      <w:r>
        <w:rPr>
          <w:sz w:val="24"/>
          <w:szCs w:val="24"/>
          <w:highlight w:val="lightGray"/>
        </w:rPr>
        <w:t xml:space="preserve"> </w:t>
      </w:r>
      <w:r>
        <w:rPr>
          <w:sz w:val="24"/>
          <w:szCs w:val="24"/>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FootnoteReference"/>
          <w:sz w:val="24"/>
          <w:szCs w:val="24"/>
          <w:highlight w:val="lightGray"/>
        </w:rPr>
        <w:footnoteReference w:id="8"/>
      </w:r>
      <w:r>
        <w:rPr>
          <w:sz w:val="24"/>
          <w:szCs w:val="24"/>
          <w:highlight w:val="lightGray"/>
        </w:rPr>
        <w:t>.</w:t>
      </w:r>
    </w:p>
    <w:p>
      <w:pPr>
        <w:pStyle w:val="Normal"/>
        <w:tabs>
          <w:tab w:val="clear" w:pos="709"/>
          <w:tab w:val="left" w:pos="1560" w:leader="none"/>
        </w:tabs>
        <w:ind w:firstLine="709"/>
        <w:jc w:val="both"/>
        <w:rPr>
          <w:sz w:val="24"/>
          <w:szCs w:val="24"/>
          <w:highlight w:val="lightGray"/>
        </w:rPr>
      </w:pPr>
      <w:r>
        <w:rPr>
          <w:sz w:val="24"/>
          <w:szCs w:val="24"/>
          <w:highlight w:val="lightGray"/>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 № 6 к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134" w:leader="none"/>
          <w:tab w:val="left" w:pos="1701"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0" w:leader="none"/>
          <w:tab w:val="left" w:pos="1701"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tabs>
          <w:tab w:val="clear" w:pos="709"/>
          <w:tab w:val="left" w:pos="1134" w:leader="none"/>
          <w:tab w:val="left" w:pos="1567"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Самарской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shd w:val="clear" w:color="auto" w:fill="FFFFFF"/>
        <w:tabs>
          <w:tab w:val="clear" w:pos="709"/>
          <w:tab w:val="left" w:pos="0" w:leader="none"/>
          <w:tab w:val="left" w:pos="1418"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418" w:leader="none"/>
          <w:tab w:val="left" w:pos="1851"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9"/>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0"/>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1"/>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bookmarkStart w:id="12" w:name="sub_1"/>
      <w:r>
        <w:rPr>
          <w:rFonts w:eastAsia="Calibri"/>
          <w:sz w:val="24"/>
          <w:szCs w:val="24"/>
          <w:lang w:eastAsia="en-US"/>
        </w:rPr>
        <w:t>Приложение № 4 – Критерии отбора Банков-Гарантов.</w:t>
      </w:r>
      <w:bookmarkEnd w:id="12"/>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sz w:val="24"/>
          <w:szCs w:val="24"/>
          <w:highlight w:val="lightGray"/>
        </w:rPr>
        <w:t>Приложение № 6 -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4"/>
        <w:gridCol w:w="144"/>
        <w:gridCol w:w="4642"/>
        <w:gridCol w:w="32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Красноярский край, г. Красноярск</w:t>
            </w:r>
          </w:p>
          <w:p>
            <w:pPr>
              <w:pStyle w:val="Normal"/>
              <w:widowControl w:val="false"/>
              <w:rPr>
                <w:sz w:val="24"/>
                <w:szCs w:val="24"/>
              </w:rPr>
            </w:pPr>
            <w:r>
              <w:rPr>
                <w:sz w:val="24"/>
                <w:szCs w:val="24"/>
              </w:rPr>
              <w:t>Адрес: 660017, Красноярский край,</w:t>
            </w:r>
          </w:p>
          <w:p>
            <w:pPr>
              <w:pStyle w:val="Normal"/>
              <w:widowControl w:val="false"/>
              <w:rPr>
                <w:sz w:val="24"/>
                <w:szCs w:val="24"/>
              </w:rPr>
            </w:pPr>
            <w:r>
              <w:rPr>
                <w:sz w:val="24"/>
                <w:szCs w:val="24"/>
              </w:rPr>
              <w:t>г. Красноярск, ул. Дубровинского,</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Почтовый адрес: 117393, г. Москва, ул. Малая Дмитровка, д.7.</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ИНН 2460066195 / КПП 997450001</w:t>
            </w:r>
          </w:p>
          <w:p>
            <w:pPr>
              <w:pStyle w:val="Normal"/>
              <w:widowControl w:val="false"/>
              <w:rPr>
                <w:sz w:val="24"/>
                <w:szCs w:val="24"/>
              </w:rPr>
            </w:pPr>
            <w:r>
              <w:rPr>
                <w:sz w:val="24"/>
                <w:szCs w:val="24"/>
              </w:rPr>
            </w:r>
          </w:p>
          <w:p>
            <w:pPr>
              <w:pStyle w:val="Normal"/>
              <w:widowControl w:val="false"/>
              <w:rPr>
                <w:sz w:val="24"/>
                <w:szCs w:val="24"/>
              </w:rPr>
            </w:pPr>
            <w:r>
              <w:rPr>
                <w:sz w:val="24"/>
                <w:szCs w:val="24"/>
              </w:rPr>
              <w:t>Филиал ПАО «РусГидро» - «Жигулевская ГЭС»</w:t>
            </w:r>
          </w:p>
          <w:p>
            <w:pPr>
              <w:pStyle w:val="Normal"/>
              <w:widowControl w:val="false"/>
              <w:rPr>
                <w:sz w:val="24"/>
                <w:szCs w:val="24"/>
              </w:rPr>
            </w:pPr>
            <w:r>
              <w:rPr>
                <w:sz w:val="24"/>
                <w:szCs w:val="24"/>
              </w:rPr>
              <w:t>Место нахождения: Российская Федерация, Самарская обл., г. Жигулевск</w:t>
            </w:r>
          </w:p>
          <w:p>
            <w:pPr>
              <w:pStyle w:val="Normal"/>
              <w:widowControl w:val="false"/>
              <w:rPr>
                <w:sz w:val="24"/>
                <w:szCs w:val="24"/>
              </w:rPr>
            </w:pPr>
            <w:r>
              <w:rPr>
                <w:sz w:val="24"/>
                <w:szCs w:val="24"/>
              </w:rPr>
              <w:t>Почтовый адрес филиала: 445350, Самарская обл., г. Жигулевск, ул. Московское шоссе,2</w:t>
            </w:r>
          </w:p>
          <w:p>
            <w:pPr>
              <w:pStyle w:val="Normal"/>
              <w:widowControl w:val="false"/>
              <w:rPr>
                <w:sz w:val="24"/>
                <w:szCs w:val="24"/>
              </w:rPr>
            </w:pPr>
            <w:r>
              <w:rPr>
                <w:sz w:val="24"/>
                <w:szCs w:val="24"/>
              </w:rPr>
            </w:r>
          </w:p>
          <w:p>
            <w:pPr>
              <w:pStyle w:val="Normal"/>
              <w:widowControl w:val="false"/>
              <w:rPr>
                <w:sz w:val="24"/>
                <w:szCs w:val="24"/>
              </w:rPr>
            </w:pPr>
            <w:r>
              <w:rPr>
                <w:sz w:val="24"/>
                <w:szCs w:val="24"/>
              </w:rPr>
              <w:t>ОКПО 00102551, ОКВЭД 40.10.12,</w:t>
            </w:r>
          </w:p>
          <w:p>
            <w:pPr>
              <w:pStyle w:val="Normal"/>
              <w:widowControl w:val="false"/>
              <w:rPr>
                <w:sz w:val="24"/>
                <w:szCs w:val="24"/>
              </w:rPr>
            </w:pPr>
            <w:r>
              <w:rPr>
                <w:sz w:val="24"/>
                <w:szCs w:val="24"/>
              </w:rPr>
              <w:t>ИНН/КПП: 2460066195/634502001</w:t>
            </w:r>
          </w:p>
          <w:p>
            <w:pPr>
              <w:pStyle w:val="Normal"/>
              <w:widowControl w:val="false"/>
              <w:rPr>
                <w:sz w:val="24"/>
                <w:szCs w:val="24"/>
              </w:rPr>
            </w:pPr>
            <w:r>
              <w:rPr>
                <w:sz w:val="24"/>
                <w:szCs w:val="24"/>
              </w:rPr>
              <w:t>Р/с: 40702810054040002491 в Поволжском    банке Сбербанка РФ, г. Самара</w:t>
            </w:r>
          </w:p>
          <w:p>
            <w:pPr>
              <w:pStyle w:val="Normal"/>
              <w:widowControl w:val="false"/>
              <w:rPr>
                <w:sz w:val="24"/>
                <w:szCs w:val="24"/>
              </w:rPr>
            </w:pPr>
            <w:r>
              <w:rPr>
                <w:sz w:val="24"/>
                <w:szCs w:val="24"/>
              </w:rPr>
              <w:t>К/с: 30101810200000000607</w:t>
            </w:r>
          </w:p>
          <w:p>
            <w:pPr>
              <w:pStyle w:val="Normal"/>
              <w:widowControl w:val="false"/>
              <w:rPr>
                <w:sz w:val="24"/>
                <w:szCs w:val="24"/>
              </w:rPr>
            </w:pPr>
            <w:r>
              <w:rPr>
                <w:sz w:val="24"/>
                <w:szCs w:val="24"/>
              </w:rPr>
              <w:t>БИК: 043601607</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(84862) 75-1-09 (номер телефона)</w:t>
            </w:r>
          </w:p>
          <w:p>
            <w:pPr>
              <w:pStyle w:val="Normal"/>
              <w:widowControl w:val="false"/>
              <w:rPr>
                <w:sz w:val="24"/>
                <w:szCs w:val="24"/>
              </w:rPr>
            </w:pPr>
            <w:r>
              <w:rPr>
                <w:sz w:val="24"/>
                <w:szCs w:val="24"/>
              </w:rPr>
              <w:t>(84862) 2-15-87  (номер факса)</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филиала ПАО «РусГидро»-«Жигулевская ГЭС»</w:t>
            </w:r>
          </w:p>
          <w:p>
            <w:pPr>
              <w:pStyle w:val="Normal"/>
              <w:widowControl w:val="false"/>
              <w:rPr>
                <w:sz w:val="24"/>
                <w:szCs w:val="24"/>
              </w:rPr>
            </w:pPr>
            <w:r>
              <w:rPr>
                <w:sz w:val="24"/>
                <w:szCs w:val="24"/>
              </w:rPr>
            </w:r>
          </w:p>
        </w:tc>
        <w:tc>
          <w:tcPr>
            <w:tcW w:w="4962"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rPr>
              <w:t>_______________ / В.В.Шепелев</w:t>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0"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right="96" w:hanging="0"/>
        <w:jc w:val="right"/>
        <w:rPr>
          <w:sz w:val="24"/>
          <w:szCs w:val="24"/>
        </w:rPr>
      </w:pPr>
      <w:r>
        <w:rPr>
          <w:sz w:val="24"/>
          <w:szCs w:val="24"/>
        </w:rPr>
        <w:t xml:space="preserve">к Договору поставки № </w:t>
      </w:r>
      <w:r>
        <w:rPr>
          <w:bCs/>
          <w:sz w:val="24"/>
          <w:szCs w:val="24"/>
        </w:rPr>
        <w:t>______________</w:t>
      </w:r>
    </w:p>
    <w:p>
      <w:pPr>
        <w:pStyle w:val="Normal"/>
        <w:suppressAutoHyphens w:val="true"/>
        <w:ind w:left="5103" w:right="96" w:hanging="0"/>
        <w:rPr>
          <w:sz w:val="22"/>
          <w:szCs w:val="22"/>
        </w:rPr>
      </w:pPr>
      <w:r>
        <w:rPr>
          <w:sz w:val="22"/>
          <w:szCs w:val="22"/>
        </w:rPr>
        <w:t>от «____» __________ 20</w:t>
      </w:r>
      <w:r>
        <w:rPr>
          <w:sz w:val="22"/>
          <w:szCs w:val="22"/>
          <w:lang w:val="en-US"/>
        </w:rPr>
        <w:t>2</w:t>
      </w:r>
      <w:r>
        <w:rPr>
          <w:sz w:val="22"/>
          <w:szCs w:val="22"/>
          <w:lang w:val="en-US"/>
        </w:rPr>
        <w:t>__</w:t>
      </w:r>
      <w:r>
        <w:rPr>
          <w:sz w:val="22"/>
          <w:szCs w:val="22"/>
        </w:rPr>
        <w:t xml:space="preserve"> г. </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4"/>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p>
    <w:p>
      <w:pPr>
        <w:pStyle w:val="Normal"/>
        <w:rPr/>
      </w:pPr>
      <w:r>
        <w:rPr/>
        <w:t>__________ /__________</w:t>
        <w:tab/>
        <w:t xml:space="preserve">                                                         ___________ /___________</w:t>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suppressAutoHyphens w:val="true"/>
        <w:ind w:right="96" w:firstLine="5103"/>
        <w:rPr>
          <w:sz w:val="22"/>
          <w:szCs w:val="22"/>
        </w:rPr>
      </w:pPr>
      <w:r>
        <w:rPr>
          <w:sz w:val="22"/>
          <w:szCs w:val="22"/>
        </w:rPr>
        <w:t>Приложение № 2</w:t>
      </w:r>
    </w:p>
    <w:p>
      <w:pPr>
        <w:pStyle w:val="Normal"/>
        <w:suppressAutoHyphens w:val="true"/>
        <w:ind w:right="96" w:hanging="0"/>
        <w:jc w:val="right"/>
        <w:rPr>
          <w:sz w:val="22"/>
          <w:szCs w:val="22"/>
        </w:rPr>
      </w:pPr>
      <w:r>
        <w:rPr>
          <w:sz w:val="22"/>
          <w:szCs w:val="22"/>
        </w:rPr>
        <w:t xml:space="preserve">к Договору поставки № </w:t>
      </w:r>
      <w:r>
        <w:rPr>
          <w:bCs/>
          <w:sz w:val="22"/>
          <w:szCs w:val="22"/>
        </w:rPr>
        <w:t>__________________</w:t>
      </w:r>
    </w:p>
    <w:p>
      <w:pPr>
        <w:pStyle w:val="Normal"/>
        <w:suppressAutoHyphens w:val="true"/>
        <w:ind w:right="96" w:firstLine="5103"/>
        <w:rPr>
          <w:sz w:val="22"/>
          <w:szCs w:val="22"/>
        </w:rPr>
      </w:pPr>
      <w:r>
        <w:rPr>
          <w:sz w:val="22"/>
          <w:szCs w:val="22"/>
        </w:rPr>
        <w:t xml:space="preserve">от «____» __________ 202 _ г.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pP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suppressAutoHyphens w:val="true"/>
        <w:ind w:right="96" w:firstLine="5103"/>
        <w:rPr>
          <w:sz w:val="22"/>
          <w:szCs w:val="22"/>
        </w:rPr>
      </w:pPr>
      <w:r>
        <w:rPr>
          <w:sz w:val="22"/>
          <w:szCs w:val="22"/>
        </w:rPr>
        <w:t>Приложение № 3</w:t>
      </w:r>
    </w:p>
    <w:p>
      <w:pPr>
        <w:pStyle w:val="Normal"/>
        <w:suppressAutoHyphens w:val="true"/>
        <w:ind w:right="96" w:hanging="0"/>
        <w:jc w:val="right"/>
        <w:rPr>
          <w:sz w:val="22"/>
          <w:szCs w:val="22"/>
        </w:rPr>
      </w:pPr>
      <w:r>
        <w:rPr>
          <w:sz w:val="22"/>
          <w:szCs w:val="22"/>
        </w:rPr>
        <w:t xml:space="preserve">к Договору поставки № </w:t>
      </w:r>
      <w:r>
        <w:rPr>
          <w:bCs/>
          <w:sz w:val="22"/>
          <w:szCs w:val="22"/>
        </w:rPr>
        <w:t>_________________________</w:t>
      </w:r>
    </w:p>
    <w:p>
      <w:pPr>
        <w:pStyle w:val="Normal"/>
        <w:suppressAutoHyphens w:val="true"/>
        <w:ind w:right="96" w:hanging="0"/>
        <w:jc w:val="right"/>
        <w:rPr>
          <w:sz w:val="22"/>
          <w:szCs w:val="22"/>
        </w:rPr>
      </w:pPr>
      <w:r>
        <w:rPr>
          <w:sz w:val="22"/>
          <w:szCs w:val="22"/>
        </w:rPr>
        <w:t>от «____» __________ 202</w:t>
      </w:r>
      <w:r>
        <w:rPr>
          <w:sz w:val="22"/>
          <w:szCs w:val="22"/>
        </w:rPr>
        <w:t>_</w:t>
      </w:r>
      <w:r>
        <w:rPr>
          <w:sz w:val="22"/>
          <w:szCs w:val="22"/>
        </w:rPr>
        <w:t xml:space="preserve"> г. </w:t>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63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6"/>
        <w:gridCol w:w="1841"/>
        <w:gridCol w:w="1843"/>
        <w:gridCol w:w="991"/>
        <w:gridCol w:w="1135"/>
        <w:gridCol w:w="991"/>
        <w:gridCol w:w="993"/>
        <w:gridCol w:w="1132"/>
      </w:tblGrid>
      <w:tr>
        <w:trPr>
          <w:trHeight w:val="230" w:hRule="atLeast"/>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Наименование Товара </w:t>
            </w:r>
          </w:p>
        </w:tc>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Обоснование стоимости, пункт Спецификации </w:t>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Сроки поставки</w:t>
            </w:r>
          </w:p>
          <w:p>
            <w:pPr>
              <w:pStyle w:val="Normal"/>
              <w:widowControl w:val="false"/>
              <w:jc w:val="center"/>
              <w:rPr/>
            </w:pPr>
            <w:r>
              <w:rPr/>
              <w:t xml:space="preserve"> </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Цена, руб.</w:t>
            </w:r>
          </w:p>
        </w:tc>
        <w:tc>
          <w:tcPr>
            <w:tcW w:w="99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Сумма НДС (__%), руб.</w:t>
            </w:r>
          </w:p>
        </w:tc>
        <w:tc>
          <w:tcPr>
            <w:tcW w:w="11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Стоимость, руб. с НДС</w:t>
            </w:r>
          </w:p>
        </w:tc>
      </w:tr>
      <w:tr>
        <w:trPr>
          <w:trHeight w:val="908" w:hRule="atLeast"/>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 xml:space="preserve">Дата начала изготовления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поставки</w:t>
            </w:r>
          </w:p>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без НДС</w:t>
            </w:r>
          </w:p>
        </w:tc>
        <w:tc>
          <w:tcPr>
            <w:tcW w:w="99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r>
      <w:tr>
        <w:trPr>
          <w:trHeight w:val="972"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right"/>
              <w:rPr>
                <w:b/>
                <w:sz w:val="24"/>
                <w:szCs w:val="24"/>
              </w:rPr>
            </w:pPr>
            <w:r>
              <w:rPr>
                <w:b/>
                <w:sz w:val="24"/>
                <w:szCs w:val="24"/>
              </w:rPr>
              <w:t>Всего по Договору:</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suppressAutoHyphens w:val="true"/>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footnotePr>
            <w:numFmt w:val="decimal"/>
          </w:footnotePr>
          <w:type w:val="continuous"/>
          <w:pgSz w:w="11906" w:h="16838"/>
          <w:pgMar w:left="1418" w:right="851" w:gutter="0" w:header="567" w:top="1134" w:footer="709" w:bottom="1134"/>
          <w:formProt w:val="false"/>
          <w:textDirection w:val="lrTb"/>
          <w:docGrid w:type="default" w:linePitch="360" w:charSpace="8192"/>
        </w:sectPr>
      </w:pPr>
    </w:p>
    <w:p>
      <w:pPr>
        <w:pStyle w:val="Normal"/>
        <w:suppressAutoHyphens w:val="true"/>
        <w:ind w:left="5103" w:right="96" w:firstLine="5103"/>
        <w:rPr>
          <w:sz w:val="22"/>
          <w:szCs w:val="22"/>
        </w:rPr>
      </w:pPr>
      <w:r>
        <w:rPr>
          <w:sz w:val="22"/>
          <w:szCs w:val="22"/>
        </w:rPr>
        <w:t>Приложение № 4</w:t>
      </w:r>
    </w:p>
    <w:p>
      <w:pPr>
        <w:pStyle w:val="Normal"/>
        <w:suppressAutoHyphens w:val="true"/>
        <w:ind w:right="96" w:hanging="0"/>
        <w:jc w:val="right"/>
        <w:rPr>
          <w:sz w:val="22"/>
          <w:szCs w:val="22"/>
        </w:rPr>
      </w:pPr>
      <w:r>
        <w:rPr>
          <w:sz w:val="22"/>
          <w:szCs w:val="22"/>
        </w:rPr>
        <w:t xml:space="preserve">к Договору поставки № </w:t>
      </w:r>
      <w:r>
        <w:rPr>
          <w:bCs/>
          <w:sz w:val="22"/>
          <w:szCs w:val="22"/>
        </w:rPr>
        <w:t>____________________________</w:t>
      </w:r>
    </w:p>
    <w:p>
      <w:pPr>
        <w:pStyle w:val="Normal"/>
        <w:ind w:firstLine="5103"/>
        <w:rPr>
          <w:bCs/>
          <w:sz w:val="24"/>
          <w:szCs w:val="24"/>
        </w:rPr>
      </w:pPr>
      <w:r>
        <w:rPr>
          <w:sz w:val="22"/>
          <w:szCs w:val="22"/>
        </w:rPr>
        <w:t>от «____» __________ 202</w:t>
      </w:r>
      <w:r>
        <w:rPr>
          <w:sz w:val="22"/>
          <w:szCs w:val="22"/>
        </w:rPr>
        <w:t>_</w:t>
      </w:r>
      <w:r>
        <w:rPr>
          <w:sz w:val="22"/>
          <w:szCs w:val="22"/>
        </w:rPr>
        <w:t xml:space="preserve"> г. </w:t>
      </w:r>
    </w:p>
    <w:p>
      <w:pPr>
        <w:pStyle w:val="Normal"/>
        <w:widowControl/>
        <w:shd w:val="clear" w:color="auto" w:fill="FFFFFF"/>
        <w:tabs>
          <w:tab w:val="clear" w:pos="709"/>
          <w:tab w:val="left" w:pos="1418" w:leader="none"/>
        </w:tabs>
        <w:spacing w:before="0" w:after="0"/>
        <w:contextualSpacing/>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vertAlign w:val="superscript"/>
        </w:rPr>
        <w:footnoteReference w:id="15"/>
      </w:r>
      <w:r>
        <w:rPr>
          <w:bCs/>
          <w:sz w:val="24"/>
          <w:szCs w:val="24"/>
        </w:rPr>
        <w:t>, а также соответствовать следующим критериям:</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hyperlink r:id="rId16">
        <w:r>
          <w:rPr>
            <w:bCs/>
            <w:color w:val="0000FF"/>
            <w:sz w:val="24"/>
            <w:szCs w:val="24"/>
            <w:u w:val="single"/>
          </w:rPr>
          <w:t>www.cbr.ru</w:t>
        </w:r>
      </w:hyperlink>
      <w:r>
        <w:rPr>
          <w:bCs/>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bCs/>
          <w:sz w:val="24"/>
          <w:szCs w:val="24"/>
          <w:vertAlign w:val="superscript"/>
        </w:rPr>
        <w:footnoteReference w:id="16"/>
      </w:r>
      <w:r>
        <w:rPr>
          <w:bCs/>
          <w:sz w:val="24"/>
          <w:szCs w:val="24"/>
        </w:rPr>
        <w:t xml:space="preserve">. </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7">
        <w:r>
          <w:rPr>
            <w:bCs/>
            <w:color w:val="0000FF"/>
            <w:sz w:val="24"/>
            <w:szCs w:val="24"/>
            <w:u w:val="single"/>
          </w:rPr>
          <w:t>http://www.asv.org.ru))»</w:t>
        </w:r>
      </w:hyperlink>
      <w:r>
        <w:rPr>
          <w:bCs/>
          <w:sz w:val="24"/>
          <w:szCs w:val="24"/>
        </w:rPr>
        <w:t>.</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Присутствовать (иметь отделение, филиал) по месту нахождения Общества, его Филиала, для нужд которого заключается Договор.</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Критерии, установленные в пунктах 2 – 4 настоящих Критериев, не распространяются на кредитные организации:</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ВЭБ.РФ.</w:t>
      </w:r>
    </w:p>
    <w:p>
      <w:pPr>
        <w:pStyle w:val="Normal"/>
        <w:widowControl/>
        <w:numPr>
          <w:ilvl w:val="0"/>
          <w:numId w:val="12"/>
        </w:numPr>
        <w:shd w:val="clear" w:color="auto" w:fill="FFFFFF"/>
        <w:tabs>
          <w:tab w:val="clear" w:pos="709"/>
          <w:tab w:val="left" w:pos="1418" w:leader="none"/>
        </w:tabs>
        <w:suppressAutoHyphens w:val="true"/>
        <w:spacing w:before="0" w:after="0"/>
        <w:ind w:left="0" w:firstLine="567"/>
        <w:contextualSpacing/>
        <w:jc w:val="both"/>
        <w:rPr>
          <w:bCs/>
          <w:sz w:val="24"/>
          <w:szCs w:val="24"/>
        </w:rPr>
      </w:pPr>
      <w:r>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i/>
          <w:sz w:val="24"/>
          <w:szCs w:val="24"/>
        </w:rPr>
        <w:t>LimAi</w:t>
      </w:r>
      <w:r>
        <w:rPr>
          <w:bCs/>
          <w:sz w:val="24"/>
          <w:szCs w:val="24"/>
        </w:rPr>
        <w:t xml:space="preserve">  = </w:t>
      </w:r>
      <w:r>
        <w:rPr>
          <w:bCs/>
          <w:i/>
          <w:sz w:val="24"/>
          <w:szCs w:val="24"/>
        </w:rPr>
        <w:t xml:space="preserve">ri </w:t>
      </w:r>
      <w:r>
        <w:rPr>
          <w:bCs/>
          <w:sz w:val="24"/>
          <w:szCs w:val="24"/>
        </w:rPr>
        <w:t xml:space="preserve">×  </w:t>
      </w:r>
      <w:r>
        <w:rPr>
          <w:bCs/>
          <w:i/>
          <w:sz w:val="24"/>
          <w:szCs w:val="24"/>
        </w:rPr>
        <w:t>СKi</w:t>
      </w:r>
      <w:r>
        <w:rPr>
          <w:bCs/>
          <w:sz w:val="24"/>
          <w:szCs w:val="24"/>
        </w:rPr>
        <w:t>, где</w:t>
      </w:r>
    </w:p>
    <w:tbl>
      <w:tblPr>
        <w:tblW w:w="102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1133"/>
        <w:gridCol w:w="9072"/>
      </w:tblGrid>
      <w:tr>
        <w:trPr>
          <w:trHeight w:val="426" w:hRule="atLeast"/>
        </w:trPr>
        <w:tc>
          <w:tcPr>
            <w:tcW w:w="1133" w:type="dxa"/>
            <w:tcBorders/>
          </w:tcPr>
          <w:p>
            <w:pPr>
              <w:pStyle w:val="Normal"/>
              <w:widowControl w:val="false"/>
              <w:shd w:val="clear" w:color="auto" w:fill="FFFFFF"/>
              <w:tabs>
                <w:tab w:val="clear" w:pos="709"/>
                <w:tab w:val="left" w:pos="1418" w:leader="none"/>
              </w:tabs>
              <w:spacing w:before="0" w:after="0"/>
              <w:contextualSpacing/>
              <w:rPr>
                <w:bCs/>
                <w:sz w:val="24"/>
                <w:szCs w:val="24"/>
              </w:rPr>
            </w:pPr>
            <w:r>
              <w:rPr>
                <w:bCs/>
                <w:i/>
                <w:sz w:val="24"/>
                <w:szCs w:val="24"/>
              </w:rPr>
              <w:t>Lim</w:t>
            </w:r>
            <w:r>
              <w:rPr>
                <w:bCs/>
                <w:i/>
                <w:sz w:val="24"/>
                <w:szCs w:val="24"/>
                <w:vertAlign w:val="subscript"/>
                <w:lang w:val="en-US"/>
              </w:rPr>
              <w:t>Ai</w:t>
            </w:r>
            <w:r>
              <w:rPr>
                <w:bCs/>
                <w:i/>
                <w:sz w:val="24"/>
                <w:szCs w:val="24"/>
                <w:vertAlign w:val="subscript"/>
              </w:rPr>
              <w:t xml:space="preserve"> </w:t>
            </w:r>
            <w:r>
              <w:rPr>
                <w:bCs/>
                <w:i/>
                <w:sz w:val="24"/>
                <w:szCs w:val="24"/>
                <w:vertAlign w:val="subscript"/>
                <w:lang w:val="en-US"/>
              </w:rPr>
              <w:t xml:space="preserve"> </w:t>
            </w:r>
            <w:r>
              <w:rPr>
                <w:bCs/>
                <w:i/>
                <w:sz w:val="24"/>
                <w:szCs w:val="24"/>
              </w:rPr>
              <w:t>-</w:t>
            </w:r>
          </w:p>
        </w:tc>
        <w:tc>
          <w:tcPr>
            <w:tcW w:w="9072" w:type="dxa"/>
            <w:tcBorders/>
          </w:tcPr>
          <w:p>
            <w:pPr>
              <w:pStyle w:val="Normal"/>
              <w:widowControl w:val="false"/>
              <w:shd w:val="clear" w:color="auto" w:fill="FFFFFF"/>
              <w:tabs>
                <w:tab w:val="clear" w:pos="709"/>
                <w:tab w:val="left" w:pos="1418" w:leader="none"/>
              </w:tabs>
              <w:spacing w:before="0" w:after="0"/>
              <w:ind w:firstLine="31"/>
              <w:contextualSpacing/>
              <w:jc w:val="both"/>
              <w:rPr>
                <w:bCs/>
                <w:sz w:val="24"/>
                <w:szCs w:val="24"/>
              </w:rPr>
            </w:pPr>
            <w:r>
              <w:rPr>
                <w:bCs/>
                <w:sz w:val="24"/>
                <w:szCs w:val="24"/>
              </w:rPr>
              <w:t>Лимит риска для i-ой кредитной организации</w:t>
            </w:r>
            <w:r>
              <w:rPr>
                <w:rStyle w:val="FootnoteReference"/>
                <w:bCs/>
                <w:sz w:val="24"/>
                <w:szCs w:val="24"/>
                <w:vertAlign w:val="superscript"/>
              </w:rPr>
              <w:footnoteReference w:id="17"/>
            </w:r>
            <w:r>
              <w:rPr>
                <w:bCs/>
                <w:sz w:val="24"/>
                <w:szCs w:val="24"/>
              </w:rPr>
              <w:t xml:space="preserve">. </w:t>
            </w:r>
          </w:p>
        </w:tc>
      </w:tr>
      <w:tr>
        <w:trPr>
          <w:trHeight w:val="280" w:hRule="atLeast"/>
        </w:trPr>
        <w:tc>
          <w:tcPr>
            <w:tcW w:w="1133" w:type="dxa"/>
            <w:tcBorders/>
          </w:tcPr>
          <w:p>
            <w:pPr>
              <w:pStyle w:val="Normal"/>
              <w:widowControl w:val="false"/>
              <w:shd w:val="clear" w:color="auto" w:fill="FFFFFF"/>
              <w:tabs>
                <w:tab w:val="clear" w:pos="709"/>
                <w:tab w:val="left" w:pos="1418" w:leader="none"/>
              </w:tabs>
              <w:spacing w:before="0" w:after="0"/>
              <w:contextualSpacing/>
              <w:jc w:val="center"/>
              <w:rPr>
                <w:bCs/>
                <w:i/>
                <w:i/>
                <w:sz w:val="24"/>
                <w:szCs w:val="24"/>
                <w:vertAlign w:val="subscript"/>
              </w:rPr>
            </w:pPr>
            <w:r>
              <w:rPr>
                <w:bCs/>
                <w:i/>
                <w:sz w:val="24"/>
                <w:szCs w:val="24"/>
              </w:rPr>
              <w:t>С</w:t>
            </w:r>
            <w:r>
              <w:rPr>
                <w:bCs/>
                <w:i/>
                <w:sz w:val="24"/>
                <w:szCs w:val="24"/>
                <w:lang w:val="en-US"/>
              </w:rPr>
              <w:t>K</w:t>
            </w:r>
            <w:r>
              <w:rPr>
                <w:bCs/>
                <w:i/>
                <w:sz w:val="24"/>
                <w:szCs w:val="24"/>
                <w:vertAlign w:val="subscript"/>
                <w:lang w:val="en-US"/>
              </w:rPr>
              <w:t>i</w:t>
            </w:r>
            <w:r>
              <w:rPr>
                <w:bCs/>
                <w:i/>
                <w:sz w:val="24"/>
                <w:szCs w:val="24"/>
                <w:vertAlign w:val="subscript"/>
              </w:rPr>
              <w:t xml:space="preserve"> </w:t>
            </w:r>
            <w:r>
              <w:rPr>
                <w:bCs/>
                <w:sz w:val="24"/>
                <w:szCs w:val="24"/>
              </w:rPr>
              <w:t>-</w:t>
            </w:r>
          </w:p>
          <w:p>
            <w:pPr>
              <w:pStyle w:val="Normal"/>
              <w:widowControl w:val="false"/>
              <w:shd w:val="clear" w:color="auto" w:fill="FFFFFF"/>
              <w:tabs>
                <w:tab w:val="clear" w:pos="709"/>
                <w:tab w:val="left" w:pos="1418" w:leader="none"/>
              </w:tabs>
              <w:spacing w:before="0" w:after="0"/>
              <w:contextualSpacing/>
              <w:rPr>
                <w:bCs/>
                <w:sz w:val="24"/>
                <w:szCs w:val="24"/>
              </w:rPr>
            </w:pPr>
            <w:r>
              <w:rPr>
                <w:bCs/>
                <w:sz w:val="24"/>
                <w:szCs w:val="24"/>
              </w:rPr>
            </w:r>
          </w:p>
        </w:tc>
        <w:tc>
          <w:tcPr>
            <w:tcW w:w="9072" w:type="dxa"/>
            <w:tcBorders/>
          </w:tcPr>
          <w:p>
            <w:pPr>
              <w:pStyle w:val="Normal"/>
              <w:widowControl w:val="false"/>
              <w:shd w:val="clear" w:color="auto" w:fill="FFFFFF"/>
              <w:tabs>
                <w:tab w:val="clear" w:pos="709"/>
                <w:tab w:val="left" w:pos="1418" w:leader="none"/>
              </w:tabs>
              <w:spacing w:before="0" w:after="0"/>
              <w:contextualSpacing/>
              <w:jc w:val="both"/>
              <w:rPr>
                <w:bCs/>
                <w:sz w:val="24"/>
                <w:szCs w:val="24"/>
              </w:rPr>
            </w:pPr>
            <w:r>
              <w:rPr>
                <w:bCs/>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8">
              <w:r>
                <w:rPr>
                  <w:bCs/>
                  <w:color w:val="0000FF"/>
                  <w:sz w:val="24"/>
                  <w:szCs w:val="24"/>
                  <w:u w:val="single"/>
                </w:rPr>
                <w:t>www.cbr.ru</w:t>
              </w:r>
            </w:hyperlink>
            <w:r>
              <w:rPr>
                <w:bCs/>
                <w:sz w:val="24"/>
                <w:szCs w:val="24"/>
              </w:rPr>
              <w:t>) по строке 000 «Расчет собственных средств (капитала) («Базель III»)», код формы 0409123;</w:t>
            </w:r>
          </w:p>
        </w:tc>
      </w:tr>
      <w:tr>
        <w:trPr>
          <w:trHeight w:val="993" w:hRule="atLeast"/>
        </w:trPr>
        <w:tc>
          <w:tcPr>
            <w:tcW w:w="1133" w:type="dxa"/>
            <w:tcBorders/>
          </w:tcPr>
          <w:p>
            <w:pPr>
              <w:pStyle w:val="Normal"/>
              <w:widowControl w:val="false"/>
              <w:shd w:val="clear" w:color="auto" w:fill="FFFFFF"/>
              <w:tabs>
                <w:tab w:val="clear" w:pos="709"/>
                <w:tab w:val="left" w:pos="1418" w:leader="none"/>
              </w:tabs>
              <w:spacing w:before="0" w:after="0"/>
              <w:contextualSpacing/>
              <w:rPr>
                <w:bCs/>
                <w:i/>
                <w:i/>
                <w:sz w:val="24"/>
                <w:szCs w:val="24"/>
              </w:rPr>
            </w:pPr>
            <w:r>
              <w:rPr>
                <w:bCs/>
                <w:i/>
                <w:sz w:val="24"/>
                <w:szCs w:val="24"/>
              </w:rPr>
              <w:t>r</w:t>
            </w:r>
            <w:r>
              <w:rPr>
                <w:bCs/>
                <w:i/>
                <w:sz w:val="24"/>
                <w:szCs w:val="24"/>
                <w:vertAlign w:val="subscript"/>
              </w:rPr>
              <w:t xml:space="preserve">i </w:t>
            </w:r>
            <w:r>
              <w:rPr>
                <w:bCs/>
                <w:sz w:val="24"/>
                <w:szCs w:val="24"/>
              </w:rPr>
              <w:t xml:space="preserve">- </w:t>
            </w:r>
          </w:p>
        </w:tc>
        <w:tc>
          <w:tcPr>
            <w:tcW w:w="9072" w:type="dxa"/>
            <w:tcBorders/>
          </w:tcPr>
          <w:p>
            <w:pPr>
              <w:pStyle w:val="Normal"/>
              <w:widowControl w:val="false"/>
              <w:shd w:val="clear" w:color="auto" w:fill="FFFFFF"/>
              <w:tabs>
                <w:tab w:val="clear" w:pos="709"/>
                <w:tab w:val="left" w:pos="1418" w:leader="none"/>
              </w:tabs>
              <w:spacing w:before="0" w:after="0"/>
              <w:ind w:firstLine="31"/>
              <w:contextualSpacing/>
              <w:jc w:val="both"/>
              <w:rPr>
                <w:bCs/>
                <w:sz w:val="24"/>
                <w:szCs w:val="24"/>
              </w:rPr>
            </w:pPr>
            <w:r>
              <w:rPr>
                <w:bCs/>
                <w:sz w:val="24"/>
                <w:szCs w:val="24"/>
              </w:rPr>
              <w:t>рейтинговый коэффициент</w:t>
            </w:r>
            <w:r>
              <w:rPr>
                <w:bCs/>
                <w:sz w:val="24"/>
                <w:szCs w:val="24"/>
                <w:vertAlign w:val="superscript"/>
              </w:rPr>
              <w:t>10</w:t>
            </w:r>
            <w:r>
              <w:rPr>
                <w:bCs/>
                <w:sz w:val="24"/>
                <w:szCs w:val="24"/>
              </w:rPr>
              <w:t xml:space="preserve"> для i-ой кредитной организации, равный:</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0,05 - если i-ая кредитная организация имеет национальный рейтинг кредитоспособности не ниже уровня «АА-» по классификации рейтингового агентства АКРА или не ниже уровня «</w:t>
            </w:r>
            <w:r>
              <w:rPr>
                <w:bCs/>
                <w:sz w:val="24"/>
                <w:szCs w:val="24"/>
                <w:lang w:val="en-US"/>
              </w:rPr>
              <w:t>ru</w:t>
            </w:r>
            <w:r>
              <w:rPr>
                <w:bCs/>
                <w:sz w:val="24"/>
                <w:szCs w:val="24"/>
              </w:rPr>
              <w:t>А</w:t>
            </w:r>
            <w:r>
              <w:rPr>
                <w:bCs/>
                <w:sz w:val="24"/>
                <w:szCs w:val="24"/>
                <w:lang w:val="en-US"/>
              </w:rPr>
              <w:t>A</w:t>
            </w:r>
            <w:r>
              <w:rPr>
                <w:bCs/>
                <w:sz w:val="24"/>
                <w:szCs w:val="24"/>
              </w:rPr>
              <w:t>-»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0,025 -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0,015 - если i-ая кредитная организация имеет национальный рейтинг кредитоспособности не ниже уровня «</w:t>
            </w:r>
            <w:r>
              <w:rPr>
                <w:bCs/>
                <w:sz w:val="24"/>
                <w:szCs w:val="24"/>
                <w:lang w:val="en-US"/>
              </w:rPr>
              <w:t>BB</w:t>
            </w:r>
            <w:r>
              <w:rPr>
                <w:bCs/>
                <w:sz w:val="24"/>
                <w:szCs w:val="24"/>
              </w:rPr>
              <w:t>В» по классификации рейтингового агентства АКРА или не ниже уровня «</w:t>
            </w:r>
            <w:r>
              <w:rPr>
                <w:bCs/>
                <w:sz w:val="24"/>
                <w:szCs w:val="24"/>
                <w:lang w:val="en-US"/>
              </w:rPr>
              <w:t>ruBB</w:t>
            </w:r>
            <w:r>
              <w:rPr>
                <w:bCs/>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suppressAutoHyphens w:val="true"/>
        <w:ind w:right="96" w:firstLine="5103"/>
        <w:rPr>
          <w:sz w:val="22"/>
          <w:szCs w:val="22"/>
        </w:rPr>
      </w:pPr>
      <w:r>
        <w:rPr>
          <w:sz w:val="22"/>
          <w:szCs w:val="22"/>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t>_____________________/_____________</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b/>
                <w:sz w:val="24"/>
                <w:szCs w:val="24"/>
              </w:rPr>
            </w:pPr>
            <w:r>
              <w:rPr>
                <w:sz w:val="24"/>
                <w:szCs w:val="24"/>
              </w:rPr>
              <w:t>_____________________/_____________</w:t>
            </w:r>
          </w:p>
        </w:tc>
      </w:tr>
    </w:tbl>
    <w:p>
      <w:pPr>
        <w:pStyle w:val="Normal"/>
        <w:suppressAutoHyphens w:val="true"/>
        <w:ind w:right="96" w:firstLine="5103"/>
        <w:rPr>
          <w:sz w:val="22"/>
          <w:szCs w:val="22"/>
        </w:rPr>
      </w:pPr>
      <w:r>
        <w:rPr>
          <w:sz w:val="22"/>
          <w:szCs w:val="22"/>
        </w:rPr>
      </w:r>
    </w:p>
    <w:p>
      <w:pPr>
        <w:pStyle w:val="Normal"/>
        <w:suppressAutoHyphens w:val="true"/>
        <w:ind w:right="96" w:firstLine="5103"/>
        <w:rPr>
          <w:sz w:val="22"/>
          <w:szCs w:val="22"/>
        </w:rPr>
      </w:pPr>
      <w:r>
        <w:rPr>
          <w:sz w:val="22"/>
          <w:szCs w:val="22"/>
        </w:rPr>
        <w:t>Приложение № 5</w:t>
      </w:r>
    </w:p>
    <w:p>
      <w:pPr>
        <w:pStyle w:val="Normal"/>
        <w:suppressAutoHyphens w:val="true"/>
        <w:ind w:right="96" w:hanging="0"/>
        <w:jc w:val="right"/>
        <w:rPr>
          <w:sz w:val="22"/>
          <w:szCs w:val="22"/>
        </w:rPr>
      </w:pPr>
      <w:r>
        <w:rPr>
          <w:sz w:val="22"/>
          <w:szCs w:val="22"/>
        </w:rPr>
        <w:t xml:space="preserve">к Договору поставки </w:t>
      </w:r>
      <w:r>
        <w:rPr>
          <w:sz w:val="24"/>
          <w:szCs w:val="24"/>
        </w:rPr>
        <w:t xml:space="preserve">№ </w:t>
      </w:r>
      <w:r>
        <w:rPr>
          <w:bCs/>
          <w:sz w:val="24"/>
          <w:szCs w:val="24"/>
        </w:rPr>
        <w:t>____________________________</w:t>
      </w:r>
    </w:p>
    <w:p>
      <w:pPr>
        <w:pStyle w:val="Normal"/>
        <w:ind w:firstLine="5103"/>
        <w:rPr>
          <w:bCs/>
          <w:sz w:val="24"/>
          <w:szCs w:val="24"/>
        </w:rPr>
      </w:pPr>
      <w:r>
        <w:rPr>
          <w:sz w:val="22"/>
          <w:szCs w:val="22"/>
        </w:rPr>
        <w:t>от «____» __________ 202</w:t>
      </w:r>
      <w:r>
        <w:rPr>
          <w:sz w:val="22"/>
          <w:szCs w:val="22"/>
        </w:rPr>
        <w:t>__</w:t>
      </w:r>
      <w:r>
        <w:rPr>
          <w:sz w:val="22"/>
          <w:szCs w:val="22"/>
        </w:rPr>
        <w:t xml:space="preserve"> г.</w:t>
      </w:r>
      <w:r>
        <w:rPr>
          <w:sz w:val="24"/>
          <w:szCs w:val="24"/>
        </w:rPr>
        <w:t xml:space="preserve"> </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widowControl/>
        <w:ind w:firstLine="709"/>
        <w:jc w:val="right"/>
        <w:rPr>
          <w:sz w:val="22"/>
          <w:szCs w:val="22"/>
          <w:lang w:val="en-US"/>
        </w:rPr>
      </w:pPr>
      <w:r>
        <w:rPr>
          <w:sz w:val="22"/>
          <w:szCs w:val="22"/>
        </w:rPr>
        <w:t xml:space="preserve">Приложение № </w:t>
      </w:r>
      <w:r>
        <w:rPr>
          <w:sz w:val="22"/>
          <w:szCs w:val="22"/>
          <w:lang w:val="en-US"/>
        </w:rPr>
        <w:t>6</w:t>
      </w:r>
    </w:p>
    <w:p>
      <w:pPr>
        <w:pStyle w:val="Normal"/>
        <w:widowControl/>
        <w:jc w:val="right"/>
        <w:rPr>
          <w:sz w:val="22"/>
          <w:szCs w:val="22"/>
        </w:rPr>
      </w:pPr>
      <w:r>
        <w:rPr>
          <w:sz w:val="22"/>
          <w:szCs w:val="22"/>
        </w:rPr>
        <w:t xml:space="preserve">            </w:t>
      </w:r>
      <w:r>
        <w:rPr>
          <w:sz w:val="22"/>
          <w:szCs w:val="22"/>
        </w:rPr>
        <w:t xml:space="preserve">к Договору поставки № </w:t>
      </w:r>
      <w:bookmarkStart w:id="13" w:name="_GoBack"/>
      <w:bookmarkEnd w:id="13"/>
      <w:r>
        <w:rPr>
          <w:bCs/>
          <w:sz w:val="22"/>
          <w:szCs w:val="22"/>
        </w:rPr>
        <w:t>_____________________</w:t>
      </w:r>
    </w:p>
    <w:p>
      <w:pPr>
        <w:pStyle w:val="Normal"/>
        <w:widowControl/>
        <w:jc w:val="right"/>
        <w:rPr>
          <w:sz w:val="24"/>
          <w:szCs w:val="24"/>
        </w:rPr>
      </w:pPr>
      <w:r>
        <w:rPr>
          <w:sz w:val="22"/>
          <w:szCs w:val="22"/>
        </w:rPr>
        <w:t xml:space="preserve">              </w:t>
      </w:r>
      <w:r>
        <w:rPr>
          <w:sz w:val="22"/>
          <w:szCs w:val="22"/>
        </w:rPr>
        <w:t>от «____» ________ 202</w:t>
      </w:r>
      <w:r>
        <w:rPr>
          <w:sz w:val="22"/>
          <w:szCs w:val="22"/>
        </w:rPr>
        <w:t>_</w:t>
      </w:r>
      <w:r>
        <w:rPr>
          <w:sz w:val="22"/>
          <w:szCs w:val="22"/>
        </w:rPr>
        <w:t xml:space="preserve"> г. </w:t>
      </w:r>
    </w:p>
    <w:p>
      <w:pPr>
        <w:pStyle w:val="Normal"/>
        <w:widowControl/>
        <w:ind w:firstLine="709"/>
        <w:jc w:val="center"/>
        <w:rPr>
          <w:sz w:val="16"/>
          <w:szCs w:val="24"/>
        </w:rPr>
      </w:pPr>
      <w:r>
        <w:rPr>
          <w:sz w:val="16"/>
          <w:szCs w:val="24"/>
        </w:rPr>
      </w:r>
    </w:p>
    <w:p>
      <w:pPr>
        <w:pStyle w:val="Normal"/>
        <w:widowControl/>
        <w:spacing w:before="20" w:after="20"/>
        <w:ind w:firstLine="709"/>
        <w:jc w:val="center"/>
        <w:rPr>
          <w:sz w:val="24"/>
          <w:szCs w:val="24"/>
        </w:rPr>
      </w:pPr>
      <w:r>
        <w:rPr>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pPr>
        <w:pStyle w:val="Normal"/>
        <w:widowControl/>
        <w:ind w:firstLine="709"/>
        <w:jc w:val="both"/>
        <w:rPr>
          <w:sz w:val="24"/>
          <w:szCs w:val="24"/>
        </w:rPr>
      </w:pPr>
      <w:r>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widowControl/>
        <w:ind w:firstLine="709"/>
        <w:jc w:val="both"/>
        <w:rPr>
          <w:sz w:val="24"/>
          <w:szCs w:val="24"/>
        </w:rPr>
      </w:pPr>
      <w:r>
        <w:rPr>
          <w:sz w:val="24"/>
          <w:szCs w:val="24"/>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widowControl/>
        <w:spacing w:before="20" w:after="20"/>
        <w:ind w:firstLine="709"/>
        <w:jc w:val="both"/>
        <w:rPr>
          <w:sz w:val="24"/>
          <w:szCs w:val="24"/>
        </w:rPr>
      </w:pPr>
      <w:r>
        <w:rPr>
          <w:sz w:val="24"/>
          <w:szCs w:val="24"/>
        </w:rPr>
        <w:t xml:space="preserve"> </w:t>
      </w:r>
      <w:r>
        <w:rPr>
          <w:sz w:val="24"/>
          <w:szCs w:val="24"/>
        </w:rPr>
        <w:t xml:space="preserve">В заявках должны быть указаны: </w:t>
      </w:r>
    </w:p>
    <w:p>
      <w:pPr>
        <w:pStyle w:val="Normal"/>
        <w:widowControl/>
        <w:numPr>
          <w:ilvl w:val="0"/>
          <w:numId w:val="15"/>
        </w:numPr>
        <w:ind w:left="0" w:firstLine="709"/>
        <w:jc w:val="both"/>
        <w:rPr>
          <w:bCs/>
          <w:sz w:val="24"/>
          <w:szCs w:val="24"/>
          <w:lang w:val="en-GB"/>
        </w:rPr>
      </w:pPr>
      <w:r>
        <w:rPr>
          <w:bCs/>
          <w:sz w:val="24"/>
          <w:szCs w:val="24"/>
          <w:lang w:val="en-GB"/>
        </w:rPr>
        <w:t>номер заявки;</w:t>
      </w:r>
    </w:p>
    <w:p>
      <w:pPr>
        <w:pStyle w:val="Normal"/>
        <w:widowControl/>
        <w:numPr>
          <w:ilvl w:val="0"/>
          <w:numId w:val="15"/>
        </w:numPr>
        <w:ind w:left="0" w:firstLine="709"/>
        <w:jc w:val="both"/>
        <w:rPr>
          <w:bCs/>
          <w:sz w:val="24"/>
          <w:szCs w:val="24"/>
          <w:lang w:val="en-GB"/>
        </w:rPr>
      </w:pPr>
      <w:r>
        <w:rPr>
          <w:bCs/>
          <w:sz w:val="24"/>
          <w:szCs w:val="24"/>
          <w:lang w:val="en-GB"/>
        </w:rPr>
        <w:t>подающее предприятие;</w:t>
      </w:r>
    </w:p>
    <w:p>
      <w:pPr>
        <w:pStyle w:val="Normal"/>
        <w:widowControl/>
        <w:numPr>
          <w:ilvl w:val="0"/>
          <w:numId w:val="15"/>
        </w:numPr>
        <w:ind w:left="0" w:firstLine="709"/>
        <w:jc w:val="both"/>
        <w:rPr>
          <w:bCs/>
          <w:sz w:val="24"/>
          <w:szCs w:val="24"/>
        </w:rPr>
      </w:pPr>
      <w:r>
        <w:rPr>
          <w:bCs/>
          <w:sz w:val="24"/>
          <w:szCs w:val="24"/>
        </w:rPr>
        <w:t>оборудование, по которому фиксируется изменение эксплуатационного состояния или технологического режима работы;</w:t>
      </w:r>
    </w:p>
    <w:p>
      <w:pPr>
        <w:pStyle w:val="Normal"/>
        <w:widowControl/>
        <w:numPr>
          <w:ilvl w:val="0"/>
          <w:numId w:val="15"/>
        </w:numPr>
        <w:ind w:left="0" w:firstLine="709"/>
        <w:jc w:val="both"/>
        <w:rPr>
          <w:bCs/>
          <w:sz w:val="24"/>
          <w:szCs w:val="24"/>
          <w:lang w:val="en-GB"/>
        </w:rPr>
      </w:pPr>
      <w:r>
        <w:rPr>
          <w:bCs/>
          <w:sz w:val="24"/>
          <w:szCs w:val="24"/>
          <w:lang w:val="en-GB"/>
        </w:rPr>
        <w:t>величина снижения максимальной мощности;</w:t>
      </w:r>
    </w:p>
    <w:p>
      <w:pPr>
        <w:pStyle w:val="Normal"/>
        <w:widowControl/>
        <w:numPr>
          <w:ilvl w:val="0"/>
          <w:numId w:val="15"/>
        </w:numPr>
        <w:ind w:left="0" w:firstLine="709"/>
        <w:jc w:val="both"/>
        <w:rPr>
          <w:bCs/>
          <w:sz w:val="24"/>
          <w:szCs w:val="24"/>
          <w:lang w:val="en-GB"/>
        </w:rPr>
      </w:pPr>
      <w:r>
        <w:rPr>
          <w:bCs/>
          <w:sz w:val="24"/>
          <w:szCs w:val="24"/>
          <w:lang w:val="en-GB"/>
        </w:rPr>
        <w:t>содержание работ;</w:t>
      </w:r>
    </w:p>
    <w:p>
      <w:pPr>
        <w:pStyle w:val="Normal"/>
        <w:widowControl/>
        <w:numPr>
          <w:ilvl w:val="0"/>
          <w:numId w:val="15"/>
        </w:numPr>
        <w:ind w:left="0" w:firstLine="709"/>
        <w:jc w:val="both"/>
        <w:rPr>
          <w:bCs/>
          <w:sz w:val="24"/>
          <w:szCs w:val="24"/>
          <w:lang w:val="en-GB"/>
        </w:rPr>
      </w:pPr>
      <w:r>
        <w:rPr>
          <w:bCs/>
          <w:sz w:val="24"/>
          <w:szCs w:val="24"/>
          <w:lang w:val="en-GB"/>
        </w:rPr>
        <w:t>время подачи заявки;</w:t>
      </w:r>
    </w:p>
    <w:p>
      <w:pPr>
        <w:pStyle w:val="Normal"/>
        <w:widowControl/>
        <w:numPr>
          <w:ilvl w:val="0"/>
          <w:numId w:val="15"/>
        </w:numPr>
        <w:ind w:left="0" w:firstLine="709"/>
        <w:jc w:val="both"/>
        <w:rPr>
          <w:bCs/>
          <w:sz w:val="24"/>
          <w:szCs w:val="24"/>
        </w:rPr>
      </w:pPr>
      <w:r>
        <w:rPr>
          <w:bCs/>
          <w:sz w:val="24"/>
          <w:szCs w:val="24"/>
        </w:rPr>
        <w:t>время начала и конца действия заявки и др.</w:t>
      </w:r>
    </w:p>
    <w:p>
      <w:pPr>
        <w:pStyle w:val="Normal"/>
        <w:widowControl/>
        <w:spacing w:before="120" w:after="20"/>
        <w:ind w:firstLine="709"/>
        <w:jc w:val="both"/>
        <w:rPr>
          <w:sz w:val="24"/>
          <w:szCs w:val="24"/>
        </w:rPr>
      </w:pPr>
      <w:r>
        <w:rPr>
          <w:sz w:val="24"/>
          <w:szCs w:val="24"/>
        </w:rPr>
        <w:t>2.</w:t>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pPr>
        <w:pStyle w:val="Normal"/>
        <w:widowControl/>
        <w:spacing w:before="20" w:after="20"/>
        <w:ind w:firstLine="709"/>
        <w:jc w:val="both"/>
        <w:rPr>
          <w:sz w:val="24"/>
          <w:szCs w:val="24"/>
        </w:rPr>
      </w:pPr>
      <w:r>
        <w:rPr/>
        <w:drawing>
          <wp:inline distT="0" distB="0" distL="0" distR="0">
            <wp:extent cx="318770" cy="223520"/>
            <wp:effectExtent l="0" t="0" r="0" b="0"/>
            <wp:docPr id="1"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 descr=""/>
                    <pic:cNvPicPr>
                      <a:picLocks noChangeAspect="1" noChangeArrowheads="1"/>
                    </pic:cNvPicPr>
                  </pic:nvPicPr>
                  <pic:blipFill>
                    <a:blip r:embed="rId19"/>
                    <a:stretch>
                      <a:fillRect/>
                    </a:stretch>
                  </pic:blipFill>
                  <pic:spPr bwMode="auto">
                    <a:xfrm>
                      <a:off x="0" y="0"/>
                      <a:ext cx="318770" cy="223520"/>
                    </a:xfrm>
                    <a:prstGeom prst="rect">
                      <a:avLst/>
                    </a:prstGeom>
                  </pic:spPr>
                </pic:pic>
              </a:graphicData>
            </a:graphic>
          </wp:inline>
        </w:drawing>
      </w:r>
      <w:r>
        <w:rPr>
          <w:sz w:val="24"/>
          <w:szCs w:val="24"/>
        </w:rPr>
        <w:t xml:space="preserve"> – </w:t>
      </w:r>
      <w:r>
        <w:rPr>
          <w:sz w:val="24"/>
          <w:szCs w:val="24"/>
        </w:rPr>
        <w:t>величина согласованного планового ремонтного снижения мощности;</w:t>
      </w:r>
    </w:p>
    <w:p>
      <w:pPr>
        <w:pStyle w:val="Normal"/>
        <w:widowControl/>
        <w:spacing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sz w:val="24"/>
          <w:szCs w:val="24"/>
        </w:rPr>
        <w:t xml:space="preserve"> – </w:t>
      </w:r>
      <w:r>
        <w:rPr>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widowControl/>
        <w:spacing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sz w:val="24"/>
          <w:szCs w:val="24"/>
        </w:rPr>
        <w:t xml:space="preserve"> – </w:t>
      </w:r>
      <w:r>
        <w:rPr>
          <w:sz w:val="24"/>
          <w:szCs w:val="24"/>
        </w:rPr>
        <w:t>плановое ремонтное снижение мощности, обусловленное проведением ремонта длительностью более 360 суток для ТЭС за 4 (четыре) года;</w:t>
      </w:r>
    </w:p>
    <w:p>
      <w:pPr>
        <w:pStyle w:val="Normal"/>
        <w:widowControl/>
        <w:spacing w:before="20" w:after="20"/>
        <w:ind w:firstLine="709"/>
        <w:jc w:val="both"/>
        <w:rPr>
          <w:sz w:val="24"/>
          <w:szCs w:val="24"/>
        </w:rPr>
      </w:pPr>
      <w:r>
        <w:rPr/>
      </w:r>
      <m:oMath xmlns:m="http://schemas.openxmlformats.org/officeDocument/2006/math"/>
      <w:r>
        <w:rPr>
          <w:sz w:val="24"/>
          <w:szCs w:val="24"/>
        </w:rPr>
        <w:t xml:space="preserve"> – </w:t>
      </w:r>
      <w:r>
        <w:rPr>
          <w:sz w:val="24"/>
          <w:szCs w:val="24"/>
        </w:rPr>
        <w:t>итоговое значение согласованного планового ремонтного снижения располагаемой мощности;</w:t>
      </w:r>
    </w:p>
    <w:p>
      <w:pPr>
        <w:pStyle w:val="Normal"/>
        <w:widowControl/>
        <w:spacing w:before="20" w:after="20"/>
        <w:ind w:firstLine="709"/>
        <w:jc w:val="both"/>
        <w:rPr>
          <w:sz w:val="24"/>
          <w:szCs w:val="24"/>
        </w:rPr>
      </w:pPr>
      <w:r>
        <w:rPr/>
        <w:drawing>
          <wp:inline distT="0" distB="0" distL="0" distR="0">
            <wp:extent cx="542290" cy="276225"/>
            <wp:effectExtent l="0" t="0" r="0" b="0"/>
            <wp:docPr id="2"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9" descr=""/>
                    <pic:cNvPicPr>
                      <a:picLocks noChangeAspect="1" noChangeArrowheads="1"/>
                    </pic:cNvPicPr>
                  </pic:nvPicPr>
                  <pic:blipFill>
                    <a:blip r:embed="rId20"/>
                    <a:stretch>
                      <a:fillRect/>
                    </a:stretch>
                  </pic:blipFill>
                  <pic:spPr bwMode="auto">
                    <a:xfrm>
                      <a:off x="0" y="0"/>
                      <a:ext cx="542290" cy="276225"/>
                    </a:xfrm>
                    <a:prstGeom prst="rect">
                      <a:avLst/>
                    </a:prstGeom>
                  </pic:spPr>
                </pic:pic>
              </a:graphicData>
            </a:graphic>
          </wp:inline>
        </w:drawing>
      </w:r>
      <w:r>
        <w:rPr>
          <w:sz w:val="24"/>
          <w:szCs w:val="24"/>
        </w:rPr>
        <w:t xml:space="preserve"> – </w:t>
      </w:r>
      <w:r>
        <w:rPr>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pPr>
        <w:pStyle w:val="Normal"/>
        <w:widowControl/>
        <w:spacing w:before="20" w:after="20"/>
        <w:ind w:firstLine="709"/>
        <w:jc w:val="both"/>
        <w:rPr>
          <w:sz w:val="24"/>
          <w:szCs w:val="24"/>
        </w:rPr>
      </w:pPr>
      <w:r>
        <w:rPr/>
        <w:drawing>
          <wp:inline distT="0" distB="0" distL="0" distR="0">
            <wp:extent cx="520700" cy="266065"/>
            <wp:effectExtent l="0" t="0" r="0" b="0"/>
            <wp:docPr id="3"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8" descr=""/>
                    <pic:cNvPicPr>
                      <a:picLocks noChangeAspect="1" noChangeArrowheads="1"/>
                    </pic:cNvPicPr>
                  </pic:nvPicPr>
                  <pic:blipFill>
                    <a:blip r:embed="rId21"/>
                    <a:stretch>
                      <a:fillRect/>
                    </a:stretch>
                  </pic:blipFill>
                  <pic:spPr bwMode="auto">
                    <a:xfrm>
                      <a:off x="0" y="0"/>
                      <a:ext cx="520700" cy="266065"/>
                    </a:xfrm>
                    <a:prstGeom prst="rect">
                      <a:avLst/>
                    </a:prstGeom>
                  </pic:spPr>
                </pic:pic>
              </a:graphicData>
            </a:graphic>
          </wp:inline>
        </w:drawing>
      </w:r>
      <w:r>
        <w:rPr>
          <w:sz w:val="24"/>
          <w:szCs w:val="24"/>
        </w:rPr>
        <w:t xml:space="preserve"> – </w:t>
      </w:r>
      <w:r>
        <w:rPr>
          <w:sz w:val="24"/>
          <w:szCs w:val="24"/>
        </w:rPr>
        <w:t>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widowControl/>
        <w:spacing w:before="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r>
                  <w:rPr>
                    <w:rFonts w:ascii="Cambria Math" w:hAnsi="Cambria Math"/>
                  </w:rPr>
                  <m:t xml:space="preserve">(</m:t>
                </m:r>
                <m:r>
                  <m:rPr>
                    <m:lit/>
                    <m:nor/>
                  </m:rPr>
                  <w:rPr>
                    <w:rFonts w:ascii="Cambria Math" w:hAnsi="Cambria Math"/>
                  </w:rPr>
                  <m:t xml:space="preserve">120</m:t>
                </m:r>
                <m:r>
                  <w:rPr>
                    <w:rFonts w:ascii="Cambria Math" w:hAnsi="Cambria Math"/>
                  </w:rPr>
                  <m:t xml:space="preserve">)</m:t>
                </m:r>
              </m:sup>
            </m:sSubSup>
          </m:sup>
        </m:sSup>
      </m:oMath>
      <w:r>
        <w:rPr>
          <w:sz w:val="24"/>
          <w:szCs w:val="24"/>
        </w:rPr>
        <w:t xml:space="preserve"> – </w:t>
      </w:r>
      <w:r>
        <w:rPr>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pPr>
        <w:pStyle w:val="Normal"/>
        <w:widowControl/>
        <w:spacing w:before="20" w:after="20"/>
        <w:ind w:firstLine="709"/>
        <w:jc w:val="both"/>
        <w:rPr>
          <w:sz w:val="24"/>
          <w:szCs w:val="24"/>
        </w:rPr>
      </w:pPr>
      <w:r>
        <w:rPr/>
        <w:drawing>
          <wp:inline distT="0" distB="0" distL="0" distR="0">
            <wp:extent cx="531495" cy="276225"/>
            <wp:effectExtent l="0" t="0" r="0" b="0"/>
            <wp:docPr id="4"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7" descr=""/>
                    <pic:cNvPicPr>
                      <a:picLocks noChangeAspect="1" noChangeArrowheads="1"/>
                    </pic:cNvPicPr>
                  </pic:nvPicPr>
                  <pic:blipFill>
                    <a:blip r:embed="rId22"/>
                    <a:stretch>
                      <a:fillRect/>
                    </a:stretch>
                  </pic:blipFill>
                  <pic:spPr bwMode="auto">
                    <a:xfrm>
                      <a:off x="0" y="0"/>
                      <a:ext cx="531495" cy="276225"/>
                    </a:xfrm>
                    <a:prstGeom prst="rect">
                      <a:avLst/>
                    </a:prstGeom>
                  </pic:spPr>
                </pic:pic>
              </a:graphicData>
            </a:graphic>
          </wp:inline>
        </w:drawing>
      </w:r>
      <w:r>
        <w:rPr>
          <w:sz w:val="24"/>
          <w:szCs w:val="24"/>
        </w:rPr>
        <w:t xml:space="preserve"> – </w:t>
      </w:r>
      <w:r>
        <w:rPr>
          <w:sz w:val="24"/>
          <w:szCs w:val="24"/>
        </w:rPr>
        <w:t xml:space="preserve">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pPr>
        <w:pStyle w:val="Normal"/>
        <w:widowControl/>
        <w:spacing w:before="20" w:after="20"/>
        <w:ind w:firstLine="709"/>
        <w:jc w:val="both"/>
        <w:rPr>
          <w:sz w:val="24"/>
          <w:szCs w:val="24"/>
        </w:rPr>
      </w:pPr>
      <w:r>
        <w:rPr/>
        <w:drawing>
          <wp:inline distT="0" distB="0" distL="0" distR="0">
            <wp:extent cx="520700" cy="266065"/>
            <wp:effectExtent l="0" t="0" r="0" b="0"/>
            <wp:docPr id="5"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6" descr=""/>
                    <pic:cNvPicPr>
                      <a:picLocks noChangeAspect="1" noChangeArrowheads="1"/>
                    </pic:cNvPicPr>
                  </pic:nvPicPr>
                  <pic:blipFill>
                    <a:blip r:embed="rId23"/>
                    <a:stretch>
                      <a:fillRect/>
                    </a:stretch>
                  </pic:blipFill>
                  <pic:spPr bwMode="auto">
                    <a:xfrm>
                      <a:off x="0" y="0"/>
                      <a:ext cx="520700" cy="266065"/>
                    </a:xfrm>
                    <a:prstGeom prst="rect">
                      <a:avLst/>
                    </a:prstGeom>
                  </pic:spPr>
                </pic:pic>
              </a:graphicData>
            </a:graphic>
          </wp:inline>
        </w:drawing>
      </w:r>
      <w:r>
        <w:rPr>
          <w:sz w:val="24"/>
          <w:szCs w:val="24"/>
        </w:rPr>
        <w:t xml:space="preserve"> – </w:t>
      </w:r>
      <w:r>
        <w:rPr>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widowControl/>
        <w:spacing w:before="20" w:after="20"/>
        <w:ind w:firstLine="709"/>
        <w:jc w:val="both"/>
        <w:rPr>
          <w:sz w:val="24"/>
          <w:szCs w:val="24"/>
        </w:rPr>
      </w:pPr>
      <w:r>
        <w:rPr/>
        <w:drawing>
          <wp:inline distT="0" distB="0" distL="0" distR="0">
            <wp:extent cx="616585" cy="318770"/>
            <wp:effectExtent l="0" t="0" r="0" b="0"/>
            <wp:docPr id="6"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5" descr=""/>
                    <pic:cNvPicPr>
                      <a:picLocks noChangeAspect="1" noChangeArrowheads="1"/>
                    </pic:cNvPicPr>
                  </pic:nvPicPr>
                  <pic:blipFill>
                    <a:blip r:embed="rId24"/>
                    <a:stretch>
                      <a:fillRect/>
                    </a:stretch>
                  </pic:blipFill>
                  <pic:spPr bwMode="auto">
                    <a:xfrm>
                      <a:off x="0" y="0"/>
                      <a:ext cx="616585" cy="318770"/>
                    </a:xfrm>
                    <a:prstGeom prst="rect">
                      <a:avLst/>
                    </a:prstGeom>
                  </pic:spPr>
                </pic:pic>
              </a:graphicData>
            </a:graphic>
          </wp:inline>
        </w:drawing>
      </w:r>
      <w:r>
        <w:rPr>
          <w:sz w:val="24"/>
          <w:szCs w:val="24"/>
        </w:rPr>
        <w:t xml:space="preserve"> – </w:t>
      </w:r>
      <w:r>
        <w:rPr>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Pr>
          <w:sz w:val="24"/>
          <w:szCs w:val="24"/>
          <w:lang w:val="en-GB"/>
        </w:rPr>
        <w:t>n</w:t>
      </w:r>
      <w:r>
        <w:rPr>
          <w:sz w:val="24"/>
          <w:szCs w:val="24"/>
        </w:rPr>
        <w:t>-4) суток Х;</w:t>
      </w:r>
    </w:p>
    <w:p>
      <w:pPr>
        <w:pStyle w:val="Normal"/>
        <w:widowControl/>
        <w:spacing w:before="20" w:after="20"/>
        <w:ind w:firstLine="709"/>
        <w:jc w:val="both"/>
        <w:rPr>
          <w:sz w:val="24"/>
          <w:szCs w:val="24"/>
        </w:rPr>
      </w:pPr>
      <w:r>
        <w:rPr/>
        <w:drawing>
          <wp:inline distT="0" distB="0" distL="0" distR="0">
            <wp:extent cx="520700" cy="266065"/>
            <wp:effectExtent l="0" t="0" r="0" b="0"/>
            <wp:docPr id="7"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4" descr=""/>
                    <pic:cNvPicPr>
                      <a:picLocks noChangeAspect="1" noChangeArrowheads="1"/>
                    </pic:cNvPicPr>
                  </pic:nvPicPr>
                  <pic:blipFill>
                    <a:blip r:embed="rId25"/>
                    <a:stretch>
                      <a:fillRect/>
                    </a:stretch>
                  </pic:blipFill>
                  <pic:spPr bwMode="auto">
                    <a:xfrm>
                      <a:off x="0" y="0"/>
                      <a:ext cx="520700" cy="266065"/>
                    </a:xfrm>
                    <a:prstGeom prst="rect">
                      <a:avLst/>
                    </a:prstGeom>
                  </pic:spPr>
                </pic:pic>
              </a:graphicData>
            </a:graphic>
          </wp:inline>
        </w:drawing>
      </w:r>
      <w:r>
        <w:rPr>
          <w:sz w:val="24"/>
          <w:szCs w:val="24"/>
        </w:rPr>
        <w:t xml:space="preserve"> – </w:t>
      </w:r>
      <w:r>
        <w:rPr>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Pr>
          <w:sz w:val="24"/>
          <w:szCs w:val="24"/>
          <w:lang w:val="en-GB"/>
        </w:rPr>
        <w:t>n</w:t>
      </w:r>
      <w:r>
        <w:rPr>
          <w:sz w:val="24"/>
          <w:szCs w:val="24"/>
        </w:rPr>
        <w:t>-4) суток Х;</w:t>
      </w:r>
    </w:p>
    <w:p>
      <w:pPr>
        <w:pStyle w:val="Normal"/>
        <w:widowControl/>
        <w:spacing w:before="20" w:after="20"/>
        <w:ind w:firstLine="709"/>
        <w:jc w:val="both"/>
        <w:rPr>
          <w:sz w:val="24"/>
          <w:szCs w:val="24"/>
        </w:rPr>
      </w:pPr>
      <w:r>
        <w:rPr/>
        <w:drawing>
          <wp:inline distT="0" distB="0" distL="0" distR="0">
            <wp:extent cx="510540" cy="233680"/>
            <wp:effectExtent l="0" t="0" r="0" b="0"/>
            <wp:docPr id="8"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3" descr=""/>
                    <pic:cNvPicPr>
                      <a:picLocks noChangeAspect="1" noChangeArrowheads="1"/>
                    </pic:cNvPicPr>
                  </pic:nvPicPr>
                  <pic:blipFill>
                    <a:blip r:embed="rId26"/>
                    <a:stretch>
                      <a:fillRect/>
                    </a:stretch>
                  </pic:blipFill>
                  <pic:spPr bwMode="auto">
                    <a:xfrm>
                      <a:off x="0" y="0"/>
                      <a:ext cx="510540" cy="233680"/>
                    </a:xfrm>
                    <a:prstGeom prst="rect">
                      <a:avLst/>
                    </a:prstGeom>
                  </pic:spPr>
                </pic:pic>
              </a:graphicData>
            </a:graphic>
          </wp:inline>
        </w:drawing>
      </w:r>
      <w:r>
        <w:rPr>
          <w:sz w:val="24"/>
          <w:szCs w:val="24"/>
        </w:rPr>
        <w:t xml:space="preserve"> – </w:t>
      </w:r>
      <w:r>
        <w:rPr>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widowControl/>
        <w:spacing w:before="20" w:after="20"/>
        <w:ind w:firstLine="709"/>
        <w:jc w:val="both"/>
        <w:rPr>
          <w:sz w:val="24"/>
          <w:szCs w:val="24"/>
        </w:rPr>
      </w:pPr>
      <w:r>
        <w:rPr/>
        <w:drawing>
          <wp:inline distT="0" distB="0" distL="0" distR="0">
            <wp:extent cx="499745" cy="233680"/>
            <wp:effectExtent l="0" t="0" r="0" b="0"/>
            <wp:docPr id="9"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2" descr=""/>
                    <pic:cNvPicPr>
                      <a:picLocks noChangeAspect="1" noChangeArrowheads="1"/>
                    </pic:cNvPicPr>
                  </pic:nvPicPr>
                  <pic:blipFill>
                    <a:blip r:embed="rId27"/>
                    <a:stretch>
                      <a:fillRect/>
                    </a:stretch>
                  </pic:blipFill>
                  <pic:spPr bwMode="auto">
                    <a:xfrm>
                      <a:off x="0" y="0"/>
                      <a:ext cx="499745" cy="233680"/>
                    </a:xfrm>
                    <a:prstGeom prst="rect">
                      <a:avLst/>
                    </a:prstGeom>
                  </pic:spPr>
                </pic:pic>
              </a:graphicData>
            </a:graphic>
          </wp:inline>
        </w:drawing>
      </w:r>
      <w:r>
        <w:rPr>
          <w:sz w:val="24"/>
          <w:szCs w:val="24"/>
        </w:rPr>
        <w:t xml:space="preserve"> – </w:t>
      </w:r>
      <w:r>
        <w:rPr>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widowControl/>
        <w:spacing w:before="20" w:after="20"/>
        <w:ind w:firstLine="709"/>
        <w:jc w:val="both"/>
        <w:rPr>
          <w:sz w:val="24"/>
          <w:szCs w:val="24"/>
        </w:rPr>
      </w:pPr>
      <w:r>
        <w:rPr/>
        <w:drawing>
          <wp:inline distT="0" distB="0" distL="0" distR="0">
            <wp:extent cx="903605" cy="287020"/>
            <wp:effectExtent l="0" t="0" r="0" b="0"/>
            <wp:docPr id="10"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descr=""/>
                    <pic:cNvPicPr>
                      <a:picLocks noChangeAspect="1" noChangeArrowheads="1"/>
                    </pic:cNvPicPr>
                  </pic:nvPicPr>
                  <pic:blipFill>
                    <a:blip r:embed="rId28"/>
                    <a:stretch>
                      <a:fillRect/>
                    </a:stretch>
                  </pic:blipFill>
                  <pic:spPr bwMode="auto">
                    <a:xfrm>
                      <a:off x="0" y="0"/>
                      <a:ext cx="903605" cy="287020"/>
                    </a:xfrm>
                    <a:prstGeom prst="rect">
                      <a:avLst/>
                    </a:prstGeom>
                  </pic:spPr>
                </pic:pic>
              </a:graphicData>
            </a:graphic>
          </wp:inline>
        </w:drawing>
      </w:r>
      <w:r>
        <w:rPr>
          <w:sz w:val="24"/>
          <w:szCs w:val="24"/>
        </w:rPr>
        <w:t xml:space="preserve"> – </w:t>
      </w:r>
      <w:r>
        <w:rPr>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widowControl/>
        <w:spacing w:before="20" w:after="20"/>
        <w:ind w:firstLine="709"/>
        <w:jc w:val="both"/>
        <w:rPr>
          <w:sz w:val="24"/>
          <w:szCs w:val="24"/>
        </w:rPr>
      </w:pPr>
      <w:r>
        <w:rPr/>
        <w:drawing>
          <wp:inline distT="0" distB="0" distL="0" distR="0">
            <wp:extent cx="1052830" cy="361315"/>
            <wp:effectExtent l="0" t="0" r="0" b="0"/>
            <wp:docPr id="1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descr=""/>
                    <pic:cNvPicPr>
                      <a:picLocks noChangeAspect="1" noChangeArrowheads="1"/>
                    </pic:cNvPicPr>
                  </pic:nvPicPr>
                  <pic:blipFill>
                    <a:blip r:embed="rId29"/>
                    <a:stretch>
                      <a:fillRect/>
                    </a:stretch>
                  </pic:blipFill>
                  <pic:spPr bwMode="auto">
                    <a:xfrm>
                      <a:off x="0" y="0"/>
                      <a:ext cx="1052830" cy="361315"/>
                    </a:xfrm>
                    <a:prstGeom prst="rect">
                      <a:avLst/>
                    </a:prstGeom>
                  </pic:spPr>
                </pic:pic>
              </a:graphicData>
            </a:graphic>
          </wp:inline>
        </w:drawing>
      </w:r>
      <w:r>
        <w:rPr>
          <w:sz w:val="24"/>
          <w:szCs w:val="24"/>
        </w:rPr>
        <w:t xml:space="preserve"> – </w:t>
      </w:r>
      <w:r>
        <w:rPr>
          <w:sz w:val="24"/>
          <w:szCs w:val="24"/>
        </w:rPr>
        <w:t>регистрируется при согласованном увеличении времени включения в сеть;</w:t>
      </w:r>
    </w:p>
    <w:p>
      <w:pPr>
        <w:pStyle w:val="Normal"/>
        <w:widowControl/>
        <w:spacing w:before="20" w:after="20"/>
        <w:ind w:firstLine="709"/>
        <w:jc w:val="both"/>
        <w:rPr>
          <w:sz w:val="24"/>
          <w:szCs w:val="24"/>
        </w:rPr>
      </w:pPr>
      <w:r>
        <w:rPr/>
        <w:drawing>
          <wp:inline distT="0" distB="0" distL="0" distR="0">
            <wp:extent cx="946150" cy="308610"/>
            <wp:effectExtent l="0" t="0" r="0" b="0"/>
            <wp:docPr id="1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9" descr=""/>
                    <pic:cNvPicPr>
                      <a:picLocks noChangeAspect="1" noChangeArrowheads="1"/>
                    </pic:cNvPicPr>
                  </pic:nvPicPr>
                  <pic:blipFill>
                    <a:blip r:embed="rId30"/>
                    <a:stretch>
                      <a:fillRect/>
                    </a:stretch>
                  </pic:blipFill>
                  <pic:spPr bwMode="auto">
                    <a:xfrm>
                      <a:off x="0" y="0"/>
                      <a:ext cx="946150" cy="308610"/>
                    </a:xfrm>
                    <a:prstGeom prst="rect">
                      <a:avLst/>
                    </a:prstGeom>
                  </pic:spPr>
                </pic:pic>
              </a:graphicData>
            </a:graphic>
          </wp:inline>
        </w:drawing>
      </w:r>
      <w:r>
        <w:rPr>
          <w:sz w:val="24"/>
          <w:szCs w:val="24"/>
        </w:rPr>
        <w:t xml:space="preserve"> – </w:t>
      </w:r>
      <w:r>
        <w:rPr>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widowControl/>
        <w:spacing w:before="20" w:after="20"/>
        <w:ind w:firstLine="709"/>
        <w:jc w:val="both"/>
        <w:rPr>
          <w:sz w:val="24"/>
          <w:szCs w:val="24"/>
        </w:rPr>
      </w:pPr>
      <w:r>
        <w:rPr/>
        <w:drawing>
          <wp:inline distT="0" distB="0" distL="0" distR="0">
            <wp:extent cx="361315" cy="287020"/>
            <wp:effectExtent l="0" t="0" r="0" b="0"/>
            <wp:docPr id="13"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8" descr=""/>
                    <pic:cNvPicPr>
                      <a:picLocks noChangeAspect="1" noChangeArrowheads="1"/>
                    </pic:cNvPicPr>
                  </pic:nvPicPr>
                  <pic:blipFill>
                    <a:blip r:embed="rId31"/>
                    <a:stretch>
                      <a:fillRect/>
                    </a:stretch>
                  </pic:blipFill>
                  <pic:spPr bwMode="auto">
                    <a:xfrm>
                      <a:off x="0" y="0"/>
                      <a:ext cx="361315" cy="287020"/>
                    </a:xfrm>
                    <a:prstGeom prst="rect">
                      <a:avLst/>
                    </a:prstGeom>
                  </pic:spPr>
                </pic:pic>
              </a:graphicData>
            </a:graphic>
          </wp:inline>
        </w:drawing>
      </w:r>
      <w:r>
        <w:rPr>
          <w:sz w:val="24"/>
          <w:szCs w:val="24"/>
        </w:rPr>
        <w:t xml:space="preserve"> – </w:t>
      </w:r>
      <w:r>
        <w:rPr>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widowControl/>
        <w:spacing w:before="120" w:after="20"/>
        <w:ind w:firstLine="709"/>
        <w:jc w:val="both"/>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29565" cy="266065"/>
            <wp:effectExtent l="0" t="0" r="0" b="0"/>
            <wp:docPr id="1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7" descr=""/>
                    <pic:cNvPicPr>
                      <a:picLocks noChangeAspect="1" noChangeArrowheads="1"/>
                    </pic:cNvPicPr>
                  </pic:nvPicPr>
                  <pic:blipFill>
                    <a:blip r:embed="rId32"/>
                    <a:stretch>
                      <a:fillRect/>
                    </a:stretch>
                  </pic:blipFill>
                  <pic:spPr bwMode="auto">
                    <a:xfrm>
                      <a:off x="0" y="0"/>
                      <a:ext cx="329565" cy="26606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widowControl/>
        <w:spacing w:before="20" w:after="20"/>
        <w:jc w:val="center"/>
        <w:rPr>
          <w:sz w:val="24"/>
          <w:szCs w:val="24"/>
          <w:lang w:val="en-GB"/>
        </w:rPr>
      </w:pPr>
      <w:r>
        <w:rPr/>
        <w:drawing>
          <wp:inline distT="0" distB="0" distL="0" distR="0">
            <wp:extent cx="1360805" cy="669925"/>
            <wp:effectExtent l="0" t="0" r="0" b="0"/>
            <wp:docPr id="15"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 descr=""/>
                    <pic:cNvPicPr>
                      <a:picLocks noChangeAspect="1" noChangeArrowheads="1"/>
                    </pic:cNvPicPr>
                  </pic:nvPicPr>
                  <pic:blipFill>
                    <a:blip r:embed="rId33"/>
                    <a:stretch>
                      <a:fillRect/>
                    </a:stretch>
                  </pic:blipFill>
                  <pic:spPr bwMode="auto">
                    <a:xfrm>
                      <a:off x="0" y="0"/>
                      <a:ext cx="1360805" cy="669925"/>
                    </a:xfrm>
                    <a:prstGeom prst="rect">
                      <a:avLst/>
                    </a:prstGeom>
                  </pic:spPr>
                </pic:pic>
              </a:graphicData>
            </a:graphic>
          </wp:inline>
        </w:drawing>
      </w:r>
    </w:p>
    <w:p>
      <w:pPr>
        <w:pStyle w:val="Normal"/>
        <w:widowControl/>
        <w:spacing w:before="20" w:after="20"/>
        <w:ind w:firstLine="709"/>
        <w:jc w:val="both"/>
        <w:rPr>
          <w:sz w:val="24"/>
          <w:szCs w:val="24"/>
        </w:rPr>
      </w:pPr>
      <w:r>
        <w:rPr>
          <w:sz w:val="24"/>
          <w:szCs w:val="24"/>
        </w:rPr>
        <w:t>где:</w:t>
      </w:r>
    </w:p>
    <w:p>
      <w:pPr>
        <w:pStyle w:val="Normal"/>
        <w:widowControl/>
        <w:spacing w:before="20" w:after="20"/>
        <w:ind w:firstLine="709"/>
        <w:jc w:val="both"/>
        <w:rPr>
          <w:sz w:val="24"/>
          <w:szCs w:val="24"/>
        </w:rPr>
      </w:pPr>
      <w:r>
        <w:rPr/>
        <w:drawing>
          <wp:inline distT="0" distB="0" distL="0" distR="0">
            <wp:extent cx="287020" cy="266065"/>
            <wp:effectExtent l="0" t="0" r="0" b="0"/>
            <wp:docPr id="16"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5" descr=""/>
                    <pic:cNvPicPr>
                      <a:picLocks noChangeAspect="1" noChangeArrowheads="1"/>
                    </pic:cNvPicPr>
                  </pic:nvPicPr>
                  <pic:blipFill>
                    <a:blip r:embed="rId34"/>
                    <a:stretch>
                      <a:fillRect/>
                    </a:stretch>
                  </pic:blipFill>
                  <pic:spPr bwMode="auto">
                    <a:xfrm>
                      <a:off x="0" y="0"/>
                      <a:ext cx="287020" cy="26606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widowControl/>
        <w:spacing w:before="20" w:after="20"/>
        <w:ind w:firstLine="709"/>
        <w:jc w:val="both"/>
        <w:rPr>
          <w:sz w:val="24"/>
          <w:szCs w:val="24"/>
        </w:rPr>
      </w:pPr>
      <w:r>
        <w:rPr>
          <w:sz w:val="24"/>
          <w:szCs w:val="24"/>
        </w:rPr>
        <w:t xml:space="preserve">Н – количество часов, соответствующее расчетному месяцу </w:t>
      </w:r>
      <w:r>
        <w:rPr>
          <w:sz w:val="24"/>
          <w:szCs w:val="24"/>
          <w:lang w:val="en-GB"/>
        </w:rPr>
        <w:t>m</w:t>
      </w:r>
      <w:r>
        <w:rPr>
          <w:sz w:val="24"/>
          <w:szCs w:val="24"/>
        </w:rPr>
        <w:t xml:space="preserve">. </w:t>
      </w:r>
    </w:p>
    <w:p>
      <w:pPr>
        <w:pStyle w:val="Normal"/>
        <w:widowControl/>
        <w:spacing w:before="20" w:after="20"/>
        <w:ind w:firstLine="709"/>
        <w:jc w:val="both"/>
        <w:rPr>
          <w:sz w:val="16"/>
          <w:szCs w:val="24"/>
        </w:rPr>
      </w:pPr>
      <w:r>
        <w:rPr>
          <w:sz w:val="16"/>
          <w:szCs w:val="24"/>
        </w:rPr>
      </w:r>
    </w:p>
    <w:p>
      <w:pPr>
        <w:pStyle w:val="Normal"/>
        <w:widowControl/>
        <w:spacing w:before="20" w:after="20"/>
        <w:ind w:firstLine="709"/>
        <w:jc w:val="both"/>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widowControl/>
        <w:spacing w:before="120" w:after="20"/>
        <w:ind w:firstLine="709"/>
        <w:jc w:val="both"/>
        <w:rPr>
          <w:sz w:val="24"/>
          <w:szCs w:val="24"/>
        </w:rPr>
      </w:pPr>
      <w:r>
        <w:rPr>
          <w:sz w:val="24"/>
          <w:szCs w:val="24"/>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Pr>
          <w:sz w:val="24"/>
          <w:szCs w:val="24"/>
          <w:lang w:val="en-GB"/>
        </w:rPr>
        <w:t>m</w:t>
      </w:r>
      <w:r>
        <w:rPr>
          <w:sz w:val="24"/>
          <w:szCs w:val="24"/>
        </w:rPr>
        <w:t>, рассчитывается для каждой ГТП (единицы оборудования) по формуле:</w:t>
      </w:r>
    </w:p>
    <w:p>
      <w:pPr>
        <w:pStyle w:val="Normal"/>
        <w:widowControl/>
        <w:spacing w:before="20" w:after="20"/>
        <w:ind w:firstLine="709"/>
        <w:jc w:val="both"/>
        <w:rPr>
          <w:sz w:val="16"/>
          <w:szCs w:val="24"/>
        </w:rPr>
      </w:pPr>
      <w:r>
        <w:rPr>
          <w:sz w:val="16"/>
          <w:szCs w:val="24"/>
        </w:rPr>
      </w:r>
    </w:p>
    <w:p>
      <w:pPr>
        <w:pStyle w:val="Normal"/>
        <w:widowControl/>
        <w:spacing w:before="20" w:after="20"/>
        <w:jc w:val="center"/>
        <w:rPr>
          <w:sz w:val="24"/>
          <w:szCs w:val="24"/>
          <w:lang w:val="en-GB"/>
        </w:rPr>
      </w:pPr>
      <w:r>
        <w:rPr/>
        <w:drawing>
          <wp:inline distT="0" distB="0" distL="0" distR="0">
            <wp:extent cx="1871345" cy="446405"/>
            <wp:effectExtent l="0" t="0" r="0" b="0"/>
            <wp:docPr id="1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4" descr=""/>
                    <pic:cNvPicPr>
                      <a:picLocks noChangeAspect="1" noChangeArrowheads="1"/>
                    </pic:cNvPicPr>
                  </pic:nvPicPr>
                  <pic:blipFill>
                    <a:blip r:embed="rId35"/>
                    <a:stretch>
                      <a:fillRect/>
                    </a:stretch>
                  </pic:blipFill>
                  <pic:spPr bwMode="auto">
                    <a:xfrm>
                      <a:off x="0" y="0"/>
                      <a:ext cx="1871345" cy="446405"/>
                    </a:xfrm>
                    <a:prstGeom prst="rect">
                      <a:avLst/>
                    </a:prstGeom>
                  </pic:spPr>
                </pic:pic>
              </a:graphicData>
            </a:graphic>
          </wp:inline>
        </w:drawing>
      </w:r>
    </w:p>
    <w:p>
      <w:pPr>
        <w:pStyle w:val="Normal"/>
        <w:widowControl/>
        <w:spacing w:before="20" w:after="20"/>
        <w:ind w:firstLine="709"/>
        <w:jc w:val="both"/>
        <w:rPr>
          <w:sz w:val="24"/>
          <w:szCs w:val="24"/>
        </w:rPr>
      </w:pPr>
      <w:r>
        <w:rPr>
          <w:sz w:val="24"/>
          <w:szCs w:val="24"/>
        </w:rPr>
        <w:t xml:space="preserve"> </w:t>
      </w:r>
      <w:r>
        <w:rPr>
          <w:sz w:val="24"/>
          <w:szCs w:val="24"/>
        </w:rPr>
        <w:t>где:</w:t>
        <w:tab/>
        <w:tab/>
        <w:tab/>
        <w:tab/>
        <w:tab/>
        <w:tab/>
      </w:r>
    </w:p>
    <w:p>
      <w:pPr>
        <w:pStyle w:val="Normal"/>
        <w:widowControl/>
        <w:spacing w:before="20" w:after="20"/>
        <w:ind w:firstLine="709"/>
        <w:jc w:val="both"/>
        <w:rPr>
          <w:sz w:val="24"/>
          <w:szCs w:val="24"/>
        </w:rPr>
      </w:pPr>
      <w:r>
        <w:rPr/>
        <w:drawing>
          <wp:inline distT="0" distB="0" distL="0" distR="0">
            <wp:extent cx="180975" cy="233680"/>
            <wp:effectExtent l="0" t="0" r="0" b="0"/>
            <wp:docPr id="18"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 descr=""/>
                    <pic:cNvPicPr>
                      <a:picLocks noChangeAspect="1" noChangeArrowheads="1"/>
                    </pic:cNvPicPr>
                  </pic:nvPicPr>
                  <pic:blipFill>
                    <a:blip r:embed="rId36"/>
                    <a:stretch>
                      <a:fillRect/>
                    </a:stretch>
                  </pic:blipFill>
                  <pic:spPr bwMode="auto">
                    <a:xfrm>
                      <a:off x="0" y="0"/>
                      <a:ext cx="180975" cy="233680"/>
                    </a:xfrm>
                    <a:prstGeom prst="rect">
                      <a:avLst/>
                    </a:prstGeom>
                  </pic:spPr>
                </pic:pic>
              </a:graphicData>
            </a:graphic>
          </wp:inline>
        </w:drawing>
      </w:r>
      <w:r>
        <w:rPr>
          <w:sz w:val="24"/>
          <w:szCs w:val="24"/>
        </w:rPr>
        <w:t xml:space="preserve"> </w:t>
      </w:r>
      <w:r>
        <w:rPr>
          <w:sz w:val="24"/>
          <w:szCs w:val="24"/>
        </w:rPr>
        <w:t>- коэффициенты (</w:t>
      </w:r>
      <w:r>
        <w:rPr/>
      </w:r>
      <m:oMath xmlns:m="http://schemas.openxmlformats.org/officeDocument/2006/math"/>
      <w:r>
        <w:rPr>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sz w:val="24"/>
          <w:szCs w:val="24"/>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sz w:val="24"/>
          <w:szCs w:val="24"/>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sz w:val="24"/>
          <w:szCs w:val="24"/>
        </w:rPr>
        <w:t>,</w:t>
      </w:r>
      <w:r>
        <w:rPr/>
      </w:r>
      <m:oMath xmlns:m="http://schemas.openxmlformats.org/officeDocument/2006/math"/>
      <w:r>
        <w:rPr>
          <w:sz w:val="24"/>
          <w:szCs w:val="24"/>
        </w:rPr>
        <w:t>,</w:t>
      </w:r>
      <w:r>
        <w:rPr/>
      </w:r>
      <m:oMath xmlns:m="http://schemas.openxmlformats.org/officeDocument/2006/math"/>
      <w:r>
        <w:rPr>
          <w:sz w:val="24"/>
          <w:szCs w:val="24"/>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sz w:val="24"/>
          <w:szCs w:val="24"/>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sz w:val="24"/>
          <w:szCs w:val="24"/>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sz w:val="24"/>
          <w:szCs w:val="24"/>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sz w:val="24"/>
          <w:szCs w:val="24"/>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sz w:val="24"/>
          <w:szCs w:val="24"/>
        </w:rPr>
        <w:t xml:space="preserve">, </w:t>
      </w:r>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sz w:val="24"/>
          <w:szCs w:val="24"/>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pPr>
        <w:pStyle w:val="Normal"/>
        <w:widowControl/>
        <w:spacing w:before="120" w:after="20"/>
        <w:ind w:firstLine="709"/>
        <w:jc w:val="both"/>
        <w:rPr>
          <w:sz w:val="24"/>
          <w:szCs w:val="24"/>
        </w:rPr>
      </w:pPr>
      <w:r>
        <w:rPr>
          <w:sz w:val="24"/>
          <w:szCs w:val="24"/>
        </w:rPr>
        <w:t xml:space="preserve">Снижение оплаты мощности рассчитывается как произведение объема недопоставки мощности </w:t>
      </w:r>
      <w:r>
        <w:rPr/>
        <w:drawing>
          <wp:inline distT="0" distB="0" distL="0" distR="0">
            <wp:extent cx="701675" cy="255270"/>
            <wp:effectExtent l="0" t="0" r="0" b="0"/>
            <wp:docPr id="1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 descr=""/>
                    <pic:cNvPicPr>
                      <a:picLocks noChangeAspect="1" noChangeArrowheads="1"/>
                    </pic:cNvPicPr>
                  </pic:nvPicPr>
                  <pic:blipFill>
                    <a:blip r:embed="rId37"/>
                    <a:stretch>
                      <a:fillRect/>
                    </a:stretch>
                  </pic:blipFill>
                  <pic:spPr bwMode="auto">
                    <a:xfrm>
                      <a:off x="0" y="0"/>
                      <a:ext cx="701675" cy="255270"/>
                    </a:xfrm>
                    <a:prstGeom prst="rect">
                      <a:avLst/>
                    </a:prstGeom>
                  </pic:spPr>
                </pic:pic>
              </a:graphicData>
            </a:graphic>
          </wp:inline>
        </w:drawing>
      </w:r>
      <w:r>
        <w:rPr>
          <w:sz w:val="24"/>
          <w:szCs w:val="24"/>
        </w:rPr>
        <w:t xml:space="preserve"> на тариф </w:t>
      </w:r>
      <w:r>
        <w:rPr/>
        <w:drawing>
          <wp:inline distT="0" distB="0" distL="0" distR="0">
            <wp:extent cx="499745" cy="340360"/>
            <wp:effectExtent l="0" t="0" r="0" b="0"/>
            <wp:docPr id="2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 descr=""/>
                    <pic:cNvPicPr>
                      <a:picLocks noChangeAspect="1" noChangeArrowheads="1"/>
                    </pic:cNvPicPr>
                  </pic:nvPicPr>
                  <pic:blipFill>
                    <a:blip r:embed="rId38"/>
                    <a:stretch>
                      <a:fillRect/>
                    </a:stretch>
                  </pic:blipFill>
                  <pic:spPr bwMode="auto">
                    <a:xfrm>
                      <a:off x="0" y="0"/>
                      <a:ext cx="499745" cy="340360"/>
                    </a:xfrm>
                    <a:prstGeom prst="rect">
                      <a:avLst/>
                    </a:prstGeom>
                  </pic:spPr>
                </pic:pic>
              </a:graphicData>
            </a:graphic>
          </wp:inline>
        </w:drawing>
      </w:r>
      <w:r>
        <w:rPr>
          <w:sz w:val="24"/>
          <w:szCs w:val="24"/>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p>
      <w:pPr>
        <w:pStyle w:val="Normal"/>
        <w:widowControl/>
        <w:spacing w:before="120" w:after="20"/>
        <w:ind w:firstLine="709"/>
        <w:jc w:val="both"/>
        <w:rPr>
          <w:sz w:val="14"/>
          <w:szCs w:val="24"/>
        </w:rPr>
      </w:pPr>
      <w:r>
        <w:rPr>
          <w:sz w:val="14"/>
          <w:szCs w:val="24"/>
        </w:rPr>
      </w:r>
    </w:p>
    <w:tbl>
      <w:tblPr>
        <w:tblW w:w="1012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40"/>
        <w:gridCol w:w="4879"/>
      </w:tblGrid>
      <w:tr>
        <w:trPr>
          <w:trHeight w:val="282" w:hRule="atLeast"/>
        </w:trPr>
        <w:tc>
          <w:tcPr>
            <w:tcW w:w="5240" w:type="dxa"/>
            <w:tcBorders/>
          </w:tcPr>
          <w:p>
            <w:pPr>
              <w:pStyle w:val="Normal"/>
              <w:widowControl w:val="false"/>
              <w:jc w:val="center"/>
              <w:rPr>
                <w:b/>
                <w:sz w:val="24"/>
                <w:szCs w:val="24"/>
                <w:lang w:val="en-GB"/>
              </w:rPr>
            </w:pPr>
            <w:r>
              <w:rPr>
                <w:b/>
                <w:sz w:val="24"/>
                <w:szCs w:val="24"/>
                <w:lang w:val="en-GB"/>
              </w:rPr>
              <w:t>Покупатель:</w:t>
            </w:r>
          </w:p>
        </w:tc>
        <w:tc>
          <w:tcPr>
            <w:tcW w:w="4879" w:type="dxa"/>
            <w:tcBorders/>
          </w:tcPr>
          <w:p>
            <w:pPr>
              <w:pStyle w:val="Normal"/>
              <w:widowControl w:val="false"/>
              <w:jc w:val="center"/>
              <w:rPr>
                <w:b/>
                <w:sz w:val="24"/>
                <w:szCs w:val="24"/>
                <w:lang w:val="en-GB"/>
              </w:rPr>
            </w:pPr>
            <w:r>
              <w:rPr>
                <w:b/>
                <w:sz w:val="24"/>
                <w:szCs w:val="24"/>
              </w:rPr>
              <w:t>Поставщик</w:t>
            </w:r>
            <w:r>
              <w:rPr>
                <w:b/>
                <w:sz w:val="24"/>
                <w:szCs w:val="24"/>
                <w:lang w:val="en-GB"/>
              </w:rPr>
              <w:t>:</w:t>
            </w:r>
          </w:p>
        </w:tc>
      </w:tr>
      <w:tr>
        <w:trPr>
          <w:trHeight w:val="611" w:hRule="atLeast"/>
        </w:trPr>
        <w:tc>
          <w:tcPr>
            <w:tcW w:w="5240"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487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_______________ / _______________</w:t>
            </w:r>
          </w:p>
        </w:tc>
      </w:tr>
    </w:tbl>
    <w:p>
      <w:pPr>
        <w:pStyle w:val="Normal"/>
        <w:ind w:left="5103" w:hanging="0"/>
        <w:rPr>
          <w:b/>
          <w:bCs/>
          <w:sz w:val="24"/>
          <w:szCs w:val="24"/>
        </w:rPr>
      </w:pPr>
      <w:r>
        <w:rPr/>
      </w:r>
    </w:p>
    <w:sectPr>
      <w:headerReference w:type="default" r:id="rId39"/>
      <w:footerReference w:type="default" r:id="rId40"/>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26</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33</w:t>
    </w:r>
    <w:r>
      <w:rPr>
        <w:sz w:val="24"/>
        <w:szCs w:val="24"/>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4">
    <w:p>
      <w:pPr>
        <w:pStyle w:val="FootnoteText"/>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6">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7">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8">
    <w:p>
      <w:pPr>
        <w:pStyle w:val="FootnoteText"/>
        <w:jc w:val="both"/>
        <w:rPr/>
      </w:pPr>
      <w:r>
        <w:rPr>
          <w:rStyle w:val="Style14"/>
        </w:rPr>
        <w:footnoteRef/>
      </w:r>
      <w:r>
        <w:rPr/>
        <w:t xml:space="preserve"> </w:t>
      </w:r>
      <w:r>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9">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0">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1">
    <w:p>
      <w:pPr>
        <w:pStyle w:val="FootnoteText"/>
        <w:jc w:val="both"/>
        <w:rPr/>
      </w:pPr>
      <w:r>
        <w:rPr>
          <w:rStyle w:val="Style14"/>
        </w:rPr>
        <w:footnoteRef/>
      </w:r>
      <w:r>
        <w:rPr/>
        <w:t xml:space="preserve"> </w:t>
      </w:r>
      <w:r>
        <w:rPr/>
        <w:t>В случае если Поставщик является субъектом малого и среднего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4">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 w:id="15">
    <w:p>
      <w:pPr>
        <w:pStyle w:val="FootnoteText"/>
        <w:jc w:val="both"/>
        <w:rPr>
          <w:sz w:val="22"/>
          <w:szCs w:val="22"/>
        </w:rPr>
      </w:pPr>
      <w:r>
        <w:rPr>
          <w:rStyle w:val="Style14"/>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16">
    <w:p>
      <w:pPr>
        <w:pStyle w:val="FootnoteText"/>
        <w:jc w:val="both"/>
        <w:rPr/>
      </w:pPr>
      <w:r>
        <w:rPr>
          <w:rStyle w:val="Style14"/>
        </w:rPr>
        <w:footnoteRef/>
      </w:r>
      <w:r>
        <w:rPr>
          <w:sz w:val="22"/>
          <w:szCs w:val="22"/>
        </w:rPr>
        <w:t xml:space="preserve"> </w:t>
      </w:r>
      <w:r>
        <w:rPr>
          <w:lang w:eastAsia="x-none"/>
        </w:rPr>
        <w:t>Е</w:t>
      </w:r>
      <w:r>
        <w:rPr>
          <w:lang w:val="x-none" w:eastAsia="x-none"/>
        </w:rPr>
        <w:t xml:space="preserve">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w:t>
      </w:r>
      <w:r>
        <w:rPr>
          <w:lang w:eastAsia="x-none"/>
        </w:rPr>
        <w:t>максимальный</w:t>
      </w:r>
      <w:r>
        <w:rPr>
          <w:lang w:val="x-none" w:eastAsia="x-none"/>
        </w:rPr>
        <w:t xml:space="preserve">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17">
    <w:p>
      <w:pPr>
        <w:pStyle w:val="FootnoteText"/>
        <w:jc w:val="both"/>
        <w:rPr/>
      </w:pPr>
      <w:r>
        <w:rPr>
          <w:rStyle w:val="Style14"/>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567"/>
        </w:tabs>
        <w:ind w:left="1567"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61997"/>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cbr.ru/" TargetMode="External"/><Relationship Id="rId17" Type="http://schemas.openxmlformats.org/officeDocument/2006/relationships/hyperlink" Target="http://www.asv.org.ru))" TargetMode="External"/><Relationship Id="rId18" Type="http://schemas.openxmlformats.org/officeDocument/2006/relationships/hyperlink" Target="http://www.cbr.ru/" TargetMode="External"/><Relationship Id="rId19" Type="http://schemas.openxmlformats.org/officeDocument/2006/relationships/image" Target="media/image1.png"/><Relationship Id="rId20" Type="http://schemas.openxmlformats.org/officeDocument/2006/relationships/image" Target="media/image2.wmf"/><Relationship Id="rId21" Type="http://schemas.openxmlformats.org/officeDocument/2006/relationships/image" Target="media/image3.wmf"/><Relationship Id="rId22" Type="http://schemas.openxmlformats.org/officeDocument/2006/relationships/image" Target="media/image4.wmf"/><Relationship Id="rId23" Type="http://schemas.openxmlformats.org/officeDocument/2006/relationships/image" Target="media/image5.wmf"/><Relationship Id="rId24" Type="http://schemas.openxmlformats.org/officeDocument/2006/relationships/image" Target="media/image6.wmf"/><Relationship Id="rId25" Type="http://schemas.openxmlformats.org/officeDocument/2006/relationships/image" Target="media/image7.wmf"/><Relationship Id="rId26" Type="http://schemas.openxmlformats.org/officeDocument/2006/relationships/image" Target="media/image8.wmf"/><Relationship Id="rId27" Type="http://schemas.openxmlformats.org/officeDocument/2006/relationships/image" Target="media/image9.wmf"/><Relationship Id="rId28" Type="http://schemas.openxmlformats.org/officeDocument/2006/relationships/image" Target="media/image10.wmf"/><Relationship Id="rId29" Type="http://schemas.openxmlformats.org/officeDocument/2006/relationships/image" Target="media/image11.wmf"/><Relationship Id="rId30" Type="http://schemas.openxmlformats.org/officeDocument/2006/relationships/image" Target="media/image12.wmf"/><Relationship Id="rId31" Type="http://schemas.openxmlformats.org/officeDocument/2006/relationships/image" Target="media/image13.wmf"/><Relationship Id="rId32" Type="http://schemas.openxmlformats.org/officeDocument/2006/relationships/image" Target="media/image14.wmf"/><Relationship Id="rId33" Type="http://schemas.openxmlformats.org/officeDocument/2006/relationships/image" Target="media/image15.wmf"/><Relationship Id="rId34" Type="http://schemas.openxmlformats.org/officeDocument/2006/relationships/image" Target="media/image16.wmf"/><Relationship Id="rId35" Type="http://schemas.openxmlformats.org/officeDocument/2006/relationships/image" Target="media/image17.png"/><Relationship Id="rId36" Type="http://schemas.openxmlformats.org/officeDocument/2006/relationships/image" Target="media/image18.wmf"/><Relationship Id="rId37" Type="http://schemas.openxmlformats.org/officeDocument/2006/relationships/image" Target="media/image19.wmf"/><Relationship Id="rId38" Type="http://schemas.openxmlformats.org/officeDocument/2006/relationships/image" Target="media/image20.wmf"/><Relationship Id="rId39" Type="http://schemas.openxmlformats.org/officeDocument/2006/relationships/header" Target="header7.xml"/><Relationship Id="rId40" Type="http://schemas.openxmlformats.org/officeDocument/2006/relationships/footer" Target="footer6.xml"/><Relationship Id="rId41" Type="http://schemas.openxmlformats.org/officeDocument/2006/relationships/footnotes" Target="footnotes.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Relationship Id="rId47" Type="http://schemas.openxmlformats.org/officeDocument/2006/relationships/customXml" Target="../customXml/item2.xml"/><Relationship Id="rId48" Type="http://schemas.openxmlformats.org/officeDocument/2006/relationships/customXml" Target="../customXml/item3.xml"/><Relationship Id="rId49"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2.xml><?xml version="1.0" encoding="utf-8"?>
<ds:datastoreItem xmlns:ds="http://schemas.openxmlformats.org/officeDocument/2006/customXml" ds:itemID="{CAB94FC1-BD47-43F8-B839-E5D96BA030B8}">
  <ds:schemaRefs>
    <ds:schemaRef ds:uri="http://schemas.openxmlformats.org/officeDocument/2006/bibliography"/>
  </ds:schemaRefs>
</ds:datastoreItem>
</file>

<file path=customXml/itemProps3.xml><?xml version="1.0" encoding="utf-8"?>
<ds:datastoreItem xmlns:ds="http://schemas.openxmlformats.org/officeDocument/2006/customXml" ds:itemID="{91A0BABE-0A9B-48D2-BF3A-C70ADC7EB22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AlterOffice/3.4.0.9$Linux_X86_64 LibreOffice_project/b8daf9e823b1a5463a2f48435ddc2e8696e7d4fc</Application>
  <AppVersion>15.0000</AppVersion>
  <Pages>33</Pages>
  <Words>11013</Words>
  <Characters>78607</Characters>
  <CharactersWithSpaces>84015</CharactersWithSpaces>
  <Paragraphs>529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2024-02-05T07:24:00Z</dcterms:created>
  <dc:creator>tsypilev_ag</dc:creator>
  <dc:description/>
  <dc:language>ru-RU</dc:language>
  <cp:lastModifiedBy>ilyichevdu@corp.gidroogk.com</cp:lastModifiedBy>
  <cp:lastPrinted>2018-05-22T09:46:00Z</cp:lastPrinted>
  <dcterms:modified xsi:type="dcterms:W3CDTF">2025-10-01T15:56:15Z</dcterms:modified>
  <cp:revision>21</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