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styles.xml" ContentType="application/vnd.openxmlformats-officedocument.wordprocessingml.styles+xml"/>
  <Override PartName="/word/footer5.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bookmarkStart w:id="0" w:name="_GoBack"/>
      <w:bookmarkEnd w:id="0"/>
      <w:r>
        <w:rPr>
          <w:b/>
          <w:bCs/>
          <w:sz w:val="24"/>
          <w:szCs w:val="24"/>
        </w:rPr>
        <w:t>Договор поставки №________</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проведенной Покупателем закупочной процедуры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Heading3"/>
        <w:tabs>
          <w:tab w:val="clear" w:pos="709"/>
          <w:tab w:val="left" w:pos="567" w:leader="none"/>
        </w:tabs>
        <w:overflowPunct w:val="true"/>
        <w:spacing w:before="0" w:after="0"/>
        <w:ind w:firstLine="708"/>
        <w:jc w:val="both"/>
        <w:textAlignment w:val="baseline"/>
        <w:rPr/>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false"/>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false"/>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sz w:val="24"/>
          <w:szCs w:val="24"/>
          <w:lang w:val="ru-RU" w:eastAsia="en-US"/>
        </w:rPr>
        <w:t>.</w:t>
      </w:r>
    </w:p>
    <w:p>
      <w:pPr>
        <w:pStyle w:val="Normal"/>
        <w:shd w:val="clear" w:color="auto" w:fill="FFFFFF"/>
        <w:tabs>
          <w:tab w:val="clear" w:pos="709"/>
          <w:tab w:val="left" w:pos="0" w:leader="none"/>
        </w:tabs>
        <w:ind w:firstLine="709"/>
        <w:jc w:val="both"/>
        <w:textAlignment w:val="baseline"/>
        <w:rPr>
          <w:sz w:val="24"/>
          <w:szCs w:val="24"/>
        </w:rPr>
      </w:pPr>
      <w:r>
        <w:rPr>
          <w:b/>
          <w:color w:val="000000"/>
          <w:sz w:val="24"/>
          <w:szCs w:val="24"/>
          <w:lang w:eastAsia="en-US"/>
        </w:rPr>
        <w:t xml:space="preserve">«Накладная ТОРГ-12» – </w:t>
      </w:r>
      <w:r>
        <w:rPr>
          <w:color w:val="000000"/>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sz w:val="24"/>
          <w:szCs w:val="24"/>
          <w:lang w:eastAsia="en-US"/>
        </w:rPr>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10"/>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 высоковольтный ввод 110кВ для пополнения аварийного запаса филиала ПАО "РусГидро" - "Каскад Кубанских ГЭС"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10"/>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shd w:fill="FFFFFF" w:val="clear"/>
        </w:rPr>
        <w:t>филиала ПАО «РусГидро» - «Каскад Кубанских ГЭС».</w:t>
      </w:r>
    </w:p>
    <w:p>
      <w:pPr>
        <w:pStyle w:val="Normal"/>
        <w:shd w:val="clear" w:color="auto" w:fill="FFFFFF"/>
        <w:tabs>
          <w:tab w:val="clear" w:pos="709"/>
          <w:tab w:val="left" w:pos="0" w:leader="none"/>
          <w:tab w:val="left" w:pos="1134" w:leader="none"/>
        </w:tabs>
        <w:ind w:firstLine="709"/>
        <w:jc w:val="both"/>
        <w:rPr>
          <w:bCs/>
          <w:sz w:val="24"/>
          <w:szCs w:val="24"/>
        </w:rPr>
      </w:pPr>
      <w:r>
        <w:rPr>
          <w:bCs/>
          <w:sz w:val="24"/>
          <w:szCs w:val="24"/>
        </w:rPr>
        <w:t xml:space="preserve">1.3 Место поставки Товара: </w:t>
      </w:r>
      <w:r>
        <w:rPr>
          <w:rFonts w:eastAsia="Calibri" w:eastAsiaTheme="minorHAnsi"/>
          <w:bCs/>
          <w:sz w:val="24"/>
          <w:szCs w:val="24"/>
        </w:rPr>
        <w:t>РФ, Ставропольский край, г. Невинномысск, ул.Водопроводная, 349а</w:t>
      </w:r>
      <w:r>
        <w:rPr>
          <w:sz w:val="24"/>
          <w:szCs w:val="24"/>
        </w:rPr>
        <w:t xml:space="preserve"> (далее – «Место поставки»).</w:t>
      </w:r>
    </w:p>
    <w:p>
      <w:pPr>
        <w:pStyle w:val="Normal"/>
        <w:shd w:val="clear" w:color="auto" w:fill="FFFFFF"/>
        <w:tabs>
          <w:tab w:val="clear" w:pos="709"/>
          <w:tab w:val="left" w:pos="0" w:leader="none"/>
          <w:tab w:val="left" w:pos="1134" w:leader="none"/>
        </w:tabs>
        <w:ind w:left="709" w:hanging="0"/>
        <w:jc w:val="both"/>
        <w:rPr>
          <w:bCs/>
          <w:sz w:val="24"/>
          <w:szCs w:val="24"/>
        </w:rPr>
      </w:pPr>
      <w:r>
        <w:rPr>
          <w:bCs/>
          <w:sz w:val="24"/>
          <w:szCs w:val="24"/>
        </w:rPr>
        <w:t>1.4 Общий срок поставки Товара:</w:t>
      </w:r>
    </w:p>
    <w:p>
      <w:pPr>
        <w:pStyle w:val="Normal"/>
        <w:shd w:val="clear" w:color="auto" w:fill="FFFFFF"/>
        <w:tabs>
          <w:tab w:val="clear" w:pos="709"/>
          <w:tab w:val="left" w:pos="0" w:leader="none"/>
          <w:tab w:val="left" w:pos="1134" w:leader="none"/>
        </w:tabs>
        <w:ind w:left="709" w:hanging="0"/>
        <w:jc w:val="both"/>
        <w:rPr>
          <w:bCs/>
          <w:sz w:val="24"/>
          <w:szCs w:val="24"/>
        </w:rPr>
      </w:pPr>
      <w:r>
        <w:rPr>
          <w:bCs/>
          <w:sz w:val="24"/>
          <w:szCs w:val="24"/>
        </w:rPr>
        <w:t>1.4.1 Начало – с даты, следующей за датой заключения Договора;</w:t>
      </w:r>
    </w:p>
    <w:p>
      <w:pPr>
        <w:pStyle w:val="Normal"/>
        <w:shd w:val="clear" w:color="auto" w:fill="FFFFFF"/>
        <w:tabs>
          <w:tab w:val="clear" w:pos="709"/>
          <w:tab w:val="left" w:pos="0" w:leader="none"/>
          <w:tab w:val="left" w:pos="1134" w:leader="none"/>
        </w:tabs>
        <w:ind w:firstLine="680"/>
        <w:jc w:val="both"/>
        <w:rPr>
          <w:bCs/>
          <w:sz w:val="24"/>
          <w:szCs w:val="24"/>
        </w:rPr>
      </w:pPr>
      <w:r>
        <w:rPr>
          <w:bCs/>
          <w:sz w:val="24"/>
          <w:szCs w:val="24"/>
        </w:rPr>
        <w:t>1.4.2 Окончание - в течение 3 (трех) месяцев с даты заключения договора. Поставка осуществляется единовременно.</w:t>
      </w:r>
    </w:p>
    <w:p>
      <w:pPr>
        <w:pStyle w:val="Normal"/>
        <w:shd w:val="clear" w:color="auto" w:fill="FFFFFF"/>
        <w:tabs>
          <w:tab w:val="clear" w:pos="709"/>
          <w:tab w:val="left" w:pos="0" w:leader="none"/>
          <w:tab w:val="left" w:pos="1134" w:leader="none"/>
        </w:tabs>
        <w:ind w:firstLine="68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w:t>
      </w:r>
      <w:r>
        <w:rPr>
          <w:sz w:val="24"/>
          <w:szCs w:val="24"/>
        </w:rPr>
        <w:t>составляет ____________(_______________) рублей _____________копеек без учета НДС, при этом НДС исчисляется дополнительно по ставке, установленной</w:t>
      </w:r>
      <w:r>
        <w:rPr>
          <w:bCs/>
          <w:sz w:val="24"/>
          <w:szCs w:val="24"/>
        </w:rPr>
        <w:t xml:space="preserve">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tabs>
          <w:tab w:val="clear" w:pos="709"/>
          <w:tab w:val="left" w:pos="1418" w:leader="none"/>
        </w:tabs>
        <w:ind w:left="0" w:firstLine="709"/>
        <w:jc w:val="both"/>
        <w:rPr>
          <w:rFonts w:eastAsia="Calibri" w:eastAsiaTheme="minorHAnsi"/>
          <w:sz w:val="24"/>
          <w:szCs w:val="24"/>
        </w:rPr>
      </w:pPr>
      <w:r>
        <w:rPr>
          <w:sz w:val="24"/>
          <w:szCs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r>
        <w:rPr>
          <w:rFonts w:eastAsia="Calibri" w:eastAsiaTheme="minorHAnsi"/>
          <w:sz w:val="24"/>
          <w:szCs w:val="24"/>
        </w:rPr>
        <w:t xml:space="preserve"> </w:t>
      </w:r>
    </w:p>
    <w:p>
      <w:pPr>
        <w:pStyle w:val="ListParagraph"/>
        <w:numPr>
          <w:ilvl w:val="2"/>
          <w:numId w:val="2"/>
        </w:numPr>
        <w:tabs>
          <w:tab w:val="clear" w:pos="709"/>
          <w:tab w:val="left" w:pos="1418" w:leader="none"/>
        </w:tabs>
        <w:ind w:left="0" w:firstLine="709"/>
        <w:jc w:val="both"/>
        <w:rPr>
          <w:sz w:val="24"/>
        </w:rPr>
      </w:pPr>
      <w:r>
        <w:rPr>
          <w:sz w:val="24"/>
          <w:szCs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накладной ТОРГ-12 (УПД), на основании счета, выставленного Поставщиком, и с учетом пункта 2.4.3 Договора</w:t>
      </w:r>
      <w:r>
        <w:rPr>
          <w:sz w:val="24"/>
        </w:rPr>
        <w:t>.</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единовременно в Место поставки, указанное в пункте 1.2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tabs>
          <w:tab w:val="clear" w:pos="709"/>
          <w:tab w:val="left" w:pos="1418" w:leader="none"/>
        </w:tabs>
        <w:ind w:left="0" w:firstLine="709"/>
        <w:jc w:val="both"/>
        <w:rPr>
          <w:sz w:val="24"/>
          <w:szCs w:val="24"/>
        </w:rPr>
      </w:pPr>
      <w:r>
        <w:rPr>
          <w:sz w:val="24"/>
          <w:szCs w:val="24"/>
        </w:rPr>
        <w:t>накладная ТОРГ-12 (УПД) в __(____) экз.</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09"/>
          <w:tab w:val="left" w:pos="1418"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w:t>
      </w:r>
      <w:bookmarkEnd w:id="2"/>
      <w:r>
        <w:rPr>
          <w:sz w:val="24"/>
          <w:szCs w:val="24"/>
        </w:rPr>
        <w:t>накладной ТОРГ-12 (УПД).</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 (УПД).</w:t>
      </w:r>
    </w:p>
    <w:p>
      <w:pPr>
        <w:pStyle w:val="Normal"/>
        <w:numPr>
          <w:ilvl w:val="1"/>
          <w:numId w:val="2"/>
        </w:numPr>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Товара.</w:t>
      </w:r>
    </w:p>
    <w:p>
      <w:pPr>
        <w:pStyle w:val="Normal"/>
        <w:numPr>
          <w:ilvl w:val="1"/>
          <w:numId w:val="2"/>
        </w:numPr>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(УПД).</w:t>
      </w:r>
    </w:p>
    <w:p>
      <w:pPr>
        <w:pStyle w:val="Normal"/>
        <w:ind w:firstLine="709"/>
        <w:jc w:val="both"/>
        <w:rPr>
          <w:sz w:val="24"/>
          <w:szCs w:val="24"/>
        </w:rPr>
      </w:pPr>
      <w:r>
        <w:rPr>
          <w:sz w:val="24"/>
          <w:szCs w:val="24"/>
        </w:rPr>
      </w:r>
    </w:p>
    <w:p>
      <w:pPr>
        <w:pStyle w:val="ListParagraph"/>
        <w:numPr>
          <w:ilvl w:val="0"/>
          <w:numId w:val="2"/>
        </w:numPr>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____ (______) месяцев и начинает течь с даты подписания Сторонами накладной ТОРГ-12 (УПД).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w:t>
      </w:r>
      <w:r>
        <w:rPr>
          <w:bCs/>
          <w:sz w:val="24"/>
          <w:szCs w:val="24"/>
        </w:rPr>
        <w:t>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tabs>
          <w:tab w:val="clear" w:pos="709"/>
          <w:tab w:val="left" w:pos="1134" w:leader="none"/>
        </w:tabs>
        <w:ind w:firstLine="709"/>
        <w:jc w:val="both"/>
        <w:rPr>
          <w:bCs/>
          <w:sz w:val="24"/>
          <w:szCs w:val="24"/>
        </w:rPr>
      </w:pPr>
      <w:r>
        <w:rPr>
          <w:sz w:val="24"/>
          <w:szCs w:val="24"/>
        </w:rPr>
        <w:t>5.5. 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tabs>
          <w:tab w:val="clear" w:pos="709"/>
          <w:tab w:val="left" w:pos="1134" w:leader="none"/>
        </w:tabs>
        <w:ind w:firstLine="680"/>
        <w:jc w:val="both"/>
        <w:rPr/>
      </w:pPr>
      <w:r>
        <w:rPr>
          <w:sz w:val="24"/>
          <w:szCs w:val="24"/>
        </w:rPr>
        <w:t>5.5.1.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tabs>
          <w:tab w:val="clear" w:pos="709"/>
          <w:tab w:val="left" w:pos="1134" w:leader="none"/>
        </w:tabs>
        <w:ind w:firstLine="680"/>
        <w:jc w:val="both"/>
        <w:rPr>
          <w:bCs/>
          <w:sz w:val="24"/>
          <w:szCs w:val="24"/>
        </w:rPr>
      </w:pPr>
      <w:r>
        <w:rPr>
          <w:sz w:val="24"/>
          <w:szCs w:val="24"/>
        </w:rPr>
        <w:t>5.5.2.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tabs>
          <w:tab w:val="clear" w:pos="709"/>
          <w:tab w:val="left" w:pos="1134" w:leader="none"/>
          <w:tab w:val="left" w:pos="1701" w:leader="none"/>
        </w:tabs>
        <w:ind w:left="0" w:firstLine="680"/>
        <w:jc w:val="both"/>
        <w:rPr>
          <w:sz w:val="24"/>
          <w:szCs w:val="24"/>
        </w:rPr>
      </w:pPr>
      <w:r>
        <w:rPr>
          <w:rFonts w:eastAsia="Calibri"/>
          <w:bCs/>
          <w:sz w:val="24"/>
          <w:szCs w:val="24"/>
        </w:rPr>
        <w:t>5.6.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shd w:val="clear" w:color="auto" w:fill="FFFFFF"/>
        <w:tabs>
          <w:tab w:val="clear" w:pos="709"/>
          <w:tab w:val="left" w:pos="1134" w:leader="none"/>
        </w:tabs>
        <w:ind w:left="0" w:firstLine="680"/>
        <w:jc w:val="both"/>
        <w:rPr>
          <w:bCs/>
          <w:sz w:val="24"/>
          <w:szCs w:val="24"/>
        </w:rPr>
      </w:pPr>
      <w:r>
        <w:rPr>
          <w:bCs/>
          <w:sz w:val="24"/>
          <w:szCs w:val="24"/>
        </w:rPr>
        <w:t xml:space="preserve">5.7.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shd w:val="clear" w:color="auto" w:fill="FFFFFF"/>
        <w:tabs>
          <w:tab w:val="clear" w:pos="709"/>
          <w:tab w:val="left" w:pos="1134" w:leader="none"/>
        </w:tabs>
        <w:ind w:left="0" w:firstLine="680"/>
        <w:jc w:val="both"/>
        <w:rPr>
          <w:bCs/>
          <w:sz w:val="24"/>
          <w:szCs w:val="24"/>
        </w:rPr>
      </w:pPr>
      <w:r>
        <w:rPr>
          <w:bCs/>
          <w:sz w:val="24"/>
          <w:szCs w:val="24"/>
        </w:rPr>
        <w:t xml:space="preserve">5.8.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 xml:space="preserve">5.9. 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5.10.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5.11.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5.12.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5.13.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пунктом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snapToGrid w:val="false"/>
        <w:ind w:left="0" w:firstLine="709"/>
        <w:jc w:val="both"/>
        <w:rPr>
          <w:sz w:val="24"/>
          <w:szCs w:val="24"/>
        </w:rPr>
      </w:pPr>
      <w:r>
        <w:rPr>
          <w:sz w:val="24"/>
          <w:szCs w:val="24"/>
        </w:rPr>
        <w:t xml:space="preserve">Договор заключается в электронной форме с использованием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rPr>
        <w:footnoteReference w:id="2"/>
      </w:r>
      <w:r>
        <w:rPr>
          <w:sz w:val="24"/>
          <w:szCs w:val="24"/>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10"/>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69"/>
        <w:gridCol w:w="159"/>
        <w:gridCol w:w="4627"/>
        <w:gridCol w:w="335"/>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Адрес: 660049, Красноярский край , г.о. город Красноярск, г. Красноярск, ул. Перенсона, зд. 2А, помещ.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69" w:type="dxa"/>
            <w:tcBorders/>
            <w:shd w:color="auto" w:fill="auto" w:val="clear"/>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sz w:val="24"/>
                <w:szCs w:val="24"/>
              </w:rPr>
            </w:pPr>
            <w:r>
              <w:rPr>
                <w:sz w:val="24"/>
                <w:szCs w:val="24"/>
              </w:rPr>
              <w:t xml:space="preserve">_______________ / _______________ </w:t>
            </w:r>
          </w:p>
        </w:tc>
        <w:tc>
          <w:tcPr>
            <w:tcW w:w="335"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left="5103" w:hanging="0"/>
        <w:rPr>
          <w:sz w:val="22"/>
          <w:szCs w:val="22"/>
        </w:rPr>
      </w:pPr>
      <w:r>
        <w:rPr>
          <w:sz w:val="22"/>
          <w:szCs w:val="22"/>
        </w:rPr>
        <w:t>Приложение № 1</w:t>
      </w:r>
    </w:p>
    <w:p>
      <w:pPr>
        <w:pStyle w:val="Normal"/>
        <w:ind w:left="5103" w:hanging="0"/>
        <w:rPr>
          <w:sz w:val="22"/>
          <w:szCs w:val="22"/>
        </w:rPr>
      </w:pPr>
      <w:r>
        <w:rPr>
          <w:sz w:val="22"/>
          <w:szCs w:val="22"/>
        </w:rPr>
        <w:t>к Договору поставки</w:t>
      </w:r>
    </w:p>
    <w:p>
      <w:pPr>
        <w:pStyle w:val="Normal"/>
        <w:ind w:left="5103" w:hanging="0"/>
        <w:rPr>
          <w:sz w:val="22"/>
          <w:szCs w:val="22"/>
        </w:rPr>
      </w:pPr>
      <w:r>
        <w:rPr>
          <w:sz w:val="22"/>
          <w:szCs w:val="22"/>
        </w:rPr>
        <w:t xml:space="preserve">от «____» ________ 20 _ г. № </w:t>
      </w:r>
    </w:p>
    <w:p>
      <w:pPr>
        <w:pStyle w:val="Normal"/>
        <w:widowControl/>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noVBand="1" w:val="04a0" w:noHBand="0" w:lastColumn="0" w:firstColumn="1" w:lastRow="0" w:firstRow="1"/>
      </w:tblPr>
      <w:tblGrid>
        <w:gridCol w:w="684"/>
        <w:gridCol w:w="587"/>
        <w:gridCol w:w="906"/>
        <w:gridCol w:w="924"/>
        <w:gridCol w:w="925"/>
        <w:gridCol w:w="1180"/>
        <w:gridCol w:w="1109"/>
        <w:gridCol w:w="935"/>
        <w:gridCol w:w="1105"/>
        <w:gridCol w:w="1053"/>
        <w:gridCol w:w="784"/>
        <w:gridCol w:w="979"/>
        <w:gridCol w:w="836"/>
        <w:gridCol w:w="780"/>
        <w:gridCol w:w="1085"/>
        <w:gridCol w:w="693"/>
      </w:tblGrid>
      <w:tr>
        <w:trPr>
          <w:trHeight w:val="526" w:hRule="atLeast"/>
        </w:trPr>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11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rPr>
              <w:t>Порядковый номер(а) реестровой(ых) записи(ей)</w:t>
            </w:r>
            <w:r>
              <w:rPr>
                <w:rStyle w:val="FootnoteReference"/>
                <w:bCs/>
              </w:rPr>
              <w:footnoteReference w:id="4"/>
            </w:r>
          </w:p>
          <w:p>
            <w:pPr>
              <w:pStyle w:val="Normal"/>
              <w:widowControl w:val="false"/>
              <w:jc w:val="center"/>
              <w:rPr>
                <w:bCs/>
              </w:rPr>
            </w:pPr>
            <w:r>
              <w:rPr>
                <w:bCs/>
              </w:rPr>
            </w:r>
          </w:p>
        </w:tc>
        <w:tc>
          <w:tcPr>
            <w:tcW w:w="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8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6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8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8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6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8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1278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1278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всего Товара (с учетом доставки), руб. с НДС:</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z w:val="24"/>
          <w:szCs w:val="24"/>
        </w:rPr>
      </w:pPr>
      <w:r>
        <w:rPr>
          <w:i/>
          <w:sz w:val="24"/>
          <w:szCs w:val="24"/>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31"/>
        <w:gridCol w:w="4805"/>
      </w:tblGrid>
      <w:tr>
        <w:trPr>
          <w:trHeight w:val="269" w:hRule="atLeast"/>
        </w:trPr>
        <w:tc>
          <w:tcPr>
            <w:tcW w:w="4831"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1418" w:right="851" w:gutter="0" w:header="709" w:top="1134" w:footer="709"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ind w:left="5103" w:hanging="0"/>
        <w:rPr>
          <w:sz w:val="22"/>
          <w:szCs w:val="22"/>
        </w:rPr>
      </w:pPr>
      <w:r>
        <w:rPr>
          <w:sz w:val="22"/>
          <w:szCs w:val="22"/>
        </w:rPr>
        <w:t>Приложение № 2</w:t>
      </w:r>
    </w:p>
    <w:p>
      <w:pPr>
        <w:pStyle w:val="Normal"/>
        <w:ind w:left="5103" w:hanging="0"/>
        <w:rPr>
          <w:sz w:val="22"/>
          <w:szCs w:val="22"/>
        </w:rPr>
      </w:pPr>
      <w:r>
        <w:rPr>
          <w:sz w:val="22"/>
          <w:szCs w:val="22"/>
        </w:rPr>
        <w:t xml:space="preserve">к Договору поставки </w:t>
      </w:r>
    </w:p>
    <w:p>
      <w:pPr>
        <w:pStyle w:val="Normal"/>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0"/>
        </w:sectPr>
      </w:pPr>
    </w:p>
    <w:p>
      <w:pPr>
        <w:pStyle w:val="Normal"/>
        <w:tabs>
          <w:tab w:val="clear" w:pos="709"/>
          <w:tab w:val="left" w:pos="4860" w:leader="none"/>
        </w:tabs>
        <w:rPr>
          <w:b/>
          <w:sz w:val="24"/>
          <w:szCs w:val="24"/>
        </w:rPr>
      </w:pPr>
      <w:r>
        <w:rPr>
          <w:b/>
          <w:sz w:val="24"/>
          <w:szCs w:val="24"/>
        </w:rPr>
      </w:r>
    </w:p>
    <w:p>
      <w:pPr>
        <w:pStyle w:val="Normal"/>
        <w:widowControl/>
        <w:rPr>
          <w:rFonts w:eastAsia="Calibri"/>
          <w:sz w:val="24"/>
          <w:szCs w:val="24"/>
          <w:lang w:eastAsia="en-US"/>
        </w:rPr>
      </w:pPr>
      <w:r>
        <w:rPr>
          <w:rFonts w:eastAsia="Calibri"/>
          <w:sz w:val="24"/>
          <w:szCs w:val="24"/>
          <w:lang w:eastAsia="en-US"/>
        </w:rPr>
      </w:r>
    </w:p>
    <w:p>
      <w:pPr>
        <w:pStyle w:val="Normal"/>
        <w:ind w:firstLine="6237"/>
        <w:rPr>
          <w:sz w:val="24"/>
          <w:szCs w:val="24"/>
        </w:rPr>
      </w:pPr>
      <w:r>
        <w:rPr>
          <w:sz w:val="24"/>
          <w:szCs w:val="24"/>
        </w:rPr>
        <w:t>Приложение № 3</w:t>
      </w:r>
    </w:p>
    <w:p>
      <w:pPr>
        <w:pStyle w:val="Normal"/>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r>
    </w:p>
    <w:sectPr>
      <w:headerReference w:type="default" r:id="rId16"/>
      <w:headerReference w:type="first" r:id="rId17"/>
      <w:footerReference w:type="default" r:id="rId18"/>
      <w:footerReference w:type="first" r:id="rId19"/>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6"/>
        </w:rPr>
        <w:footnoteRef/>
      </w:r>
      <w:r>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3">
    <w:p>
      <w:pPr>
        <w:pStyle w:val="FootnoteText"/>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6"/>
        </w:rPr>
        <w:footnoteRef/>
      </w:r>
      <w:r>
        <w:rPr/>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umentProtection w:edit="trackedChanges" w:enforcement="1"/>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customStyle="1">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Linenumber1" w:customStyle="1">
    <w:name w:val="line number1"/>
    <w:qFormat/>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Символ нумерации"/>
    <w:qFormat/>
    <w:rPr/>
  </w:style>
  <w:style w:type="character" w:styleId="Linenumber2" w:customStyle="1">
    <w:name w:val="line number2"/>
    <w:qFormat/>
    <w:rPr/>
  </w:style>
  <w:style w:type="character" w:styleId="Linenumber3" w:customStyle="1">
    <w:name w:val="line number3"/>
    <w:qFormat/>
    <w:rPr/>
  </w:style>
  <w:style w:type="character" w:styleId="Linenumber4">
    <w:name w:val="line number4"/>
    <w:qFormat/>
    <w:rPr/>
  </w:style>
  <w:style w:type="character" w:styleId="LineNumber">
    <w:name w:val="Line Number"/>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link w:val="Style7"/>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4"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5" w:customStyle="1">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6"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7"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8"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9"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30" w:customStyle="1">
    <w:name w:val="Содержимое таблицы"/>
    <w:basedOn w:val="Normal"/>
    <w:qFormat/>
    <w:pPr>
      <w:suppressLineNumbers/>
    </w:pPr>
    <w:rPr/>
  </w:style>
  <w:style w:type="paragraph" w:styleId="Style31" w:customStyle="1">
    <w:name w:val="Заголовок таблицы"/>
    <w:basedOn w:val="Style30"/>
    <w:qFormat/>
    <w:pPr>
      <w:jc w:val="center"/>
    </w:pPr>
    <w:rPr>
      <w:b/>
      <w:bCs/>
    </w:rPr>
  </w:style>
  <w:style w:type="numbering" w:styleId="NoList" w:default="1">
    <w:name w:val="No List"/>
    <w:uiPriority w:val="99"/>
    <w:semiHidden/>
    <w:unhideWhenUsed/>
    <w:qFormat/>
  </w:style>
  <w:style w:type="numbering" w:styleId="38652917851" w:customStyle="1">
    <w:name w:val="3865291785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CAEEA5-E2B6-4B76-A826-4F29FF9531A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4.xml><?xml version="1.0" encoding="utf-8"?>
<ds:datastoreItem xmlns:ds="http://schemas.openxmlformats.org/officeDocument/2006/customXml" ds:itemID="{C3FCF915-A20A-454C-B272-7F8B070C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Application>AlterOffice/3.4.0.9$Linux_X86_64 LibreOffice_project/b8daf9e823b1a5463a2f48435ddc2e8696e7d4fc</Application>
  <AppVersion>15.0000</AppVersion>
  <Pages>17</Pages>
  <Words>7023</Words>
  <Characters>50258</Characters>
  <CharactersWithSpaces>57023</CharactersWithSpaces>
  <Paragraphs>340</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2025-11-11T11:37:00Z</dcterms:created>
  <dc:creator>Быстрова Дарья Андреевна</dc:creator>
  <dc:description/>
  <dc:language>ru-RU</dc:language>
  <cp:lastModifiedBy>Елена Викторовна Макеева</cp:lastModifiedBy>
  <dcterms:modified xsi:type="dcterms:W3CDTF">2026-07-20T15:39:01Z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