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</w:rPr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811" w:leader="none"/>
        </w:tabs>
        <w:spacing w:lineRule="auto" w:line="26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Технические требования на поставку МТР</w:t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ОКПД 2: 28.13.13.130  Поставка</w:t>
      </w:r>
      <w:r>
        <w:rPr>
          <w:rFonts w:cs="Times New Roman" w:ascii="Times New Roman" w:hAnsi="Times New Roman"/>
          <w:sz w:val="20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шестеренного насоса для нужд Северо-Кавказского филиала </w:t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ar-SA"/>
        </w:rPr>
        <w:t>Лот №</w:t>
      </w:r>
    </w:p>
    <w:p>
      <w:pPr>
        <w:pStyle w:val="Normal"/>
        <w:spacing w:lineRule="auto" w:line="264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160194732"/>
      <w:bookmarkStart w:id="1" w:name="_Toc131074122"/>
      <w:bookmarkStart w:id="2" w:name="_Toc125531338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0"/>
      <w:bookmarkEnd w:id="1"/>
      <w:bookmarkEnd w:id="2"/>
    </w:p>
    <w:p>
      <w:pPr>
        <w:pStyle w:val="TOC2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сведения………….…………………………………………………………………………….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Наименование закупаемой продукции………………………….………………………………… .3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 Цель использования закупаемой продукции…………………………………….…………….… .3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Требования к продукции……………………………………………………………….….…………..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Перечень и объем закупаемой продукции……………………………………….………………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1.1 Перечень и объем закупаемой продукции ……………………………….………………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 Требования к срокам поставки продукции……………………...………………………………...3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2.1 Требования по срокам поставки продукции …………………………….…….……...…..3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 Требования к качеству продукции………………………………………………………….…...…...</w:t>
      </w:r>
      <w:r>
        <w:rPr>
          <w:rFonts w:cs="Times New Roman" w:ascii="Times New Roman" w:hAnsi="Times New Roman"/>
          <w:sz w:val="24"/>
          <w:szCs w:val="24"/>
        </w:rPr>
        <w:t>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3. Требования к продукции………...……………………………………………...…………....4</w:t>
      </w:r>
    </w:p>
    <w:p>
      <w:pPr>
        <w:pStyle w:val="BodyText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Toc160194742_Копия_1"/>
      <w:bookmarkEnd w:id="3"/>
      <w:r>
        <w:rPr>
          <w:rFonts w:cs="Times New Roman" w:ascii="Times New Roman" w:hAnsi="Times New Roman"/>
          <w:sz w:val="24"/>
          <w:szCs w:val="24"/>
          <w:lang w:eastAsia="ru-RU"/>
        </w:rPr>
        <w:t>3.</w:t>
      </w:r>
      <w:r>
        <w:rPr>
          <w:rFonts w:cs="Times New Roman" w:ascii="Times New Roman" w:hAnsi="Times New Roman"/>
          <w:sz w:val="24"/>
          <w:szCs w:val="24"/>
          <w:lang w:val="en-US" w:eastAsia="ru-RU"/>
        </w:rPr>
        <w:t> </w:t>
      </w:r>
      <w:r>
        <w:rPr>
          <w:rFonts w:cs="Times New Roman" w:ascii="Times New Roman" w:hAnsi="Times New Roman"/>
          <w:sz w:val="24"/>
          <w:szCs w:val="24"/>
          <w:lang w:eastAsia="ru-RU"/>
        </w:rPr>
        <w:t>Требования к документации по ценообразованию на этапе закупки……………………………….4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Heading1"/>
        <w:keepLines/>
        <w:numPr>
          <w:ilvl w:val="0"/>
          <w:numId w:val="5"/>
        </w:numPr>
        <w:jc w:val="center"/>
        <w:rPr>
          <w:sz w:val="24"/>
          <w:szCs w:val="24"/>
        </w:rPr>
      </w:pPr>
      <w:bookmarkStart w:id="4" w:name="_Toc75446566"/>
      <w:bookmarkStart w:id="5" w:name="_Toc51339692"/>
      <w:bookmarkStart w:id="6" w:name="_Toc160194733"/>
      <w:bookmarkStart w:id="7" w:name="_Toc125473240"/>
      <w:r>
        <w:rPr>
          <w:sz w:val="24"/>
          <w:szCs w:val="24"/>
          <w:lang w:val="ru-RU"/>
        </w:rPr>
        <w:t>Общие сведения</w:t>
      </w:r>
      <w:bookmarkEnd w:id="4"/>
      <w:bookmarkEnd w:id="5"/>
      <w:bookmarkEnd w:id="6"/>
      <w:bookmarkEnd w:id="7"/>
    </w:p>
    <w:p>
      <w:pPr>
        <w:pStyle w:val="ListParagraph"/>
        <w:numPr>
          <w:ilvl w:val="1"/>
          <w:numId w:val="1"/>
        </w:numPr>
        <w:spacing w:before="0"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160194734"/>
      <w:bookmarkStart w:id="9" w:name="_Toc12547324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8"/>
      <w:bookmarkEnd w:id="9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ОКПД 2: 28.13.13.130  Поставка</w:t>
      </w:r>
      <w:r>
        <w:rPr>
          <w:rFonts w:cs="Times New Roman" w:ascii="Times New Roman" w:hAnsi="Times New Roman"/>
          <w:sz w:val="20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шестеренного насоса для нужд Северо-Кавказского филиала  </w:t>
      </w:r>
      <w:r>
        <w:rPr>
          <w:rFonts w:cs="Times New Roman" w:ascii="Times New Roman" w:hAnsi="Times New Roman"/>
          <w:i/>
          <w:sz w:val="24"/>
          <w:szCs w:val="24"/>
        </w:rPr>
        <w:t>(далее продукция)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Toc160194735"/>
      <w:bookmarkStart w:id="11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10"/>
      <w:bookmarkEnd w:id="11"/>
    </w:p>
    <w:p>
      <w:pPr>
        <w:pStyle w:val="Default"/>
        <w:jc w:val="both"/>
        <w:textAlignment w:val="baseline"/>
        <w:rPr/>
      </w:pPr>
      <w:r>
        <w:rPr/>
        <w:t>Исполнен</w:t>
      </w:r>
      <w:r>
        <w:rPr>
          <w:shd w:fill="FFFFFF" w:val="clear"/>
        </w:rPr>
        <w:t>ие обязательств по договорам подряда заключенными между АО «Гидроремонт-ВКК»</w:t>
      </w:r>
      <w:r>
        <w:rPr/>
        <w:t xml:space="preserve">- </w:t>
      </w:r>
      <w:r>
        <w:rPr>
          <w:shd w:fill="FFFFFF" w:val="clear"/>
        </w:rPr>
        <w:t>Филиалом ПАО «РусГидро» - «Кабардино-Балкарский филиал»:</w:t>
      </w:r>
    </w:p>
    <w:p>
      <w:pPr>
        <w:pStyle w:val="Default"/>
        <w:numPr>
          <w:ilvl w:val="0"/>
          <w:numId w:val="7"/>
        </w:numPr>
        <w:ind w:left="284" w:hanging="284"/>
        <w:jc w:val="both"/>
        <w:textAlignment w:val="baseline"/>
        <w:rPr>
          <w:shd w:fill="FFFFFF" w:val="clear"/>
        </w:rPr>
      </w:pPr>
      <w:r>
        <w:rPr>
          <w:shd w:fill="FFFFFF" w:val="clear"/>
        </w:rPr>
        <w:t>№</w:t>
      </w:r>
      <w:r>
        <w:rPr>
          <w:shd w:fill="FFFFFF" w:val="clear"/>
        </w:rPr>
        <w:t>1170-179-2023 от 24.10.2023 г. «Выполнение работ по капитальному и текущему ремонту оборудования, зданий, сооружений филиала ПАО «РусГидро» - «Кабардино-Балкарский филиал».</w:t>
      </w:r>
    </w:p>
    <w:p>
      <w:pPr>
        <w:pStyle w:val="Default"/>
        <w:numPr>
          <w:ilvl w:val="0"/>
          <w:numId w:val="0"/>
        </w:numPr>
        <w:ind w:left="284" w:hanging="0"/>
        <w:jc w:val="both"/>
        <w:textAlignment w:val="baseline"/>
        <w:rPr>
          <w:shd w:fill="FFFFFF" w:val="clear"/>
        </w:rPr>
      </w:pPr>
      <w:r>
        <w:rPr/>
      </w:r>
    </w:p>
    <w:p>
      <w:pPr>
        <w:pStyle w:val="Normal"/>
        <w:keepNext w:val="true"/>
        <w:keepLines/>
        <w:numPr>
          <w:ilvl w:val="0"/>
          <w:numId w:val="3"/>
        </w:numPr>
        <w:spacing w:before="120"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_Toc125473249"/>
      <w:bookmarkStart w:id="13" w:name="_Toc160194736"/>
      <w:bookmarkStart w:id="14" w:name="_Toc51339693"/>
      <w:bookmarkStart w:id="15" w:name="_Toc7544657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4"/>
      <w:bookmarkEnd w:id="15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.</w:t>
      </w:r>
      <w:bookmarkEnd w:id="12"/>
      <w:bookmarkEnd w:id="13"/>
    </w:p>
    <w:p>
      <w:pPr>
        <w:pStyle w:val="Heading4"/>
        <w:numPr>
          <w:ilvl w:val="1"/>
          <w:numId w:val="4"/>
        </w:numPr>
        <w:spacing w:lineRule="exact" w:line="227" w:before="120" w:after="0"/>
        <w:ind w:left="567" w:hanging="567"/>
        <w:rPr/>
      </w:pPr>
      <w:bookmarkStart w:id="16" w:name="_Toc75446574"/>
      <w:r>
        <w:rPr/>
        <w:t xml:space="preserve"> </w:t>
      </w:r>
      <w:r>
        <w:rPr/>
        <w:t>Требования к объемам и срокам поставки</w:t>
      </w:r>
      <w:bookmarkEnd w:id="16"/>
    </w:p>
    <w:p>
      <w:pPr>
        <w:pStyle w:val="Normal"/>
        <w:keepNext w:val="true"/>
        <w:numPr>
          <w:ilvl w:val="2"/>
          <w:numId w:val="3"/>
        </w:numPr>
        <w:tabs>
          <w:tab w:val="clear" w:pos="708"/>
          <w:tab w:val="left" w:pos="567" w:leader="none"/>
        </w:tabs>
        <w:spacing w:lineRule="exact" w:line="227" w:before="120" w:after="0"/>
        <w:ind w:left="1227"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_Toc160194737"/>
      <w:bookmarkStart w:id="18" w:name="_Toc125473250"/>
      <w:bookmarkStart w:id="19" w:name="_Toc75446575"/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7"/>
      <w:bookmarkEnd w:id="18"/>
      <w:bookmarkEnd w:id="19"/>
    </w:p>
    <w:p>
      <w:pPr>
        <w:pStyle w:val="Normal"/>
        <w:keepNext w:val="true"/>
        <w:keepLines/>
        <w:numPr>
          <w:ilvl w:val="0"/>
          <w:numId w:val="0"/>
        </w:numPr>
        <w:spacing w:lineRule="exact" w:line="227" w:before="240" w:after="0"/>
        <w:ind w:left="0" w:hanging="0"/>
        <w:outlineLvl w:val="0"/>
        <w:rPr>
          <w:rFonts w:ascii="Times New Roman" w:hAnsi="Times New Roman" w:cs="Times New Roman"/>
          <w:sz w:val="24"/>
          <w:szCs w:val="24"/>
        </w:rPr>
      </w:pPr>
      <w:bookmarkStart w:id="20" w:name="_Toc125473251"/>
      <w:bookmarkStart w:id="21" w:name="_Toc160194738"/>
      <w:bookmarkStart w:id="22" w:name="_Toc75446576"/>
      <w:bookmarkStart w:id="23" w:name="_Toc51339695"/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 xml:space="preserve">Перечень </w:t>
      </w:r>
      <w:bookmarkEnd w:id="23"/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0"/>
      <w:bookmarkEnd w:id="21"/>
      <w:bookmarkEnd w:id="22"/>
    </w:p>
    <w:tbl>
      <w:tblPr>
        <w:tblW w:w="10260" w:type="dxa"/>
        <w:jc w:val="left"/>
        <w:tblInd w:w="2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11"/>
        <w:gridCol w:w="5909"/>
        <w:gridCol w:w="1502"/>
        <w:gridCol w:w="2237"/>
      </w:tblGrid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98" w:leader="none"/>
              </w:tabs>
              <w:spacing w:before="0" w:after="0"/>
              <w:ind w:left="-1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Шестеренный насос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PGP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511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0330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CS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2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D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3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NL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2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L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2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B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1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B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2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120" w:after="0"/>
        <w:ind w:left="1227" w:hanging="0"/>
        <w:outlineLvl w:val="2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567" w:leader="none"/>
        </w:tabs>
        <w:spacing w:before="120" w:after="0"/>
        <w:ind w:left="1227"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24" w:name="_Toc160194739"/>
      <w:r>
        <w:rPr>
          <w:rFonts w:cs="Times New Roman" w:ascii="Times New Roman" w:hAnsi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4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                                      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0"/>
        <w:ind w:left="0" w:hanging="0"/>
        <w:outlineLvl w:val="0"/>
        <w:rPr>
          <w:rFonts w:ascii="Times New Roman" w:hAnsi="Times New Roman" w:cs="Times New Roman"/>
          <w:sz w:val="24"/>
          <w:szCs w:val="24"/>
        </w:rPr>
      </w:pPr>
      <w:bookmarkStart w:id="25" w:name="_Toc160194740"/>
      <w:bookmarkStart w:id="26" w:name="_Toc75446579"/>
      <w:bookmarkStart w:id="27" w:name="_Toc125473253"/>
      <w:bookmarkStart w:id="28" w:name="_Toc50125127"/>
      <w:bookmarkStart w:id="29" w:name="_Toc5133969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30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8"/>
      <w:bookmarkEnd w:id="29"/>
      <w:bookmarkEnd w:id="30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5"/>
      <w:bookmarkEnd w:id="26"/>
      <w:bookmarkEnd w:id="27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 </w:t>
      </w:r>
    </w:p>
    <w:tbl>
      <w:tblPr>
        <w:tblW w:w="10264" w:type="dxa"/>
        <w:jc w:val="left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80"/>
        <w:gridCol w:w="4199"/>
        <w:gridCol w:w="2252"/>
        <w:gridCol w:w="3132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171" w:hRule="atLeast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ОКПД 2: 28.13.13.130  Поставка</w:t>
            </w:r>
            <w:r>
              <w:rPr>
                <w:rFonts w:cs="Times New Roman" w:ascii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шестеренного насоса для нужд Северо-Кавказского филиала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с даты подписания договора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Не позднее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170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календарных дней с даты подписания договора</w:t>
            </w:r>
          </w:p>
        </w:tc>
      </w:tr>
    </w:tbl>
    <w:p>
      <w:pPr>
        <w:pStyle w:val="Heading4"/>
        <w:numPr>
          <w:ilvl w:val="0"/>
          <w:numId w:val="0"/>
        </w:numPr>
        <w:spacing w:before="120" w:after="0"/>
        <w:ind w:left="567" w:hanging="0"/>
        <w:rPr/>
      </w:pPr>
      <w:r>
        <w:rPr/>
      </w:r>
    </w:p>
    <w:p>
      <w:pPr>
        <w:pStyle w:val="Heading4"/>
        <w:numPr>
          <w:ilvl w:val="1"/>
          <w:numId w:val="4"/>
        </w:numPr>
        <w:spacing w:before="120" w:after="0"/>
        <w:ind w:left="567" w:hanging="567"/>
        <w:rPr/>
      </w:pPr>
      <w:r>
        <w:rPr/>
        <w:t xml:space="preserve"> </w:t>
      </w:r>
      <w:bookmarkStart w:id="31" w:name="_Toc125473255"/>
      <w:r>
        <w:rPr/>
        <w:t>Требования к качеству продукции</w:t>
      </w:r>
      <w:bookmarkEnd w:id="31"/>
    </w:p>
    <w:p>
      <w:pPr>
        <w:pStyle w:val="Normal"/>
        <w:keepNext w:val="true"/>
        <w:keepLines/>
        <w:numPr>
          <w:ilvl w:val="0"/>
          <w:numId w:val="0"/>
        </w:numPr>
        <w:spacing w:before="240" w:after="0"/>
        <w:ind w:left="0" w:hanging="0"/>
        <w:outlineLvl w:val="0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bookmarkStart w:id="32" w:name="_Toc160194741"/>
      <w:bookmarkStart w:id="33" w:name="_Toc125473256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2"/>
      <w:bookmarkEnd w:id="33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bookmarkStart w:id="34" w:name="_Toc125473257"/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4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51"/>
        <w:gridCol w:w="1417"/>
        <w:gridCol w:w="2552"/>
        <w:gridCol w:w="1559"/>
        <w:gridCol w:w="1721"/>
        <w:gridCol w:w="1995"/>
      </w:tblGrid>
      <w:tr>
        <w:trPr/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left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Насос шестеренный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Маркировка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PGP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511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A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0330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CS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NL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B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val="en-US" w:eastAsia="ru-RU"/>
              </w:rPr>
              <w:t>B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Рабочий объем, см3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Вращение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По часовой стрелке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1.1.4.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Вал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Ø16,65, 12,0L, шпонка 3,2,</w:t>
            </w:r>
          </w:p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M12x1,5, конус 1:8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1.1.5.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</w:rPr>
              <w:t>Фланец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71,4x96,0 - Ø36,47</w:t>
            </w:r>
          </w:p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прямоугольный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1.1.6.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Уплотнение вала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NBR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1.1.7.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Боковой порт всасывания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 мм-Ø40 мм-M8 ромбич. фланец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1.1.8.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Times New Roman" w:hAnsi="Times New Roman" w:eastAsia="Times New Roman" w:cs="Times New Roman"/>
                <w:b w:val="false"/>
                <w:color w:val="000000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</w:rPr>
              <w:t>Б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</w:rPr>
              <w:t>оковой порт нагнетания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br/>
              <w:t>19 мм-Ø40 мм-M8 ромбич. фланец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1.1.9.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Задний порт всасывания</w:t>
            </w:r>
          </w:p>
        </w:tc>
        <w:tc>
          <w:tcPr>
            <w:tcW w:w="5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 портов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1.1.10.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Задний порт нагнетания</w:t>
            </w:r>
          </w:p>
        </w:tc>
        <w:tc>
          <w:tcPr>
            <w:tcW w:w="5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6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 портов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менее 12 (двенадцати)  месяцев, исчисляемый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Паспорт качества</w:t>
            </w:r>
          </w:p>
        </w:tc>
        <w:tc>
          <w:tcPr>
            <w:tcW w:w="5275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экземпляр</w:t>
            </w:r>
          </w:p>
        </w:tc>
      </w:tr>
      <w:tr>
        <w:trPr>
          <w:trHeight w:val="31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Сертификат соответствия (декларация соответствия)</w:t>
            </w:r>
          </w:p>
        </w:tc>
        <w:tc>
          <w:tcPr>
            <w:tcW w:w="5275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экземпляр</w:t>
            </w:r>
          </w:p>
        </w:tc>
      </w:tr>
      <w:tr>
        <w:trPr>
          <w:trHeight w:val="55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Документация (сертификат качества, декларация о стране происхождения)</w:t>
            </w:r>
          </w:p>
        </w:tc>
        <w:tc>
          <w:tcPr>
            <w:tcW w:w="5275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экземпляр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44" w:type="dxa"/>
            <w:gridSpan w:val="5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7827" w:type="dxa"/>
            <w:gridSpan w:val="4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Северо-Кавказский филиал АО «Гидроремонт – ВКК» 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 Нальчик, Кабардино-Балкарская Респ., с. Заюково, ул. Кирова, д.546а, в рабочие дни: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8-00 до 12-00 и с 13-00 до 16-00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(по местному времени),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7827" w:type="dxa"/>
            <w:gridSpan w:val="4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44" w:type="dxa"/>
            <w:gridSpan w:val="5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  <w:lang w:eastAsia="ru-RU"/>
        </w:rPr>
      </w:pPr>
      <w:r>
        <w:rPr/>
      </w:r>
    </w:p>
    <w:sectPr>
      <w:footerReference w:type="default" r:id="rId2"/>
      <w:type w:val="nextPage"/>
      <w:pgSz w:w="11906" w:h="16838"/>
      <w:pgMar w:left="1134" w:right="566" w:gutter="0" w:header="0" w:top="709" w:footer="0" w:bottom="70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  <w:sz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4"/>
        <w:b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  <w:rPr/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qFormat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pPr>
      <w:keepNext w:val="true"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6" w:customStyle="1">
    <w:name w:val="Верхний колонтитул Знак"/>
    <w:basedOn w:val="DefaultParagraphFont"/>
    <w:qFormat/>
    <w:rPr/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8" w:customStyle="1">
    <w:name w:val="Текст Знак"/>
    <w:basedOn w:val="DefaultParagraphFont"/>
    <w:link w:val="PlainText"/>
    <w:qFormat/>
    <w:rPr>
      <w:rFonts w:ascii="Calibri" w:hAnsi="Calibri"/>
      <w:szCs w:val="2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Bodytext2" w:customStyle="1">
    <w:name w:val="Body text (2)"/>
    <w:basedOn w:val="DefaultParagraphFont"/>
    <w:qFormat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Bodytext21" w:customStyle="1">
    <w:name w:val="Body text (2)_"/>
    <w:basedOn w:val="DefaultParagraphFont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qFormat/>
    <w:rPr>
      <w:b/>
      <w:bCs/>
      <w:sz w:val="20"/>
      <w:szCs w:val="20"/>
    </w:rPr>
  </w:style>
  <w:style w:type="character" w:styleId="Style11" w:customStyle="1">
    <w:name w:val="Абзац списка Знак"/>
    <w:link w:val="ListParagraph"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11" w:customStyle="1">
    <w:name w:val="Гиперссылка1"/>
    <w:basedOn w:val="DefaultParagraphFont"/>
    <w:qFormat/>
    <w:rPr>
      <w:color w:val="0000FF"/>
      <w:u w:val="single"/>
    </w:rPr>
  </w:style>
  <w:style w:type="character" w:styleId="2" w:customStyle="1">
    <w:name w:val="Заголовок 2 Знак"/>
    <w:basedOn w:val="DefaultParagraphFont"/>
    <w:qFormat/>
    <w:rPr>
      <w:rFonts w:ascii="Cambria" w:hAnsi="Cambria" w:eastAsia="Calibri" w:cs="Tahoma"/>
      <w:b/>
      <w:bCs/>
      <w:color w:val="4F81BD"/>
      <w:sz w:val="26"/>
      <w:szCs w:val="26"/>
    </w:rPr>
  </w:style>
  <w:style w:type="character" w:styleId="Style12" w:customStyle="1">
    <w:name w:val="Символ сноски"/>
    <w:qFormat/>
    <w:rPr/>
  </w:style>
  <w:style w:type="character" w:styleId="Style13" w:customStyle="1">
    <w:name w:val="Ссылка указателя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" w:customStyle="1">
    <w:name w:val="index heading11111111111"/>
    <w:basedOn w:val="Title"/>
    <w:qFormat/>
    <w:pPr/>
    <w:rPr/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" w:customStyle="1">
    <w:name w:val="index heading111111111111"/>
    <w:basedOn w:val="Title"/>
    <w:qFormat/>
    <w:pPr/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1" w:customStyle="1">
    <w:name w:val="index heading1111111111111"/>
    <w:basedOn w:val="12"/>
    <w:qFormat/>
    <w:pPr/>
    <w:rPr/>
  </w:style>
  <w:style w:type="paragraph" w:styleId="Style17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ListParagraph">
    <w:name w:val="List Paragraph"/>
    <w:basedOn w:val="Normal"/>
    <w:link w:val="Style11"/>
    <w:uiPriority w:val="34"/>
    <w:qFormat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Style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7"/>
    <w:qFormat/>
    <w:pPr/>
    <w:rPr>
      <w:rFonts w:ascii="Tahoma" w:hAnsi="Tahoma"/>
      <w:sz w:val="16"/>
      <w:szCs w:val="16"/>
    </w:rPr>
  </w:style>
  <w:style w:type="paragraph" w:styleId="PlainText">
    <w:name w:val="Plain Text"/>
    <w:basedOn w:val="Normal"/>
    <w:link w:val="Style8"/>
    <w:qFormat/>
    <w:pPr/>
    <w:rPr>
      <w:szCs w:val="21"/>
    </w:rPr>
  </w:style>
  <w:style w:type="paragraph" w:styleId="Annotationtext">
    <w:name w:val="annotation text"/>
    <w:basedOn w:val="Normal"/>
    <w:link w:val="Style9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qFormat/>
    <w:pPr/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lineRule="auto" w:line="276" w:before="480" w:after="0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left" w:pos="284" w:leader="none"/>
        <w:tab w:val="right" w:pos="10138" w:leader="dot"/>
      </w:tabs>
      <w:spacing w:before="0" w:after="100"/>
    </w:pPr>
    <w:rPr>
      <w:rFonts w:ascii="Times New Roman" w:hAnsi="Times New Roman" w:cs="Times New Roman"/>
      <w:b/>
      <w:bCs/>
      <w:lang w:eastAsia="ar-SA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left" w:pos="426" w:leader="none"/>
        <w:tab w:val="right" w:pos="10138" w:leader="dot"/>
      </w:tabs>
      <w:spacing w:before="0" w:after="100"/>
    </w:pPr>
    <w:rPr/>
  </w:style>
  <w:style w:type="paragraph" w:styleId="TOC3">
    <w:name w:val="TOC 3"/>
    <w:basedOn w:val="Normal"/>
    <w:next w:val="Normal"/>
    <w:autoRedefine/>
    <w:pPr>
      <w:spacing w:before="0" w:after="100"/>
      <w:ind w:left="440" w:hanging="0"/>
    </w:pPr>
    <w:rPr/>
  </w:style>
  <w:style w:type="paragraph" w:styleId="Style18" w:customStyle="1">
    <w:name w:val="Содержимое таблицы"/>
    <w:basedOn w:val="Normal"/>
    <w:qFormat/>
    <w:pPr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andard" w:customStyle="1">
    <w:name w:val="Standard"/>
    <w:qFormat/>
    <w:rsid w:val="00e2116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42757473201" w:customStyle="1">
    <w:name w:val="4275747320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207E-827F-46BD-B6FF-1DF18221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Application>AlterOffice/3.4.0.9$Linux_X86_64 LibreOffice_project/b8daf9e823b1a5463a2f48435ddc2e8696e7d4fc</Application>
  <AppVersion>15.0000</AppVersion>
  <Pages>4</Pages>
  <Words>569</Words>
  <Characters>4086</Characters>
  <CharactersWithSpaces>4565</CharactersWithSpaces>
  <Paragraphs>136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2025-04-07T13:35:00Z</dcterms:created>
  <dc:creator>Катков Олег Валерьевич</dc:creator>
  <dc:description/>
  <dc:language>ru-RU</dc:language>
  <cp:lastModifiedBy>duguzhevem@corp.gidroogk.com</cp:lastModifiedBy>
  <cp:lastPrinted>2026-07-23T11:11:22Z</cp:lastPrinted>
  <dcterms:modified xsi:type="dcterms:W3CDTF">2026-07-23T16:45:04Z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