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header7.xml" ContentType="application/vnd.openxmlformats-officedocument.wordprocessingml.header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Bdr/>
        <w:spacing/>
        <w:ind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keepNext w:val="true"/>
        <w:keepLines w:val="true"/>
        <w:pBdr/>
        <w:spacing w:after="0"/>
        <w:ind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</w:p>
    <w:p>
      <w:pPr>
        <w:widowControl w:val="false"/>
        <w:pBdr/>
        <w:tabs>
          <w:tab w:val="left" w:leader="none" w:pos="426"/>
        </w:tabs>
        <w:spacing w:before="120"/>
        <w:ind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  <w:t xml:space="preserve">Технические требования </w:t>
      </w: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</w:p>
    <w:p>
      <w:pPr>
        <w:widowControl w:val="false"/>
        <w:pBdr/>
        <w:tabs>
          <w:tab w:val="left" w:leader="none" w:pos="426"/>
        </w:tabs>
        <w:spacing w:before="120"/>
        <w:ind/>
        <w:jc w:val="center"/>
        <w:rPr>
          <w:rFonts w:ascii="Times New Roman" w:hAnsi="Times New Roman" w:eastAsia="Calibri" w:cs="Times New Roman"/>
          <w:b/>
          <w:sz w:val="26"/>
          <w:szCs w:val="26"/>
          <w:lang w:eastAsia="ru-RU"/>
        </w:rPr>
      </w:pP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  <w:t xml:space="preserve">ОКПД2 26.20.18.120 Поставка офисной оргтехники для нужд АО «Сахаэнерго»</w:t>
      </w: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  <w:r>
        <w:rPr>
          <w:rFonts w:ascii="Times New Roman" w:hAnsi="Times New Roman" w:eastAsia="Calibri" w:cs="Times New Roman"/>
          <w:b/>
          <w:sz w:val="26"/>
          <w:szCs w:val="26"/>
          <w:lang w:eastAsia="ru-RU"/>
        </w:rPr>
      </w:r>
    </w:p>
    <w:p>
      <w:pPr>
        <w:pBdr/>
        <w:spacing w:after="0"/>
        <w:ind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br w:type="page" w:clear="all"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Bdr/>
        <w:spacing w:after="0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СОДЕРЖАНИЕ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sdt>
      <w:sdtPr>
        <w15:appearance w15:val="boundingBox"/>
        <w:id w:val="1684009321"/>
        <w:docPartObj>
          <w:docPartGallery w:val="Table of Contents"/>
          <w:docPartUnique w:val="true"/>
        </w:docPartObj>
        <w:rPr/>
      </w:sdtPr>
      <w:sdtContent>
        <w:p>
          <w:pPr>
            <w:pStyle w:val="1048"/>
            <w:pBdr/>
            <w:spacing/>
            <w:ind/>
            <w:rPr>
              <w:rFonts w:asciiTheme="minorHAnsi" w:hAnsiTheme="minorHAnsi" w:eastAsiaTheme="minorEastAsia" w:cstheme="minorBidi"/>
              <w:bCs w:val="0"/>
            </w:rPr>
          </w:pPr>
          <w:r/>
          <w:bookmarkStart w:id="0" w:name="_GoBack"/>
          <w:r/>
          <w:bookmarkEnd w:id="0"/>
          <w:r>
            <w:fldChar w:fldCharType="begin"/>
          </w:r>
          <w:r>
            <w:instrText xml:space="preserve"> TOC \o "1-2" \h \z \t "h2;2" </w:instrText>
          </w:r>
          <w:r>
            <w:fldChar w:fldCharType="separate"/>
          </w:r>
          <w:hyperlink w:tooltip="#_Toc233188270" w:anchor="_Toc233188270" w:history="1">
            <w:r>
              <w:rPr>
                <w:rStyle w:val="988"/>
                <w:caps/>
              </w:rPr>
              <w:t xml:space="preserve">1.</w:t>
            </w:r>
            <w:r>
              <w:rPr>
                <w:rFonts w:asciiTheme="minorHAnsi" w:hAnsiTheme="minorHAnsi" w:eastAsiaTheme="minorEastAsia" w:cstheme="minorBidi"/>
                <w:bCs w:val="0"/>
              </w:rPr>
              <w:tab/>
            </w:r>
            <w:r>
              <w:rPr>
                <w:rStyle w:val="988"/>
              </w:rPr>
              <w:t xml:space="preserve">Общие сведения</w:t>
            </w:r>
            <w:r>
              <w:tab/>
            </w:r>
            <w:r>
              <w:fldChar w:fldCharType="begin"/>
            </w:r>
            <w:r>
              <w:instrText xml:space="preserve"> PAGEREF _Toc233188270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</w:rPr>
          </w:r>
          <w:r>
            <w:rPr>
              <w:rFonts w:asciiTheme="minorHAnsi" w:hAnsiTheme="minorHAnsi" w:eastAsiaTheme="minorEastAsia" w:cstheme="minorBidi"/>
              <w:bCs w:val="0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1" w:anchor="_Toc233188271" w:history="1">
            <w:r>
              <w:rPr>
                <w:rStyle w:val="988"/>
              </w:rPr>
              <w:t xml:space="preserve">1.1.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Обозначения и сокращения</w:t>
            </w:r>
            <w:r>
              <w:tab/>
            </w:r>
            <w:r>
              <w:fldChar w:fldCharType="begin"/>
            </w:r>
            <w:r>
              <w:instrText xml:space="preserve"> PAGEREF _Toc233188271 \h </w:instrText>
            </w:r>
            <w:r>
              <w:fldChar w:fldCharType="separate"/>
            </w:r>
            <w:r>
              <w:t xml:space="preserve">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2" w:anchor="_Toc233188272" w:history="1">
            <w:r>
              <w:rPr>
                <w:rStyle w:val="988"/>
              </w:rPr>
              <w:t xml:space="preserve">1.2.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Наименование закупаемой продукции</w:t>
            </w:r>
            <w:r>
              <w:tab/>
            </w:r>
            <w:r>
              <w:fldChar w:fldCharType="begin"/>
            </w:r>
            <w:r>
              <w:instrText xml:space="preserve"> PAGEREF _Toc233188272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3" w:anchor="_Toc233188273" w:history="1">
            <w:r>
              <w:rPr>
                <w:rStyle w:val="988"/>
              </w:rPr>
              <w:t xml:space="preserve">1.3.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Цель использования закупаемой продукции</w:t>
            </w:r>
            <w:r>
              <w:tab/>
            </w:r>
            <w:r>
              <w:fldChar w:fldCharType="begin"/>
            </w:r>
            <w:r>
              <w:instrText xml:space="preserve"> PAGEREF _Toc233188273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4" w:anchor="_Toc233188274" w:history="1">
            <w:r>
              <w:rPr>
                <w:rStyle w:val="988"/>
              </w:rPr>
              <w:t xml:space="preserve">1.4.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Общие требования к формированию заявки</w:t>
            </w:r>
            <w:r>
              <w:tab/>
            </w:r>
            <w:r>
              <w:fldChar w:fldCharType="begin"/>
            </w:r>
            <w:r>
              <w:instrText xml:space="preserve"> PAGEREF _Toc233188274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48"/>
            <w:pBdr/>
            <w:spacing/>
            <w:ind/>
            <w:rPr>
              <w:rFonts w:asciiTheme="minorHAnsi" w:hAnsiTheme="minorHAnsi" w:eastAsiaTheme="minorEastAsia" w:cstheme="minorBidi"/>
              <w:bCs w:val="0"/>
            </w:rPr>
          </w:pPr>
          <w:r/>
          <w:hyperlink w:tooltip="#_Toc233188275" w:anchor="_Toc233188275" w:history="1">
            <w:r>
              <w:rPr>
                <w:rStyle w:val="988"/>
              </w:rPr>
              <w:t xml:space="preserve">2.</w:t>
            </w:r>
            <w:r>
              <w:rPr>
                <w:rFonts w:asciiTheme="minorHAnsi" w:hAnsiTheme="minorHAnsi" w:eastAsiaTheme="minorEastAsia" w:cstheme="minorBidi"/>
                <w:bCs w:val="0"/>
              </w:rPr>
              <w:tab/>
            </w:r>
            <w:r>
              <w:rPr>
                <w:rStyle w:val="988"/>
              </w:rPr>
              <w:t xml:space="preserve">Требования к продукции</w:t>
            </w:r>
            <w:r>
              <w:tab/>
            </w:r>
            <w:r>
              <w:fldChar w:fldCharType="begin"/>
            </w:r>
            <w:r>
              <w:instrText xml:space="preserve"> PAGEREF _Toc233188275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</w:rPr>
          </w:r>
          <w:r>
            <w:rPr>
              <w:rFonts w:asciiTheme="minorHAnsi" w:hAnsiTheme="minorHAnsi" w:eastAsiaTheme="minorEastAsia" w:cstheme="minorBidi"/>
              <w:bCs w:val="0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6" w:anchor="_Toc233188276" w:history="1">
            <w:r>
              <w:rPr>
                <w:rStyle w:val="988"/>
              </w:rPr>
              <w:t xml:space="preserve">2.1.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Требования к объемам и срокам поставки</w:t>
            </w:r>
            <w:r>
              <w:tab/>
            </w:r>
            <w:r>
              <w:fldChar w:fldCharType="begin"/>
            </w:r>
            <w:r>
              <w:instrText xml:space="preserve"> PAGEREF _Toc233188276 \h </w:instrText>
            </w:r>
            <w:r>
              <w:fldChar w:fldCharType="separate"/>
            </w:r>
            <w:r>
              <w:t xml:space="preserve">4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7" w:anchor="_Toc233188277" w:history="1">
            <w:r>
              <w:rPr>
                <w:rStyle w:val="988"/>
              </w:rPr>
              <w:t xml:space="preserve">2.2.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Требования к срокам поставки продукции</w:t>
            </w:r>
            <w:r>
              <w:tab/>
            </w:r>
            <w:r>
              <w:fldChar w:fldCharType="begin"/>
            </w:r>
            <w:r>
              <w:instrText xml:space="preserve"> PAGEREF _Toc233188277 \h </w:instrText>
            </w:r>
            <w:r>
              <w:fldChar w:fldCharType="separate"/>
            </w:r>
            <w:r>
              <w:t xml:space="preserve">12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8" w:anchor="_Toc233188278" w:history="1">
            <w:r>
              <w:rPr>
                <w:rStyle w:val="988"/>
              </w:rPr>
              <w:t xml:space="preserve">2.3.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Требования к качеству продукции</w:t>
            </w:r>
            <w:r>
              <w:tab/>
            </w:r>
            <w:r>
              <w:fldChar w:fldCharType="begin"/>
            </w:r>
            <w:r>
              <w:instrText xml:space="preserve"> PAGEREF _Toc233188278 \h </w:instrText>
            </w:r>
            <w:r>
              <w:fldChar w:fldCharType="separate"/>
            </w:r>
            <w:r>
              <w:t xml:space="preserve">13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50"/>
            <w:pBdr/>
            <w:tabs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79" w:anchor="_Toc233188279" w:history="1">
            <w:r>
              <w:rPr>
                <w:rStyle w:val="988"/>
              </w:rPr>
              <w:t xml:space="preserve">Таблица 3. Требования к продукции</w:t>
            </w:r>
            <w:r>
              <w:tab/>
            </w:r>
            <w:r>
              <w:fldChar w:fldCharType="begin"/>
            </w:r>
            <w:r>
              <w:instrText xml:space="preserve"> PAGEREF _Toc233188279 \h </w:instrText>
            </w:r>
            <w:r>
              <w:fldChar w:fldCharType="separate"/>
            </w:r>
            <w:r>
              <w:t xml:space="preserve">13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50"/>
            <w:pBdr/>
            <w:tabs>
              <w:tab w:val="left" w:leader="none" w:pos="840"/>
              <w:tab w:val="right" w:leader="dot" w:pos="9911"/>
            </w:tabs>
            <w:spacing/>
            <w:ind/>
            <w:rPr>
              <w:rFonts w:asciiTheme="minorHAnsi" w:hAnsiTheme="minorHAnsi" w:eastAsiaTheme="minorEastAsia" w:cstheme="minorBidi"/>
              <w:bCs w:val="0"/>
              <w:szCs w:val="22"/>
            </w:rPr>
          </w:pPr>
          <w:r/>
          <w:hyperlink w:tooltip="#_Toc233188280" w:anchor="_Toc233188280" w:history="1">
            <w:r>
              <w:rPr>
                <w:rStyle w:val="988"/>
              </w:rPr>
              <w:t xml:space="preserve">2.4.</w:t>
            </w:r>
            <w:r>
              <w:rPr>
                <w:rFonts w:asciiTheme="minorHAnsi" w:hAnsiTheme="minorHAnsi" w:eastAsiaTheme="minorEastAsia" w:cstheme="minorBidi"/>
                <w:bCs w:val="0"/>
                <w:szCs w:val="22"/>
              </w:rPr>
              <w:tab/>
            </w:r>
            <w:r>
              <w:rPr>
                <w:rStyle w:val="988"/>
              </w:rPr>
              <w:t xml:space="preserve">В составе заявки необходимо предоставить:</w:t>
            </w:r>
            <w:r>
              <w:tab/>
            </w:r>
            <w:r>
              <w:fldChar w:fldCharType="begin"/>
            </w:r>
            <w:r>
              <w:instrText xml:space="preserve"> PAGEREF _Toc233188280 \h </w:instrText>
            </w:r>
            <w:r>
              <w:fldChar w:fldCharType="separate"/>
            </w:r>
            <w:r>
              <w:t xml:space="preserve">77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  <w:r>
            <w:rPr>
              <w:rFonts w:asciiTheme="minorHAnsi" w:hAnsiTheme="minorHAnsi" w:eastAsiaTheme="minorEastAsia" w:cstheme="minorBidi"/>
              <w:bCs w:val="0"/>
              <w:szCs w:val="22"/>
            </w:rPr>
          </w:r>
        </w:p>
        <w:p>
          <w:pPr>
            <w:pStyle w:val="1048"/>
            <w:pBdr/>
            <w:spacing/>
            <w:ind/>
            <w:rPr>
              <w:rFonts w:asciiTheme="minorHAnsi" w:hAnsiTheme="minorHAnsi" w:eastAsiaTheme="minorEastAsia" w:cstheme="minorBidi"/>
              <w:bCs w:val="0"/>
            </w:rPr>
          </w:pPr>
          <w:r/>
          <w:hyperlink w:tooltip="#_Toc233188281" w:anchor="_Toc233188281" w:history="1">
            <w:r>
              <w:rPr>
                <w:rStyle w:val="988"/>
              </w:rPr>
              <w:t xml:space="preserve">3.</w:t>
            </w:r>
            <w:r>
              <w:rPr>
                <w:rFonts w:asciiTheme="minorHAnsi" w:hAnsiTheme="minorHAnsi" w:eastAsiaTheme="minorEastAsia" w:cstheme="minorBidi"/>
                <w:bCs w:val="0"/>
              </w:rPr>
              <w:tab/>
            </w:r>
            <w:r>
              <w:rPr>
                <w:rStyle w:val="988"/>
              </w:rPr>
              <w:t xml:space="preserve">Требования к документации по ценообразованию на этапе закупки</w:t>
            </w:r>
            <w:r>
              <w:tab/>
            </w:r>
            <w:r>
              <w:fldChar w:fldCharType="begin"/>
            </w:r>
            <w:r>
              <w:instrText xml:space="preserve"> PAGEREF _Toc233188281 \h </w:instrText>
            </w:r>
            <w:r>
              <w:fldChar w:fldCharType="separate"/>
            </w:r>
            <w:r>
              <w:t xml:space="preserve">78</w:t>
            </w:r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bCs w:val="0"/>
            </w:rPr>
          </w:r>
          <w:r>
            <w:rPr>
              <w:rFonts w:asciiTheme="minorHAnsi" w:hAnsiTheme="minorHAnsi" w:eastAsiaTheme="minorEastAsia" w:cstheme="minorBidi"/>
              <w:bCs w:val="0"/>
            </w:rPr>
          </w:r>
        </w:p>
        <w:p>
          <w:pPr>
            <w:pStyle w:val="1048"/>
            <w:pBdr/>
            <w:spacing/>
            <w:ind/>
            <w:rPr>
              <w:rFonts w:asciiTheme="minorHAnsi" w:hAnsiTheme="minorHAnsi" w:eastAsiaTheme="minorEastAsia" w:cstheme="minorBidi"/>
              <w:bCs w:val="0"/>
            </w:rPr>
          </w:pPr>
          <w:r>
            <w:fldChar w:fldCharType="end"/>
          </w:r>
          <w:r>
            <w:rPr>
              <w:rFonts w:asciiTheme="minorHAnsi" w:hAnsiTheme="minorHAnsi" w:eastAsiaTheme="minorEastAsia" w:cstheme="minorBidi"/>
              <w:bCs w:val="0"/>
            </w:rPr>
          </w:r>
          <w:r>
            <w:rPr>
              <w:rFonts w:asciiTheme="minorHAnsi" w:hAnsiTheme="minorHAnsi" w:eastAsiaTheme="minorEastAsia" w:cstheme="minorBidi"/>
              <w:bCs w:val="0"/>
            </w:rPr>
          </w:r>
        </w:p>
      </w:sdtContent>
    </w:sdt>
    <w:p>
      <w:pPr>
        <w:pStyle w:val="1048"/>
        <w:pBdr/>
        <w:spacing/>
        <w:ind/>
        <w:rPr>
          <w:rFonts w:asciiTheme="minorHAnsi" w:hAnsiTheme="minorHAnsi" w:eastAsiaTheme="minorEastAsia" w:cstheme="minorBidi"/>
          <w:b/>
        </w:rPr>
      </w:pPr>
      <w:r>
        <w:rPr>
          <w:rFonts w:asciiTheme="minorHAnsi" w:hAnsiTheme="minorHAnsi" w:eastAsiaTheme="minorEastAsia" w:cstheme="minorBidi"/>
          <w:b/>
        </w:rPr>
      </w:r>
      <w:r>
        <w:rPr>
          <w:rFonts w:asciiTheme="minorHAnsi" w:hAnsiTheme="minorHAnsi" w:eastAsiaTheme="minorEastAsia" w:cstheme="minorBidi"/>
          <w:b/>
        </w:rPr>
      </w:r>
      <w:r>
        <w:rPr>
          <w:rFonts w:asciiTheme="minorHAnsi" w:hAnsiTheme="minorHAnsi" w:eastAsiaTheme="minorEastAsia" w:cstheme="minorBidi"/>
          <w:b/>
        </w:rPr>
      </w:r>
    </w:p>
    <w:p>
      <w:pPr>
        <w:pBdr/>
        <w:spacing/>
        <w:ind/>
        <w:rPr>
          <w:rStyle w:val="1005"/>
        </w:rPr>
      </w:pPr>
      <w:r>
        <w:rPr>
          <w:rStyle w:val="1005"/>
        </w:rPr>
      </w:r>
      <w:r>
        <w:rPr>
          <w:rStyle w:val="1005"/>
        </w:rPr>
      </w:r>
      <w:r>
        <w:rPr>
          <w:rStyle w:val="1005"/>
        </w:rPr>
      </w:r>
    </w:p>
    <w:p>
      <w:pPr>
        <w:pBdr/>
        <w:spacing/>
        <w:ind/>
        <w:rPr>
          <w:rStyle w:val="1005"/>
        </w:rPr>
      </w:pPr>
      <w:r>
        <w:br w:type="page" w:clear="all"/>
      </w:r>
      <w:r>
        <w:rPr>
          <w:rStyle w:val="1005"/>
        </w:rPr>
      </w:r>
      <w:r>
        <w:rPr>
          <w:rStyle w:val="1005"/>
        </w:rPr>
      </w:r>
    </w:p>
    <w:p>
      <w:pPr>
        <w:pStyle w:val="1023"/>
        <w:pBdr/>
        <w:spacing/>
        <w:ind/>
        <w:rPr>
          <w:caps/>
        </w:rPr>
      </w:pPr>
      <w:r/>
      <w:bookmarkStart w:id="1" w:name="_Toc204182504"/>
      <w:r/>
      <w:bookmarkStart w:id="2" w:name="_Toc167090829"/>
      <w:r/>
      <w:bookmarkStart w:id="3" w:name="_Toc51339692"/>
      <w:r/>
      <w:bookmarkStart w:id="4" w:name="_Toc233188270"/>
      <w:r>
        <w:t xml:space="preserve">Общие сведения</w:t>
      </w:r>
      <w:bookmarkEnd w:id="1"/>
      <w:r/>
      <w:bookmarkEnd w:id="2"/>
      <w:r/>
      <w:bookmarkEnd w:id="3"/>
      <w:r/>
      <w:bookmarkEnd w:id="4"/>
      <w:r>
        <w:rPr>
          <w:caps/>
        </w:rPr>
      </w:r>
      <w:r>
        <w:rPr>
          <w:caps/>
        </w:rPr>
      </w:r>
    </w:p>
    <w:p>
      <w:pPr>
        <w:pStyle w:val="1035"/>
        <w:pBdr/>
        <w:spacing/>
        <w:ind/>
        <w:rPr/>
      </w:pPr>
      <w:r/>
      <w:bookmarkStart w:id="5" w:name="_Toc204182505"/>
      <w:r/>
      <w:bookmarkStart w:id="6" w:name="_Toc46743505"/>
      <w:r/>
      <w:bookmarkStart w:id="7" w:name="_Toc233188271"/>
      <w:r>
        <w:t xml:space="preserve">Обозначения и сокращения</w:t>
      </w:r>
      <w:bookmarkEnd w:id="5"/>
      <w:r/>
      <w:bookmarkEnd w:id="6"/>
      <w:r/>
      <w:bookmarkEnd w:id="7"/>
      <w:r/>
      <w:r/>
    </w:p>
    <w:p>
      <w:pPr>
        <w:pBdr/>
        <w:spacing w:after="0"/>
        <w:ind/>
        <w:rPr>
          <w:rFonts w:ascii="Times New Roman" w:hAnsi="Times New Roman" w:eastAsia="Times New Roman" w:cs="Times New Roman"/>
          <w:bCs/>
          <w:i/>
          <w:iCs/>
          <w:sz w:val="26"/>
          <w:szCs w:val="26"/>
          <w:shd w:val="clear" w:color="auto" w:fill="ffff99"/>
          <w:lang w:eastAsia="ru-RU"/>
        </w:rPr>
      </w:pPr>
      <w:r>
        <w:rPr>
          <w:rFonts w:ascii="Times New Roman" w:hAnsi="Times New Roman" w:eastAsia="Times New Roman" w:cs="Times New Roman"/>
          <w:bCs/>
          <w:i/>
          <w:iCs/>
          <w:sz w:val="26"/>
          <w:szCs w:val="26"/>
          <w:shd w:val="clear" w:color="auto" w:fill="ffff99"/>
          <w:lang w:eastAsia="ru-RU"/>
        </w:rPr>
      </w:r>
      <w:r>
        <w:rPr>
          <w:rFonts w:ascii="Times New Roman" w:hAnsi="Times New Roman" w:eastAsia="Times New Roman" w:cs="Times New Roman"/>
          <w:bCs/>
          <w:i/>
          <w:iCs/>
          <w:sz w:val="26"/>
          <w:szCs w:val="26"/>
          <w:shd w:val="clear" w:color="auto" w:fill="ffff99"/>
          <w:lang w:eastAsia="ru-RU"/>
        </w:rPr>
      </w:r>
      <w:r>
        <w:rPr>
          <w:rFonts w:ascii="Times New Roman" w:hAnsi="Times New Roman" w:eastAsia="Times New Roman" w:cs="Times New Roman"/>
          <w:bCs/>
          <w:i/>
          <w:iCs/>
          <w:sz w:val="26"/>
          <w:szCs w:val="26"/>
          <w:shd w:val="clear" w:color="auto" w:fill="ffff99"/>
          <w:lang w:eastAsia="ru-RU"/>
        </w:rPr>
      </w:r>
    </w:p>
    <w:tbl>
      <w:tblPr>
        <w:tblStyle w:val="1063"/>
        <w:tblW w:w="9911" w:type="dxa"/>
        <w:tblBorders/>
        <w:tblLayout w:type="fixed"/>
        <w:tblLook w:val="0000" w:firstRow="0" w:lastRow="0" w:firstColumn="0" w:lastColumn="0" w:noHBand="0" w:noVBand="0"/>
      </w:tblPr>
      <w:tblGrid>
        <w:gridCol w:w="2153"/>
        <w:gridCol w:w="7758"/>
      </w:tblGrid>
      <w:tr>
        <w:trPr>
          <w:trHeight w:val="77"/>
        </w:trPr>
        <w:tc>
          <w:tcPr>
            <w:tcBorders/>
            <w:tcW w:w="2153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contextualSpacing w:val="true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Термин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7758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contextualSpacing w:val="true"/>
              <w:jc w:val="center"/>
              <w:rPr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Определение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77"/>
        </w:trPr>
        <w:tc>
          <w:tcPr>
            <w:tcBorders/>
            <w:tcW w:w="215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Заказчик </w:t>
            </w:r>
            <w:r/>
          </w:p>
        </w:tc>
        <w:tc>
          <w:tcPr>
            <w:tcBorders/>
            <w:tcW w:w="7758" w:type="dxa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АО «Сахаэнерго»</w:t>
            </w:r>
            <w:r/>
          </w:p>
        </w:tc>
      </w:tr>
      <w:tr>
        <w:trPr>
          <w:trHeight w:val="77"/>
        </w:trPr>
        <w:tc>
          <w:tcPr>
            <w:tcBorders/>
            <w:tcW w:w="215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ИТ</w:t>
            </w:r>
            <w:r/>
          </w:p>
        </w:tc>
        <w:tc>
          <w:tcPr>
            <w:tcBorders/>
            <w:tcW w:w="7758" w:type="dxa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>
                <w:bCs/>
                <w:spacing w:val="-2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Информационные технологии</w:t>
            </w:r>
            <w:r>
              <w:rPr>
                <w:bCs/>
                <w:spacing w:val="-2"/>
              </w:rPr>
            </w:r>
            <w:r>
              <w:rPr>
                <w:bCs/>
                <w:spacing w:val="-2"/>
              </w:rPr>
            </w:r>
          </w:p>
        </w:tc>
      </w:tr>
      <w:tr>
        <w:trPr>
          <w:trHeight w:val="77"/>
        </w:trPr>
        <w:tc>
          <w:tcPr>
            <w:tcBorders/>
            <w:tcW w:w="215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Поставщик</w:t>
            </w:r>
            <w:r/>
          </w:p>
        </w:tc>
        <w:tc>
          <w:tcPr>
            <w:tcBorders/>
            <w:tcW w:w="7758" w:type="dxa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Участник закупки, получивший право заключения договора поставки</w:t>
            </w:r>
            <w:r/>
          </w:p>
        </w:tc>
      </w:tr>
      <w:tr>
        <w:trPr>
          <w:trHeight w:val="77"/>
        </w:trPr>
        <w:tc>
          <w:tcPr>
            <w:tcBorders/>
            <w:tcW w:w="215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>
                <w:lang w:val="en-US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ТТ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7758" w:type="dxa"/>
            <w:textDirection w:val="lrTb"/>
            <w:noWrap w:val="false"/>
          </w:tcPr>
          <w:p>
            <w:pPr>
              <w:widowControl w:val="false"/>
              <w:pBdr/>
              <w:spacing w:after="0" w:before="120" w:line="240" w:lineRule="auto"/>
              <w:ind/>
              <w:contextualSpacing w:val="true"/>
              <w:jc w:val="both"/>
              <w:rPr/>
            </w:pPr>
            <w:r>
              <w:rPr>
                <w:rFonts w:ascii="Times New Roman" w:hAnsi="Times New Roman" w:eastAsia="Times New Roman" w:cs="Times New Roman"/>
              </w:rPr>
              <w:t xml:space="preserve">Технические требования</w:t>
            </w:r>
            <w:r/>
          </w:p>
        </w:tc>
      </w:tr>
    </w:tbl>
    <w:p>
      <w:pPr>
        <w:keepNext w:val="true"/>
        <w:keepLines w:val="true"/>
        <w:pBdr/>
        <w:spacing w:after="0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Style w:val="1035"/>
        <w:pBdr/>
        <w:spacing/>
        <w:ind/>
        <w:rPr/>
      </w:pPr>
      <w:r/>
      <w:bookmarkStart w:id="8" w:name="_Toc204182506"/>
      <w:r/>
      <w:bookmarkStart w:id="9" w:name="_Toc233188272"/>
      <w:r>
        <w:t xml:space="preserve">Наименование закупаемой продукции</w:t>
      </w:r>
      <w:bookmarkEnd w:id="8"/>
      <w:r/>
      <w:bookmarkEnd w:id="9"/>
      <w:r/>
      <w:r/>
    </w:p>
    <w:p>
      <w:pPr>
        <w:pStyle w:val="1041"/>
        <w:pBdr/>
        <w:spacing/>
        <w:ind/>
        <w:jc w:val="both"/>
        <w:rPr/>
      </w:pPr>
      <w:r>
        <w:t xml:space="preserve">ОКПД2 26.20.18.120 Поставка офисной оргтехники для нужд АО «Сахаэнерго»</w:t>
      </w:r>
      <w:r/>
    </w:p>
    <w:p>
      <w:pPr>
        <w:pStyle w:val="1035"/>
        <w:pBdr/>
        <w:spacing/>
        <w:ind/>
        <w:rPr/>
      </w:pPr>
      <w:r/>
      <w:bookmarkStart w:id="10" w:name="_Toc46743507"/>
      <w:r/>
      <w:bookmarkStart w:id="11" w:name="_Toc204182507"/>
      <w:r/>
      <w:bookmarkStart w:id="12" w:name="_Toc233188273"/>
      <w:r>
        <w:t xml:space="preserve">Цель </w:t>
      </w:r>
      <w:bookmarkEnd w:id="10"/>
      <w:r>
        <w:t xml:space="preserve">использования закупаемой продукции</w:t>
      </w:r>
      <w:bookmarkEnd w:id="11"/>
      <w:r/>
      <w:bookmarkEnd w:id="12"/>
      <w:r/>
      <w:r/>
    </w:p>
    <w:p>
      <w:pPr>
        <w:pStyle w:val="1041"/>
        <w:pBdr/>
        <w:spacing/>
        <w:ind/>
        <w:rPr/>
      </w:pPr>
      <w:r>
        <w:t xml:space="preserve">Закупаемое Оборудование будет использовано Заказчиком для достижения следующих целей:</w:t>
      </w:r>
      <w:r/>
    </w:p>
    <w:p>
      <w:pPr>
        <w:numPr>
          <w:ilvl w:val="0"/>
          <w:numId w:val="1"/>
        </w:numPr>
        <w:pBdr/>
        <w:spacing w:after="0"/>
        <w:ind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организации рабочих мест пользователей.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numPr>
          <w:ilvl w:val="0"/>
          <w:numId w:val="1"/>
        </w:numPr>
        <w:pBdr/>
        <w:spacing w:after="0"/>
        <w:ind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улучшение условий работы работников филиала Заказчика.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numPr>
          <w:ilvl w:val="0"/>
          <w:numId w:val="1"/>
        </w:numPr>
        <w:pBdr/>
        <w:spacing w:after="0"/>
        <w:ind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обеспечение оборудованием с целью поддержания работоспособности оборудования информационных технологий.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1035"/>
        <w:pBdr/>
        <w:spacing/>
        <w:ind/>
        <w:rPr/>
      </w:pPr>
      <w:r/>
      <w:bookmarkStart w:id="13" w:name="_Toc201244519"/>
      <w:r/>
      <w:bookmarkStart w:id="14" w:name="_Toc233188274"/>
      <w:r>
        <w:t xml:space="preserve">Общие требования к формированию заявки</w:t>
      </w:r>
      <w:bookmarkEnd w:id="13"/>
      <w:r/>
      <w:bookmarkEnd w:id="14"/>
      <w:r/>
      <w:r/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/>
      <w:bookmarkStart w:id="15" w:name="_Toc200006005"/>
      <w:r>
        <w:rPr>
          <w:rFonts w:ascii="Times New Roman" w:hAnsi="Times New Roman" w:cs="Times New Roman"/>
        </w:rPr>
        <w:t xml:space="preserve">Все необходимые к предоставлению в составе заявки формы, заполняются </w:t>
      </w:r>
      <w:r>
        <w:rPr>
          <w:rFonts w:ascii="Times New Roman" w:hAnsi="Times New Roman" w:cs="Times New Roman"/>
        </w:rPr>
        <w:t xml:space="preserve">Участником в строгом соответствии с утвержденными Документацией о закупке формами, в соответствующем формате с сохранением всех строк, граф и разделов согласно табл. 3.1 Требования к продукции (индивидуальные требования по каждой позиции перечня продукции)</w:t>
      </w:r>
      <w:bookmarkEnd w:id="15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/>
      <w:bookmarkStart w:id="16" w:name="_Toc200006006"/>
      <w:r>
        <w:rPr>
          <w:rFonts w:ascii="Times New Roman" w:hAnsi="Times New Roman" w:cs="Times New Roman"/>
        </w:rPr>
        <w:t xml:space="preserve">Формы изменению не подлежат. В случае изменения Участником или отклонении от них, заявка Участника может быть отклонена.</w:t>
      </w:r>
      <w:bookmarkEnd w:id="16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/>
      <w:bookmarkStart w:id="17" w:name="_Toc200006007"/>
      <w:r>
        <w:rPr>
          <w:rFonts w:ascii="Times New Roman" w:hAnsi="Times New Roman" w:cs="Times New Roman"/>
        </w:rPr>
        <w:t xml:space="preserve">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</w:t>
      </w:r>
      <w:r>
        <w:rPr>
          <w:rFonts w:ascii="Times New Roman" w:hAnsi="Times New Roman" w:cs="Times New Roman"/>
        </w:rPr>
        <w:t xml:space="preserve">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  <w:bookmarkEnd w:id="17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  <w:highlight w:val="none"/>
        </w:rPr>
      </w:pPr>
      <w:r/>
      <w:bookmarkStart w:id="18" w:name="_Toc200006008"/>
      <w:r>
        <w:rPr>
          <w:rFonts w:ascii="Times New Roman" w:hAnsi="Times New Roman" w:cs="Times New Roman"/>
        </w:rPr>
        <w:t xml:space="preserve"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</w:t>
      </w:r>
      <w:bookmarkEnd w:id="18"/>
      <w:r>
        <w:rPr>
          <w:rFonts w:ascii="Times New Roman" w:hAnsi="Times New Roman" w:cs="Times New Roman"/>
        </w:rPr>
        <w:t xml:space="preserve">сплуатации.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23"/>
        <w:pBdr/>
        <w:spacing/>
        <w:ind/>
        <w:rPr/>
      </w:pPr>
      <w:r/>
      <w:bookmarkStart w:id="19" w:name="_Toc204182508"/>
      <w:r/>
      <w:bookmarkStart w:id="20" w:name="_Toc51339693"/>
      <w:r/>
      <w:bookmarkStart w:id="21" w:name="_Toc167090830"/>
      <w:r/>
      <w:bookmarkStart w:id="22" w:name="_Toc233188275"/>
      <w:r>
        <w:t xml:space="preserve">Требования к продукции</w:t>
      </w:r>
      <w:bookmarkEnd w:id="19"/>
      <w:r/>
      <w:bookmarkEnd w:id="20"/>
      <w:r/>
      <w:bookmarkEnd w:id="21"/>
      <w:r/>
      <w:bookmarkEnd w:id="22"/>
      <w:r/>
      <w:r/>
    </w:p>
    <w:p>
      <w:pPr>
        <w:pStyle w:val="1035"/>
        <w:pBdr/>
        <w:tabs>
          <w:tab w:val="clear" w:leader="none" w:pos="0"/>
          <w:tab w:val="num" w:leader="none" w:pos="284"/>
        </w:tabs>
        <w:spacing/>
        <w:ind w:firstLine="0" w:left="567"/>
        <w:rPr/>
      </w:pPr>
      <w:r/>
      <w:bookmarkStart w:id="23" w:name="_Toc204182509"/>
      <w:r/>
      <w:bookmarkStart w:id="24" w:name="_Toc233188276"/>
      <w:r>
        <w:t xml:space="preserve">Требования к объемам и срокам поставки</w:t>
      </w:r>
      <w:bookmarkEnd w:id="23"/>
      <w:r/>
      <w:bookmarkEnd w:id="24"/>
      <w:r/>
      <w:r/>
    </w:p>
    <w:p>
      <w:pPr>
        <w:pStyle w:val="1042"/>
        <w:pBdr/>
        <w:tabs>
          <w:tab w:val="clear" w:leader="none" w:pos="0"/>
          <w:tab w:val="num" w:leader="none" w:pos="284"/>
        </w:tabs>
        <w:spacing/>
        <w:ind w:firstLine="0" w:left="567"/>
        <w:rPr>
          <w:b/>
        </w:rPr>
      </w:pPr>
      <w:r>
        <w:rPr>
          <w:b/>
        </w:rPr>
        <w:t xml:space="preserve">Перечень и объем закупаемой продукции</w:t>
      </w:r>
      <w:r>
        <w:rPr>
          <w:b/>
        </w:rPr>
      </w:r>
      <w:r>
        <w:rPr>
          <w:b/>
        </w:rPr>
      </w:r>
    </w:p>
    <w:p>
      <w:pPr>
        <w:pStyle w:val="1044"/>
        <w:pBdr/>
        <w:tabs>
          <w:tab w:val="num" w:leader="none" w:pos="284"/>
        </w:tabs>
        <w:spacing/>
        <w:ind w:left="567"/>
        <w:jc w:val="left"/>
        <w:rPr>
          <w:rFonts w:eastAsia="Calibri"/>
          <w:b/>
        </w:rPr>
      </w:pPr>
      <w:r/>
      <w:bookmarkStart w:id="25" w:name="_Toc51339695"/>
      <w:r/>
      <w:bookmarkStart w:id="26" w:name="_Toc167090831"/>
      <w:r>
        <w:rPr>
          <w:rFonts w:eastAsia="Calibri"/>
          <w:b/>
        </w:rPr>
        <w:t xml:space="preserve">Таблица 1.1 Перечень </w:t>
      </w:r>
      <w:bookmarkEnd w:id="25"/>
      <w:r>
        <w:rPr>
          <w:rFonts w:eastAsia="Calibri"/>
          <w:b/>
        </w:rPr>
        <w:t xml:space="preserve">и объем закупаемой продукции</w:t>
      </w:r>
      <w:bookmarkEnd w:id="26"/>
      <w:r>
        <w:rPr>
          <w:rFonts w:eastAsia="Calibri"/>
          <w:b/>
        </w:rPr>
      </w:r>
      <w:r>
        <w:rPr>
          <w:rFonts w:eastAsia="Calibri"/>
          <w:b/>
        </w:rPr>
      </w:r>
    </w:p>
    <w:tbl>
      <w:tblPr>
        <w:tblpPr w:horzAnchor="text" w:tblpXSpec="left" w:vertAnchor="text" w:tblpY="1" w:leftFromText="180" w:topFromText="0" w:rightFromText="180" w:bottomFromText="0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827"/>
        <w:gridCol w:w="1134"/>
        <w:gridCol w:w="851"/>
        <w:gridCol w:w="3253"/>
      </w:tblGrid>
      <w:tr>
        <w:trPr>
          <w:tblHeader/>
        </w:trPr>
        <w:tc>
          <w:tcPr>
            <w:tcBorders/>
            <w:tcW w:w="846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827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Наименование продукции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tcBorders/>
            <w:tcW w:w="3253" w:type="dxa"/>
            <w:vAlign w:val="center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Место поставки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blHeader/>
        </w:trPr>
        <w:tc>
          <w:tcPr>
            <w:tcBorders/>
            <w:tcW w:w="84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82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25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/>
            <w:tcW w:w="846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5"/>
              </w:numPr>
              <w:pBdr/>
              <w:spacing w:after="0" w:line="240" w:lineRule="auto"/>
              <w:ind w:right="20" w:hanging="284" w:left="313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Borders/>
            <w:tcW w:w="58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АО «ДГК»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25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314"/>
        </w:trPr>
        <w:tc>
          <w:tcPr>
            <w:tcBorders/>
            <w:tcW w:w="846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6"/>
              </w:numPr>
              <w:pBdr/>
              <w:spacing w:after="0" w:line="240" w:lineRule="auto"/>
              <w:ind w:right="20" w:hanging="284" w:left="313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82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ОКПД2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26.20.18.120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МФУ формат А4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253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677001, РФ, РС(Я), г. Якутск, ул. Беринга, 42.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/>
            <w:tcW w:w="846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6"/>
              </w:numPr>
              <w:pBdr/>
              <w:spacing w:after="0" w:line="240" w:lineRule="auto"/>
              <w:ind w:right="20" w:hanging="284" w:left="313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82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ОКПД2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26.20.18.120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МФУ формат А3,  Лоток, комплект картриджей, бункер.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253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/>
            <w:tcW w:w="846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6"/>
              </w:numPr>
              <w:pBdr/>
              <w:spacing w:after="0" w:line="240" w:lineRule="auto"/>
              <w:ind w:right="20" w:hanging="284" w:left="313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82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ОКПД2 26.20.40.110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ИБП в комплекте с батарейным модулем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85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3253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1042"/>
        <w:numPr>
          <w:ilvl w:val="0"/>
          <w:numId w:val="0"/>
        </w:numPr>
        <w:pBdr/>
        <w:spacing/>
        <w:ind/>
        <w:rPr/>
      </w:pPr>
      <w:r/>
      <w:r/>
    </w:p>
    <w:p>
      <w:pPr>
        <w:pStyle w:val="1042"/>
        <w:numPr>
          <w:ilvl w:val="0"/>
          <w:numId w:val="0"/>
        </w:numPr>
        <w:pBdr/>
        <w:spacing/>
        <w:ind/>
        <w:rPr/>
      </w:pPr>
      <w:r/>
      <w:r/>
    </w:p>
    <w:p>
      <w:pPr>
        <w:pStyle w:val="1035"/>
        <w:pBdr/>
        <w:tabs>
          <w:tab w:val="clear" w:leader="none" w:pos="0"/>
          <w:tab w:val="num" w:leader="none" w:pos="284"/>
        </w:tabs>
        <w:spacing/>
        <w:ind w:firstLine="0" w:left="567"/>
        <w:rPr/>
      </w:pPr>
      <w:r/>
      <w:bookmarkStart w:id="29" w:name="_Toc233188277"/>
      <w:r>
        <w:t xml:space="preserve">Требования к срокам поставки продукции</w:t>
      </w:r>
      <w:bookmarkEnd w:id="29"/>
      <w:r>
        <w:t xml:space="preserve"> </w:t>
      </w:r>
      <w:r/>
    </w:p>
    <w:p>
      <w:pPr>
        <w:pStyle w:val="1044"/>
        <w:pBdr/>
        <w:spacing/>
        <w:ind w:left="567"/>
        <w:jc w:val="left"/>
        <w:rPr>
          <w:b/>
        </w:rPr>
      </w:pPr>
      <w:r/>
      <w:bookmarkStart w:id="30" w:name="_Toc50125127"/>
      <w:r/>
      <w:bookmarkStart w:id="31" w:name="_Toc51339697"/>
      <w:r/>
      <w:bookmarkStart w:id="32" w:name="_Toc191285462"/>
      <w:r>
        <w:rPr>
          <w:b/>
        </w:rPr>
        <w:t xml:space="preserve">Таблица 2.1 </w:t>
      </w:r>
      <w:bookmarkStart w:id="33" w:name="_Hlk50465284"/>
      <w:r>
        <w:rPr>
          <w:b/>
        </w:rPr>
        <w:t xml:space="preserve">Требования по срокам </w:t>
      </w:r>
      <w:bookmarkEnd w:id="30"/>
      <w:r/>
      <w:bookmarkEnd w:id="31"/>
      <w:r/>
      <w:bookmarkEnd w:id="33"/>
      <w:r>
        <w:rPr>
          <w:b/>
        </w:rPr>
        <w:t xml:space="preserve">поставки продукции</w:t>
      </w:r>
      <w:bookmarkEnd w:id="32"/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tbl>
      <w:tblPr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737"/>
        <w:gridCol w:w="3369"/>
        <w:gridCol w:w="2693"/>
        <w:gridCol w:w="311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2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Наименование продукции / партии продукции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началу срока поставки продукции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окончанию срока поставки продукции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2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textDirection w:val="lrTb"/>
            <w:noWrap w:val="false"/>
          </w:tcPr>
          <w:p>
            <w:pPr>
              <w:keepNext w:val="true"/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4"/>
              </w:numPr>
              <w:pBdr/>
              <w:spacing w:after="0" w:line="252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i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72" w:type="dxa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Оборудование согласно таблицы 1.1 «Перечень и объем закупаемой продукции»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С даты, следующей за датой заключения договора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/>
              <w:ind/>
              <w:jc w:val="center"/>
              <w:rPr>
                <w:rFonts w:ascii="Times New Roman" w:hAnsi="Times New Roman" w:eastAsia="Times New Roman" w:cs="Times New Roman"/>
                <w:i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 xml:space="preserve">В течение 45 календарных дней с даты, следующей за датой заключения договора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lang w:eastAsia="ru-RU"/>
              </w:rPr>
            </w:r>
          </w:p>
        </w:tc>
      </w:tr>
    </w:tbl>
    <w:p>
      <w:pPr>
        <w:widowControl w:val="false"/>
        <w:pBdr/>
        <w:spacing w:after="0" w:line="240" w:lineRule="auto"/>
        <w:ind w:right="-57" w:left="-57"/>
        <w:jc w:val="lef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  <w14:ligatures w14:val="none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720" w:equalWidth="1"/>
          <w:titlePg/>
        </w:sect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  <w14:ligatures w14:val="none"/>
        </w:rPr>
      </w:r>
    </w:p>
    <w:p>
      <w:pPr>
        <w:pStyle w:val="1035"/>
        <w:pBdr/>
        <w:tabs>
          <w:tab w:val="clear" w:leader="none" w:pos="0"/>
          <w:tab w:val="num" w:leader="none" w:pos="284"/>
        </w:tabs>
        <w:spacing/>
        <w:ind w:firstLine="0" w:left="567"/>
        <w:rPr/>
      </w:pPr>
      <w:r/>
      <w:bookmarkStart w:id="34" w:name="_Toc46743511"/>
      <w:r/>
      <w:bookmarkStart w:id="35" w:name="_Toc204182510"/>
      <w:r/>
      <w:bookmarkStart w:id="36" w:name="_Toc233188278"/>
      <w:r>
        <w:t xml:space="preserve">Требования к </w:t>
      </w:r>
      <w:bookmarkEnd w:id="34"/>
      <w:r>
        <w:t xml:space="preserve">качеству продукции</w:t>
      </w:r>
      <w:bookmarkStart w:id="37" w:name="_Toc191285463"/>
      <w:r/>
      <w:bookmarkStart w:id="38" w:name="_Toc51339698"/>
      <w:r/>
      <w:bookmarkEnd w:id="35"/>
      <w:r/>
      <w:bookmarkEnd w:id="36"/>
      <w:r/>
      <w:r/>
    </w:p>
    <w:p>
      <w:pPr>
        <w:pStyle w:val="1035"/>
        <w:numPr>
          <w:ilvl w:val="0"/>
          <w:numId w:val="0"/>
        </w:numPr>
        <w:pBdr/>
        <w:spacing/>
        <w:ind w:left="567"/>
        <w:rPr/>
      </w:pPr>
      <w:r/>
      <w:bookmarkStart w:id="39" w:name="_Toc233188279"/>
      <w:r>
        <w:t xml:space="preserve">Таблица 3. Требования к продукции</w:t>
      </w:r>
      <w:bookmarkEnd w:id="37"/>
      <w:r/>
      <w:bookmarkEnd w:id="38"/>
      <w:r/>
      <w:bookmarkEnd w:id="39"/>
      <w:r/>
      <w:r/>
    </w:p>
    <w:p>
      <w:pPr>
        <w:pBdr/>
        <w:spacing w:after="0"/>
        <w:ind/>
        <w:jc w:val="both"/>
        <w:rPr>
          <w:rFonts w:ascii="Times New Roman" w:hAnsi="Times New Roman" w:eastAsia="Times New Roman" w:cs="Times New Roman"/>
          <w:i/>
          <w:iCs/>
          <w:shd w:val="clear" w:color="auto" w:fill="ffff99"/>
          <w:lang w:eastAsia="ru-RU"/>
        </w:rPr>
      </w:pPr>
      <w:r>
        <w:rPr>
          <w:rFonts w:ascii="Times New Roman" w:hAnsi="Times New Roman" w:eastAsia="Times New Roman" w:cs="Times New Roman"/>
          <w:i/>
          <w:iCs/>
          <w:shd w:val="clear" w:color="auto" w:fill="ffff99"/>
          <w:lang w:eastAsia="ru-RU"/>
        </w:rPr>
      </w:r>
      <w:r>
        <w:rPr>
          <w:rFonts w:ascii="Times New Roman" w:hAnsi="Times New Roman" w:eastAsia="Times New Roman" w:cs="Times New Roman"/>
          <w:i/>
          <w:iCs/>
          <w:shd w:val="clear" w:color="auto" w:fill="ffff99"/>
          <w:lang w:eastAsia="ru-RU"/>
        </w:rPr>
      </w:r>
      <w:r>
        <w:rPr>
          <w:rFonts w:ascii="Times New Roman" w:hAnsi="Times New Roman" w:eastAsia="Times New Roman" w:cs="Times New Roman"/>
          <w:i/>
          <w:iCs/>
          <w:shd w:val="clear" w:color="auto" w:fill="ffff99"/>
          <w:lang w:eastAsia="ru-RU"/>
        </w:rPr>
      </w:r>
    </w:p>
    <w:tbl>
      <w:tblPr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959"/>
        <w:gridCol w:w="6412"/>
        <w:gridCol w:w="2386"/>
        <w:gridCol w:w="8"/>
        <w:gridCol w:w="1506"/>
        <w:gridCol w:w="1907"/>
        <w:gridCol w:w="1524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параметра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Требование заказчика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Способ подтверждения участником соответствия требованиям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Предложение участника по характеристикам и параметрам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Согласие с требованием/ указание характеристик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numPr>
                <w:ilvl w:val="0"/>
                <w:numId w:val="11"/>
              </w:numPr>
              <w:pBdr/>
              <w:spacing w:after="0" w:line="240" w:lineRule="auto"/>
              <w:ind w:right="-57" w:hanging="8" w:left="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к техническим и функциональным характеристикам (включая гарантируемые показатели)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347"/>
        </w:trPr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 w:lef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МФУ формат А4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Указанные в настоящем ТТ ссылки на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ийным срокам и срокам эксплуатации.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 xml:space="preserve">(наименование, модель и комплектация поставляемой продукции)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21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a6a6a6" w:sz="4" w:space="0"/>
            </w:tcBorders>
            <w:tcW w:w="88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Технические характеристики: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6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Назначение устройства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копир, сканер, принтер, факс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Объем установленной оперативной памяти, Мбайт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1024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частота процессора, МГц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800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Диагональ экрана дюймов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Суммарная емкость лотков подачи бумаги для печати в комплекте, листов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550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Ёмкость лотка ручной подачи, листов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Суммарная емкость выходных лотков в комплекте, листов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250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интерфейса Ethernet (RJ-45)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интерфейса USB версии не ниже 2.0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интерфейса Wi-Fi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факса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ОС - Windows, Linux, Mac OS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печати - электрографическая (лазерная, светодиодная)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Цветность печати - монохромная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Максимальный формат печати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А4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Максимальное разрешение для монохромной печати, точек на дюйм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1200 х 1200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Скорость печати А4, страниц в минуту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функции автоматической двусторонней печати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Время выхода первого отпечатка, секунд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Минимальная плотность используемых материалов (бумаги)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г/м2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плотность используемых материалов (бумаги)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г/м2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языков описания страниц - PS, PCL6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устройства автоподачи сканера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сканирования в сетевую папку, на USB-накопитель, в электронную почту встроенными средствами за одну операцию в форматах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А4, А3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Суммарная емкость устройства автоподачи сканера , листов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3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Максимальное разрешение сканирования, точек на дюйм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600 х 600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 w:lef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d9e2f3" w:themeFill="accent5" w:themeFillTint="33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a6a6a6" w:sz="4" w:space="0"/>
            </w:tcBorders>
            <w:tcW w:w="88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Комплект МФУ формат А3,  Лоток, комплект картриджей, бункер.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Указанные в настоящем ТТ ссылки на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ийным срокам и срокам эксплуатации.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br/>
              <w:t xml:space="preserve">(наименование, модель и комплектация поставляемой продукции)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Технические характеристики: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Назначение устройства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копир , сканер, принтер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Максимальный формат печати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SRA3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функции автоматической двусторонней печати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Способ подключения - Ethernet (RJ-45), USB, Wi-Fi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Технология печати - электрографическая (лазерная; светодиодная)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Цветность печати - цветная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</w:t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Время выхода первого цветного отпечатка секунд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7,5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Время выхода первого черно-белого отпечатка секунд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7,5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Ресурс каждого стартового цветного тонер-картриджа в составе печатного устройства, страниц А4 при 5% заполнении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5000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Ресурс стартового черного тонер-картриджа в составе печатного устройства, страниц А4 при 5% заполнении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5000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частота процессора МГц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1200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ядер процессора штук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Объем установленной оперативной памяти Мбайт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4096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Объем внутреннего встроенного накопителя Гбайт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128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Максимальное разрешение цветной печати по вертикали точек на дюйм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1200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Максимальное разрешение цветной печати по горизонтали точек на дюйм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2400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устройства автоподачи сканера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Тип сканера - планшетный, протяжный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Сканирование в сетевую папку, на USB-накопитель, на электронную почту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Максимальная плотность используемых материалов (бумаги),г/м2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300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Ресурс черного фотобарабана страниц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225 000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Ресурс цветного фотобарабана страниц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250 000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Скорость цветной печати А4 страниц в минуту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Скорость черно-белой печати А4 страниц в минуту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Поддержка ОС - Windows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Суммарная емкость лотков подачи бумаги для печати в комплекте, листов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2350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Суммарная емкость устройства автоподачи сканера, листов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380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Суммарная емкость выходных лотков в комплекте, листов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500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Наличие в комплекте поставки дополнительного оригинального (от производителя МФУ) комплекта картриджей и приемника для отработонного тонера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</w:rPr>
              <w:t xml:space="preserve">требуется 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/>
            <w:r/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firstLine="0" w:left="0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1.3.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shd w:val="clear" w:color="auto" w:fill="d9e2f3" w:themeFill="accent5" w:themeFillTint="33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a6a6a6" w:sz="4" w:space="0"/>
            </w:tcBorders>
            <w:tcW w:w="88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ИБП в комплекте с батарейным модулем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Указанные в настоящем ТТ ссылки на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ийным срокам и срокам эксплуатации.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(наименование, модель и комплектация поставляемой продукции)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d9e2f3" w:themeFill="accent5" w:themeFillTint="3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Технические характеристики: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Тип оборудования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ИБП топологии On‑line (двойное преобразование)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Мощность (ВА)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3000 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Мощность (Вт)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3000 Вт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Количество фаз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1/1 (вход/выход)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Форм‑фактор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Напольный / для установки в 19″ стойку (Rack Tower), высота не более 2U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Указание характеристик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Габариты устройства (Ш×В×Г)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440×86,5×610 мм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Вес устройства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27 кг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Стабильность выходного напряжения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±1%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Крест‑фактор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3:1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Степень защиты корпуса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ниже IP20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Рабочая температура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 0 до +40 °C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Влажность при эксплуатации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95% (без конденсата)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Высота эксплуатации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 3000 м над уровнем моря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Температура хранения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 −25 до +55 °C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Высота хранения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До 10 000 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Виды защиты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 глубокого разряда АКБ, от КЗ, от перегрузки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Интерфейсы управления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EPO, RS‑232, USB, сухие контакты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Конструктивные особенности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Дисплей, звуковая сигнализация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Поддержка протоколов/функций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SNMP, холодный старт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Цвет корпуса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Чёрный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Входное напряжение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Диапазон 110–300 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Частота входного напряжения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40–70 Гц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Входной разъём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IEC‑320‑C20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Выходные розетки с батарейной поддержкой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8×IEC 320 C13 + 1×IEC 320 C19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Выходное напряжение (от АКБ)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200/208/220/230/240 В ±1% (настраиваемое)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Частота (от АКБ)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50/60 Гц ±0,1%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Уровень шума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55 дБ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Время автономной работы при 100% нагрузке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3 минут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Время автономной работы при 50% нагрузке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менее 9 минут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Время заряда АКБ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4 часов до 90% ёмкости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Тип АКБ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Свинцово‑кислотные герметичные (необслуживаемые)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Количество АКБ в ИБП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6 шт.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Напряжение шины АКБ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72 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Реестр МПТ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в реестре Минпромторга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ОКПД2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26.20.40.110 (источники бесперебойного питания)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  <w:t xml:space="preserve">Батарейный модуль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Совместимый модуль для 19″ стойки, клеммный блок, напряжение 72 В, ёмкость не менее 9 Ач 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ИБПСИПБ2КА.10-11/СИПБ3КА.10-11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Габариты батарейного модуля (Ш×Г×В)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450×720×90 мм (ориентир под 19″)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Вес батарейного модуля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42 кг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7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numPr>
                <w:ilvl w:val="1"/>
                <w:numId w:val="7"/>
              </w:numPr>
              <w:pBdr/>
              <w:spacing w:after="0" w:line="240" w:lineRule="auto"/>
              <w:ind w:right="-57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6a6a6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Материал корпуса модуля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  <w:t xml:space="preserve">ИБП в комплекте с батарейным модулем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6a6a6" w:sz="4" w:space="0"/>
            </w:tcBorders>
            <w:tcW w:w="239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Металл + пластик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numPr>
                <w:ilvl w:val="0"/>
                <w:numId w:val="11"/>
              </w:numPr>
              <w:pBdr/>
              <w:spacing w:after="0" w:line="240" w:lineRule="auto"/>
              <w:ind w:right="-57" w:hanging="8" w:left="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безопасности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>
          <w:trHeight w:val="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pBdr/>
              <w:spacing w:after="0" w:line="240" w:lineRule="auto"/>
              <w:ind w:right="-57" w:left="8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Состояние оборудования: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numPr>
                <w:ilvl w:val="0"/>
                <w:numId w:val="12"/>
              </w:numPr>
              <w:pBdr/>
              <w:tabs>
                <w:tab w:val="left" w:leader="none" w:pos="322"/>
              </w:tabs>
              <w:spacing w:after="0" w:line="240" w:lineRule="auto"/>
              <w:ind w:right="-57" w:hanging="325" w:left="-57"/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  <w:t xml:space="preserve">Поставляемое оборудование должно быть новым, ранее не использованным (не бывшем в эксплуатации, в ремонте, у которого не были в</w:t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  <w:t xml:space="preserve">осстановлены утраченные потребительские свойства), в оригинальной заводской упаковке предприятия-изготовителя, соответствующей международным стандартам упаковки высокотехнологичного оборудования, с хорошо различимой маркировкой, нанесенной производителем. </w:t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</w:p>
          <w:p>
            <w:pPr>
              <w:widowControl w:val="false"/>
              <w:numPr>
                <w:ilvl w:val="0"/>
                <w:numId w:val="9"/>
              </w:numPr>
              <w:pBdr/>
              <w:tabs>
                <w:tab w:val="left" w:leader="none" w:pos="322"/>
              </w:tabs>
              <w:spacing w:after="0" w:line="240" w:lineRule="auto"/>
              <w:ind w:right="-57" w:hanging="325" w:left="-57"/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  <w:t xml:space="preserve">Поставляемое оборудование должно быть произведено в течение не более 24 месяцев до даты поставки. </w:t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</w:p>
          <w:p>
            <w:pPr>
              <w:widowControl w:val="false"/>
              <w:numPr>
                <w:ilvl w:val="0"/>
                <w:numId w:val="9"/>
              </w:numPr>
              <w:pBdr/>
              <w:tabs>
                <w:tab w:val="left" w:leader="none" w:pos="322"/>
              </w:tabs>
              <w:spacing w:after="0" w:line="240" w:lineRule="auto"/>
              <w:ind w:right="-57" w:hanging="325" w:left="-57"/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  <w:t xml:space="preserve">Дата выпуска оборудования на упаковке должна быть нанесена заводским путем.</w:t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  <w:t xml:space="preserve">Нанесение даты изготовления другими способами не допускается.</w:t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Calibri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numPr>
                <w:ilvl w:val="0"/>
                <w:numId w:val="11"/>
              </w:numPr>
              <w:pBdr/>
              <w:spacing w:after="0" w:line="240" w:lineRule="auto"/>
              <w:ind w:right="-57" w:hanging="8" w:left="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доставке, маркировке, упаковке, транспортировке, перемещению, условиям хранения, приемке и испытаниям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6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3.1.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Место поставки: Согласно таблице 1.1.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3.2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Упаковка: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Упаковка оборудования должна обеспечивать полную сохранность оборудования при транспортировке, погрузке, разгрузке, хранении и не должна иметь следов вскрытия, а также не должна быть повреждена.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3.3.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Маркировка упаковки: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Маркировка упаковки каждой единицы оборудования должно давать возможность четко идентифицировать разновидность оборудования (наименование оборудования и/или каталожный номер оборудования).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 соответствии с требованиями ГОСТ 17527-2014 (ISO 21067:2007) «Упаковка. Термины и определения».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numPr>
                <w:ilvl w:val="0"/>
                <w:numId w:val="11"/>
              </w:numPr>
              <w:pBdr/>
              <w:spacing w:after="0" w:line="240" w:lineRule="auto"/>
              <w:ind w:right="-57" w:hanging="8" w:left="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комплектации и документам, поставляемым вместе с продукцией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4.1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Документы, передаваемые вместе с оборудованием: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 каждой единицей поставляемого оборудования должна быть предоставлена в бумажном или электронном виде в формате *.pdf (на электронном носителе информации) следующая эксплуатационная документация: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  <w:p>
            <w:pPr>
              <w:widowControl w:val="false"/>
              <w:numPr>
                <w:ilvl w:val="0"/>
                <w:numId w:val="10"/>
              </w:numPr>
              <w:pBdr/>
              <w:spacing w:after="0" w:line="240" w:lineRule="auto"/>
              <w:ind w:right="-57" w:hanging="280" w:left="-57"/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Руководство пользователя;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  <w:p>
            <w:pPr>
              <w:widowControl w:val="false"/>
              <w:numPr>
                <w:ilvl w:val="0"/>
                <w:numId w:val="10"/>
              </w:numPr>
              <w:pBdr/>
              <w:spacing w:after="0" w:line="240" w:lineRule="auto"/>
              <w:ind w:right="-57" w:hanging="280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Руководство по обслуживанию и ремонту оборудования, составленное (или переведенное) на русский язык.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2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numPr>
                <w:ilvl w:val="0"/>
                <w:numId w:val="11"/>
              </w:numPr>
              <w:pBdr/>
              <w:spacing w:after="0" w:line="240" w:lineRule="auto"/>
              <w:ind w:right="-57" w:hanging="8" w:left="8"/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экономическим параметрам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5.1.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Расходы на гарантийную поддержку: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Все необходимые мероприятия для постановки оборудования на гарантийную поддержку, включая активацию сервисных пакетов поддержки, Поставщик проводит своими силами и за свой счет.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5.2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Цена оборудования: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Цена оборудования должна включать все расходы, связанные с поставкой данного оборудования (стоимость погрузочно-разгрузочных работ, транспортные расходы, включая стоимость такелажа), налоги и обязательные платежи.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numPr>
                <w:ilvl w:val="0"/>
                <w:numId w:val="11"/>
              </w:numPr>
              <w:pBdr/>
              <w:spacing w:after="0" w:line="240" w:lineRule="auto"/>
              <w:ind w:right="-57" w:hanging="8" w:left="8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Требования к обязательствам Поставщика, влияющим на исполнение договора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6.1.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Изменение номенклатуры Оборудования: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 случае отсутствия на дату комплектования Поставщиком поставляемой партии това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ра любой из указанной в ней номенклатурной единицы Оборудования, соответствующей Спецификации поставляемой продукции, вызванным прекращением ее производства, Поставщик по предварительному согласованию с Заказчиком должен заменить ее на эквивалент, имеющий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эквивалентные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технические характеристики и потребительские свойства, или превышающие их без изменения цены. Замена номенклатуры производится путем подписания сторонами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Дополнительного соглашения к действующему Договору.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pStyle w:val="1040"/>
              <w:widowControl w:val="false"/>
              <w:numPr>
                <w:ilvl w:val="0"/>
                <w:numId w:val="11"/>
              </w:numPr>
              <w:pBdr/>
              <w:spacing w:after="0" w:line="240" w:lineRule="auto"/>
              <w:ind w:right="-57" w:hanging="8" w:left="8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 xml:space="preserve">Прочие (дополнительные) требования к продукции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  <w:t xml:space="preserve">7.1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Подтверждение происхождения товаров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В составе заявки предоставить коммерческое предложение по форме, установленной документацией о закупке, с указанием в отношении поставляемой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продукции информации о номере реестровой записи из реестра российской промышленной продукции или номере реестровой записи из евразийского экономического союза в соответствии с требованиями Постановления Правительства Российской Федерации от 23 декабря 2024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 xml:space="preserve">Согласие с требованием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  <w:lang w:eastAsia="ru-RU"/>
              </w:rPr>
              <w:t xml:space="preserve">-//-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line="240" w:lineRule="auto"/>
              <w:ind w:right="-57" w:left="-57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1041"/>
        <w:pBdr/>
        <w:spacing/>
        <w:ind/>
        <w:rPr/>
      </w:pPr>
      <w:r/>
      <w:r/>
    </w:p>
    <w:p>
      <w:pPr>
        <w:pStyle w:val="1035"/>
        <w:pBdr/>
        <w:spacing/>
        <w:ind w:hanging="644"/>
        <w:rPr/>
      </w:pPr>
      <w:r/>
      <w:bookmarkStart w:id="40" w:name="_Toc204182511"/>
      <w:r/>
      <w:bookmarkStart w:id="41" w:name="_Toc233188280"/>
      <w:r>
        <w:t xml:space="preserve">В составе заявки необходимо предоставить:</w:t>
      </w:r>
      <w:bookmarkEnd w:id="40"/>
      <w:r/>
      <w:bookmarkEnd w:id="41"/>
      <w:r/>
      <w:r/>
    </w:p>
    <w:p>
      <w:pPr>
        <w:pStyle w:val="1035"/>
        <w:numPr>
          <w:ilvl w:val="0"/>
          <w:numId w:val="0"/>
        </w:numPr>
        <w:pBdr/>
        <w:spacing/>
        <w:ind w:left="644"/>
        <w:rPr/>
      </w:pPr>
      <w:r/>
      <w:r/>
    </w:p>
    <w:p>
      <w:pPr>
        <w:pBdr/>
        <w:spacing w:after="60"/>
        <w:ind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</w:r>
      <w:r>
        <w:rPr>
          <w:rFonts w:ascii="Times New Roman" w:hAnsi="Times New Roman" w:cs="Times New Roman"/>
          <w:b/>
          <w:i/>
          <w:iCs/>
          <w:sz w:val="24"/>
          <w:szCs w:val="24"/>
        </w:rPr>
      </w:r>
    </w:p>
    <w:p>
      <w:pPr>
        <w:pStyle w:val="1040"/>
        <w:numPr>
          <w:ilvl w:val="0"/>
          <w:numId w:val="3"/>
        </w:numPr>
        <w:pBdr/>
        <w:spacing w:after="60" w:line="240" w:lineRule="auto"/>
        <w:ind w:hanging="437" w:left="426"/>
        <w:contextualSpacing w:val="false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Техническое предложение, подготовленное в соответствии с настоящими ТТ по форме, представленной в документации о закупке;</w:t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1040"/>
        <w:numPr>
          <w:ilvl w:val="0"/>
          <w:numId w:val="3"/>
        </w:numPr>
        <w:pBdr/>
        <w:spacing w:after="60" w:line="240" w:lineRule="auto"/>
        <w:ind w:hanging="437" w:left="426"/>
        <w:contextualSpacing w:val="false"/>
        <w:jc w:val="both"/>
        <w:rPr>
          <w:rFonts w:ascii="Times New Roman" w:hAnsi="Times New Roman" w:cs="Times New Roman"/>
          <w:i/>
          <w:iCs/>
          <w:sz w:val="24"/>
          <w:szCs w:val="24"/>
        </w:rPr>
        <w:sectPr>
          <w:headerReference w:type="default" r:id="rId12"/>
          <w:headerReference w:type="first" r:id="rId13"/>
          <w:footnotePr/>
          <w:endnotePr/>
          <w:type w:val="nextPage"/>
          <w:pgSz w:h="11906" w:orient="landscape" w:w="16838"/>
          <w:pgMar w:top="1135" w:right="1134" w:bottom="851" w:left="992" w:header="680" w:footer="0" w:gutter="0"/>
          <w:cols w:num="1" w:sep="0" w:space="720" w:equalWidth="1"/>
          <w:titlePg/>
        </w:sect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Документы и информацию, подтверждающие страну происхождения товара в соответствии с требованиями Постановления Правительства Российско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  <w:r>
        <w:br w:type="page" w:clear="all"/>
      </w:r>
      <w:r>
        <w:rPr>
          <w:rFonts w:ascii="Times New Roman" w:hAnsi="Times New Roman" w:cs="Times New Roman"/>
          <w:i/>
          <w:iCs/>
          <w:sz w:val="24"/>
          <w:szCs w:val="24"/>
        </w:rPr>
      </w:r>
      <w:r>
        <w:rPr>
          <w:rFonts w:ascii="Times New Roman" w:hAnsi="Times New Roman" w:cs="Times New Roman"/>
          <w:i/>
          <w:iCs/>
          <w:sz w:val="24"/>
          <w:szCs w:val="24"/>
        </w:rPr>
      </w:r>
    </w:p>
    <w:p>
      <w:pPr>
        <w:pStyle w:val="1023"/>
        <w:pBdr/>
        <w:spacing/>
        <w:ind/>
        <w:rPr/>
      </w:pPr>
      <w:r/>
      <w:bookmarkStart w:id="42" w:name="_Toc204182512"/>
      <w:r/>
      <w:bookmarkStart w:id="43" w:name="_Toc233188281"/>
      <w:r>
        <w:t xml:space="preserve">Требования к документации по ценообразованию на этапе закупки</w:t>
      </w:r>
      <w:bookmarkEnd w:id="42"/>
      <w:r/>
      <w:bookmarkEnd w:id="43"/>
      <w:r/>
      <w:r/>
    </w:p>
    <w:p>
      <w:pPr>
        <w:pStyle w:val="1041"/>
        <w:pBdr/>
        <w:spacing/>
        <w:ind/>
        <w:jc w:val="both"/>
        <w:rPr/>
      </w:pPr>
      <w:r>
        <w:t xml:space="preserve">3.1. В обоснование стоимости своей заявки Участник предоставляет Коммерческое предложение по форме </w:t>
      </w:r>
      <w:bookmarkStart w:id="44" w:name="_Hlk88325985"/>
      <w:r>
        <w:t xml:space="preserve">(с учетом прилагаемой к ней инструкции по заполнению)</w:t>
      </w:r>
      <w:bookmarkEnd w:id="44"/>
      <w:r>
        <w:t xml:space="preserve">, приведенной в Документации о закупке.</w:t>
      </w:r>
      <w:r/>
    </w:p>
    <w:p>
      <w:pPr>
        <w:pStyle w:val="1041"/>
        <w:pBdr/>
        <w:spacing/>
        <w:ind/>
        <w:rPr>
          <w:highlight w:val="none"/>
        </w:rPr>
      </w:pPr>
      <w:r>
        <w:t xml:space="preserve">3.2. Дополнительные документы по ценообразованию в состав заявки не включаются.</w:t>
      </w:r>
      <w:r>
        <w:rPr>
          <w:highlight w:val="none"/>
        </w:rPr>
      </w:r>
    </w:p>
    <w:p>
      <w:pPr>
        <w:pStyle w:val="1041"/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14"/>
      <w:headerReference w:type="first" r:id="rId15"/>
      <w:footnotePr/>
      <w:endnotePr/>
      <w:type w:val="nextPage"/>
      <w:pgSz w:h="16838" w:orient="portrait" w:w="11906"/>
      <w:pgMar w:top="1134" w:right="851" w:bottom="992" w:left="1135" w:header="680" w:footer="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Liberation Serif">
    <w:panose1 w:val="02020603050405020304"/>
  </w:font>
  <w:font w:name="Calibri Light (Заголовки)">
    <w:panose1 w:val="020F050202020403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1025"/>
                            <w:pBdr/>
                            <w:spacing/>
                            <w:ind/>
                            <w:rPr>
                              <w:rStyle w:val="987"/>
                            </w:rPr>
                          </w:pPr>
                          <w:r>
                            <w:rPr>
                              <w:rStyle w:val="987"/>
                            </w:rPr>
                            <w:fldChar w:fldCharType="begin"/>
                          </w:r>
                          <w:r>
                            <w:rPr>
                              <w:rStyle w:val="987"/>
                            </w:rPr>
                            <w:instrText xml:space="preserve"> PAGE </w:instrText>
                          </w:r>
                          <w:r>
                            <w:rPr>
                              <w:rStyle w:val="987"/>
                            </w:rPr>
                            <w:fldChar w:fldCharType="separate"/>
                          </w:r>
                          <w:r>
                            <w:rPr>
                              <w:rStyle w:val="987"/>
                            </w:rPr>
                            <w:t xml:space="preserve">0</w:t>
                          </w:r>
                          <w:r>
                            <w:rPr>
                              <w:rStyle w:val="987"/>
                            </w:rPr>
                            <w:fldChar w:fldCharType="end"/>
                          </w:r>
                          <w:r>
                            <w:rPr>
                              <w:rStyle w:val="987"/>
                            </w:rPr>
                          </w:r>
                          <w:r>
                            <w:rPr>
                              <w:rStyle w:val="98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025"/>
                      <w:pBdr/>
                      <w:spacing/>
                      <w:ind/>
                      <w:rPr>
                        <w:rStyle w:val="987"/>
                      </w:rPr>
                    </w:pPr>
                    <w:r>
                      <w:rPr>
                        <w:rStyle w:val="987"/>
                      </w:rPr>
                      <w:fldChar w:fldCharType="begin"/>
                    </w:r>
                    <w:r>
                      <w:rPr>
                        <w:rStyle w:val="987"/>
                      </w:rPr>
                      <w:instrText xml:space="preserve"> PAGE </w:instrText>
                    </w:r>
                    <w:r>
                      <w:rPr>
                        <w:rStyle w:val="987"/>
                      </w:rPr>
                      <w:fldChar w:fldCharType="separate"/>
                    </w:r>
                    <w:r>
                      <w:rPr>
                        <w:rStyle w:val="987"/>
                      </w:rPr>
                      <w:t xml:space="preserve">0</w:t>
                    </w:r>
                    <w:r>
                      <w:rPr>
                        <w:rStyle w:val="987"/>
                      </w:rPr>
                      <w:fldChar w:fldCharType="end"/>
                    </w:r>
                    <w:r>
                      <w:rPr>
                        <w:rStyle w:val="987"/>
                      </w:rPr>
                    </w:r>
                    <w:r>
                      <w:rPr>
                        <w:rStyle w:val="987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77</w:t>
    </w:r>
    <w:r>
      <w:fldChar w:fldCharType="end"/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spacing/>
      <w:ind/>
      <w:jc w:val="center"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0</w:t>
    </w:r>
    <w:r>
      <w:fldChar w:fldCharType="end"/>
    </w:r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russianLower"/>
      <w:pPr>
        <w:pBdr/>
        <w:tabs>
          <w:tab w:val="num" w:leader="none" w:pos="0"/>
        </w:tabs>
        <w:spacing/>
        <w:ind w:hanging="360" w:left="73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5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7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9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1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3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5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7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92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5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7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9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91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3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5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7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9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519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b/>
        <w:bCs w:val="0"/>
        <w:sz w:val="24"/>
        <w:szCs w:val="24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firstLine="0" w:left="0"/>
      </w:pPr>
      <w:rPr>
        <w:b/>
        <w:bCs/>
        <w:color w:val="000000"/>
        <w:sz w:val="20"/>
        <w:szCs w:val="24"/>
      </w:rPr>
      <w:start w:val="3"/>
      <w:suff w:val="space"/>
    </w:lvl>
    <w:lvl w:ilvl="2">
      <w:isLgl w:val="false"/>
      <w:lvlJc w:val="left"/>
      <w:lvlText w:val="%1.4.%3."/>
      <w:numFmt w:val="decimal"/>
      <w:pPr>
        <w:pBdr/>
        <w:tabs>
          <w:tab w:val="num" w:leader="none" w:pos="0"/>
        </w:tabs>
        <w:spacing/>
        <w:ind w:firstLine="0" w:left="0"/>
      </w:pPr>
      <w:rPr>
        <w:b w:val="0"/>
        <w:color w:val="000000"/>
        <w:sz w:val="20"/>
        <w:szCs w:val="2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spacing/>
        <w:ind w:hanging="360" w:left="663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83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03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23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4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63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83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0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23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b/>
        <w:bCs w:val="0"/>
        <w:sz w:val="24"/>
        <w:szCs w:val="24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851"/>
        </w:tabs>
        <w:spacing/>
        <w:ind w:firstLine="0" w:left="851"/>
      </w:pPr>
      <w:rPr>
        <w:b/>
        <w:bCs/>
        <w:color w:val="000000"/>
        <w:sz w:val="20"/>
        <w:szCs w:val="24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firstLine="0" w:left="0"/>
      </w:pPr>
      <w:rPr>
        <w:color w:val="000000"/>
        <w:sz w:val="20"/>
        <w:szCs w:val="2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color w:val="000000" w:themeColor="text1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686"/>
      </w:pPr>
      <w:rPr>
        <w:i w:val="0"/>
        <w:color w:val="000000" w:themeColor="text1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pStyle w:val="1023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644"/>
      </w:pPr>
      <w:pStyle w:val="1035"/>
      <w:rPr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080"/>
      </w:pPr>
      <w:pStyle w:val="1042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0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4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8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216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color w:val="000000" w:themeColor="text1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686"/>
      </w:pPr>
      <w:rPr>
        <w:i w:val="0"/>
        <w:color w:val="000000" w:themeColor="text1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6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12"/>
      </w:pPr>
      <w:rPr/>
      <w:start w:val="1"/>
      <w:suff w:val="tab"/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0"/>
    <w:lvlOverride w:ilvl="0">
      <w:startOverride w:val="1"/>
    </w:lvlOverride>
  </w:num>
  <w:num w:numId="5">
    <w:abstractNumId w:val="12"/>
  </w:num>
  <w:num w:numId="6">
    <w:abstractNumId w:val="1"/>
  </w:num>
  <w:num w:numId="7">
    <w:abstractNumId w:val="11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2"/>
    <w:lvlOverride w:ilvl="0">
      <w:startOverride w:val="1"/>
    </w:lvlOverride>
  </w:num>
  <w:num w:numId="13">
    <w:abstractNumId w:val="15"/>
  </w:num>
  <w:num w:numId="14">
    <w:abstractNumId w:val="13"/>
  </w:num>
  <w:num w:numId="15">
    <w:abstractNumId w:val="5"/>
  </w:num>
  <w:num w:numId="16">
    <w:abstractNumId w:val="4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5">
    <w:name w:val="Heading 1 Char"/>
    <w:basedOn w:val="963"/>
    <w:link w:val="9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36">
    <w:name w:val="Heading 2 Char"/>
    <w:basedOn w:val="963"/>
    <w:link w:val="9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37">
    <w:name w:val="Heading 3 Char"/>
    <w:basedOn w:val="963"/>
    <w:link w:val="9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38">
    <w:name w:val="Heading 4 Char"/>
    <w:basedOn w:val="963"/>
    <w:link w:val="95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9">
    <w:name w:val="Heading 5 Char"/>
    <w:basedOn w:val="963"/>
    <w:link w:val="9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0">
    <w:name w:val="Heading 6 Char"/>
    <w:basedOn w:val="963"/>
    <w:link w:val="95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1">
    <w:name w:val="Heading 7 Char"/>
    <w:basedOn w:val="963"/>
    <w:link w:val="9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2">
    <w:name w:val="Heading 8 Char"/>
    <w:basedOn w:val="963"/>
    <w:link w:val="9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3">
    <w:name w:val="Heading 9 Char"/>
    <w:basedOn w:val="963"/>
    <w:link w:val="9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4">
    <w:name w:val="Title Char"/>
    <w:basedOn w:val="963"/>
    <w:link w:val="10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45">
    <w:name w:val="Subtitle Char"/>
    <w:basedOn w:val="963"/>
    <w:link w:val="10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6">
    <w:name w:val="Quote Char"/>
    <w:basedOn w:val="963"/>
    <w:link w:val="103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47">
    <w:name w:val="Intense Quote Char"/>
    <w:basedOn w:val="963"/>
    <w:link w:val="103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8">
    <w:name w:val="Header Char"/>
    <w:basedOn w:val="963"/>
    <w:link w:val="1025"/>
    <w:uiPriority w:val="99"/>
    <w:pPr>
      <w:pBdr/>
      <w:spacing/>
      <w:ind/>
    </w:pPr>
  </w:style>
  <w:style w:type="character" w:styleId="949">
    <w:name w:val="Footer Char"/>
    <w:basedOn w:val="963"/>
    <w:link w:val="1027"/>
    <w:uiPriority w:val="99"/>
    <w:pPr>
      <w:pBdr/>
      <w:spacing/>
      <w:ind/>
    </w:pPr>
  </w:style>
  <w:style w:type="character" w:styleId="950">
    <w:name w:val="Footnote Text Char"/>
    <w:basedOn w:val="963"/>
    <w:link w:val="1022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Text Char"/>
    <w:basedOn w:val="963"/>
    <w:link w:val="1043"/>
    <w:uiPriority w:val="99"/>
    <w:semiHidden/>
    <w:pPr>
      <w:pBdr/>
      <w:spacing/>
      <w:ind/>
    </w:pPr>
    <w:rPr>
      <w:sz w:val="20"/>
      <w:szCs w:val="20"/>
    </w:rPr>
  </w:style>
  <w:style w:type="paragraph" w:styleId="952">
    <w:name w:val="table of figures"/>
    <w:basedOn w:val="953"/>
    <w:next w:val="953"/>
    <w:uiPriority w:val="99"/>
    <w:unhideWhenUsed/>
    <w:pPr>
      <w:pBdr/>
      <w:spacing w:after="0" w:afterAutospacing="0"/>
      <w:ind/>
    </w:pPr>
  </w:style>
  <w:style w:type="paragraph" w:styleId="953" w:default="1">
    <w:name w:val="Normal"/>
    <w:qFormat/>
    <w:pPr>
      <w:pBdr/>
      <w:spacing w:after="160" w:line="259" w:lineRule="auto"/>
      <w:ind/>
    </w:pPr>
  </w:style>
  <w:style w:type="paragraph" w:styleId="954">
    <w:name w:val="Heading 1"/>
    <w:basedOn w:val="953"/>
    <w:next w:val="953"/>
    <w:link w:val="966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5">
    <w:name w:val="Heading 2"/>
    <w:basedOn w:val="953"/>
    <w:next w:val="953"/>
    <w:link w:val="967"/>
    <w:uiPriority w:val="9"/>
    <w:semiHidden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956">
    <w:name w:val="Heading 3"/>
    <w:basedOn w:val="953"/>
    <w:next w:val="953"/>
    <w:link w:val="968"/>
    <w:uiPriority w:val="9"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957">
    <w:name w:val="Heading 4"/>
    <w:basedOn w:val="953"/>
    <w:next w:val="953"/>
    <w:link w:val="969"/>
    <w:uiPriority w:val="9"/>
    <w:semiHidden/>
    <w:unhideWhenUsed/>
    <w:qFormat/>
    <w:pPr>
      <w:keepNext w:val="true"/>
      <w:keepLines w:val="true"/>
      <w:pBdr/>
      <w:spacing w:after="0" w:before="40"/>
      <w:ind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958">
    <w:name w:val="Heading 5"/>
    <w:basedOn w:val="953"/>
    <w:next w:val="953"/>
    <w:link w:val="970"/>
    <w:uiPriority w:val="9"/>
    <w:semiHidden/>
    <w:unhideWhenUsed/>
    <w:qFormat/>
    <w:pPr>
      <w:keepNext w:val="true"/>
      <w:keepLines w:val="true"/>
      <w:pBdr/>
      <w:spacing w:after="0" w:before="40"/>
      <w:ind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959">
    <w:name w:val="Heading 6"/>
    <w:basedOn w:val="953"/>
    <w:next w:val="953"/>
    <w:link w:val="971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60">
    <w:name w:val="Heading 7"/>
    <w:basedOn w:val="953"/>
    <w:next w:val="953"/>
    <w:link w:val="972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paragraph" w:styleId="961">
    <w:name w:val="Heading 8"/>
    <w:basedOn w:val="953"/>
    <w:next w:val="953"/>
    <w:link w:val="973"/>
    <w:uiPriority w:val="9"/>
    <w:semiHidden/>
    <w:unhideWhenUsed/>
    <w:qFormat/>
    <w:pPr>
      <w:keepNext w:val="true"/>
      <w:keepLines w:val="true"/>
      <w:pBdr/>
      <w:spacing w:after="0" w:before="40"/>
      <w:ind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962">
    <w:name w:val="Heading 9"/>
    <w:basedOn w:val="953"/>
    <w:next w:val="953"/>
    <w:link w:val="974"/>
    <w:uiPriority w:val="9"/>
    <w:semiHidden/>
    <w:unhideWhenUsed/>
    <w:qFormat/>
    <w:pPr>
      <w:keepNext w:val="true"/>
      <w:keepLines w:val="true"/>
      <w:pBdr/>
      <w:spacing w:after="0" w:before="40"/>
      <w:ind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character" w:styleId="966" w:customStyle="1">
    <w:name w:val="Заголовок 1 Знак"/>
    <w:basedOn w:val="963"/>
    <w:link w:val="954"/>
    <w:uiPriority w:val="9"/>
    <w:qFormat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67" w:customStyle="1">
    <w:name w:val="Заголовок 2 Знак"/>
    <w:basedOn w:val="963"/>
    <w:link w:val="955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968" w:customStyle="1">
    <w:name w:val="Заголовок 3 Знак"/>
    <w:basedOn w:val="963"/>
    <w:link w:val="956"/>
    <w:uiPriority w:val="9"/>
    <w:qFormat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969" w:customStyle="1">
    <w:name w:val="Заголовок 4 Знак"/>
    <w:basedOn w:val="963"/>
    <w:link w:val="957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character" w:styleId="970" w:customStyle="1">
    <w:name w:val="Заголовок 5 Знак"/>
    <w:basedOn w:val="963"/>
    <w:link w:val="958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971" w:customStyle="1">
    <w:name w:val="Заголовок 6 Знак"/>
    <w:basedOn w:val="963"/>
    <w:link w:val="959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972" w:customStyle="1">
    <w:name w:val="Заголовок 7 Знак"/>
    <w:basedOn w:val="963"/>
    <w:link w:val="960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973" w:customStyle="1">
    <w:name w:val="Заголовок 8 Знак"/>
    <w:basedOn w:val="963"/>
    <w:link w:val="961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974" w:customStyle="1">
    <w:name w:val="Заголовок 9 Знак"/>
    <w:basedOn w:val="963"/>
    <w:link w:val="962"/>
    <w:uiPriority w:val="9"/>
    <w:semiHidden/>
    <w:qFormat/>
    <w:pPr>
      <w:pBdr/>
      <w:spacing/>
      <w:ind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975" w:customStyle="1">
    <w:name w:val="Текст сноски Знак"/>
    <w:basedOn w:val="963"/>
    <w:link w:val="1022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76" w:customStyle="1">
    <w:name w:val="h1 Знак"/>
    <w:basedOn w:val="966"/>
    <w:link w:val="1023"/>
    <w:qFormat/>
    <w:pPr>
      <w:pBdr/>
      <w:spacing/>
      <w:ind/>
    </w:pPr>
    <w:rPr>
      <w:rFonts w:ascii="Times New Roman" w:hAnsi="Times New Roman" w:cs="Times New Roman" w:eastAsiaTheme="majorEastAsia"/>
      <w:b/>
      <w:color w:val="2e74b5" w:themeColor="accent1" w:themeShade="BF"/>
      <w:sz w:val="28"/>
      <w:szCs w:val="28"/>
    </w:rPr>
  </w:style>
  <w:style w:type="character" w:styleId="977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78">
    <w:name w:val="footnote reference"/>
    <w:pPr>
      <w:pBdr/>
      <w:spacing/>
      <w:ind/>
    </w:pPr>
    <w:rPr>
      <w:vertAlign w:val="superscript"/>
    </w:rPr>
  </w:style>
  <w:style w:type="character" w:styleId="979" w:customStyle="1">
    <w:name w:val="Верхний колонтитул Знак"/>
    <w:basedOn w:val="963"/>
    <w:link w:val="1025"/>
    <w:uiPriority w:val="99"/>
    <w:qFormat/>
    <w:pPr>
      <w:pBdr/>
      <w:spacing/>
      <w:ind/>
    </w:pPr>
    <w:rPr>
      <w:rFonts w:ascii="Times New Roman" w:hAnsi="Times New Roman" w:eastAsia="Times New Roman" w:cs="Times New Roman"/>
      <w:lang w:eastAsia="ru-RU"/>
    </w:rPr>
  </w:style>
  <w:style w:type="character" w:styleId="980" w:customStyle="1">
    <w:name w:val="Основной текст с отступом Знак"/>
    <w:basedOn w:val="963"/>
    <w:link w:val="1026"/>
    <w:qFormat/>
    <w:pPr>
      <w:pBdr/>
      <w:spacing/>
      <w:ind/>
    </w:pPr>
    <w:rPr>
      <w:rFonts w:ascii="Times New Roman" w:hAnsi="Times New Roman" w:eastAsia="Times New Roman" w:cs="Times New Roman"/>
      <w:lang w:eastAsia="ru-RU"/>
    </w:rPr>
  </w:style>
  <w:style w:type="character" w:styleId="981" w:customStyle="1">
    <w:name w:val="Нижний колонтитул Знак"/>
    <w:basedOn w:val="963"/>
    <w:link w:val="1027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82" w:customStyle="1">
    <w:name w:val="Основной текст Знак"/>
    <w:basedOn w:val="963"/>
    <w:link w:val="1018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83" w:customStyle="1">
    <w:name w:val="Основной текст с отступом 2 Знак"/>
    <w:basedOn w:val="963"/>
    <w:link w:val="1028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84" w:customStyle="1">
    <w:name w:val="Основной текст 3 Знак"/>
    <w:basedOn w:val="963"/>
    <w:link w:val="1029"/>
    <w:qFormat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85" w:customStyle="1">
    <w:name w:val="Основной текст с отступом 3 Знак"/>
    <w:basedOn w:val="963"/>
    <w:link w:val="1030"/>
    <w:qFormat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986" w:customStyle="1">
    <w:name w:val="Основной текст 2 Знак"/>
    <w:basedOn w:val="963"/>
    <w:link w:val="1031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87">
    <w:name w:val="page number"/>
    <w:basedOn w:val="963"/>
    <w:qFormat/>
    <w:pPr>
      <w:pBdr/>
      <w:spacing/>
      <w:ind/>
    </w:pPr>
  </w:style>
  <w:style w:type="character" w:styleId="988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989" w:customStyle="1">
    <w:name w:val="Текст выноски Знак"/>
    <w:basedOn w:val="963"/>
    <w:link w:val="1032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990">
    <w:name w:val="annotation reference"/>
    <w:uiPriority w:val="99"/>
    <w:semiHidden/>
    <w:qFormat/>
    <w:pPr>
      <w:pBdr/>
      <w:spacing/>
      <w:ind/>
    </w:pPr>
    <w:rPr>
      <w:sz w:val="16"/>
      <w:szCs w:val="16"/>
    </w:rPr>
  </w:style>
  <w:style w:type="character" w:styleId="991" w:customStyle="1">
    <w:name w:val="Текст примечания Знак"/>
    <w:basedOn w:val="963"/>
    <w:link w:val="1033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2" w:customStyle="1">
    <w:name w:val="Тема примечания Знак"/>
    <w:basedOn w:val="991"/>
    <w:link w:val="1034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993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94" w:customStyle="1">
    <w:name w:val="h2 Знак"/>
    <w:basedOn w:val="967"/>
    <w:link w:val="1035"/>
    <w:qFormat/>
    <w:pPr>
      <w:pBdr/>
      <w:spacing/>
      <w:ind/>
    </w:pPr>
    <w:rPr>
      <w:rFonts w:ascii="Times New Roman" w:hAnsi="Times New Roman" w:cs="Times New Roman" w:eastAsiaTheme="majorEastAsia"/>
      <w:b/>
      <w:bCs/>
      <w:color w:val="2e74b5" w:themeColor="accent1" w:themeShade="BF"/>
      <w:sz w:val="26"/>
      <w:szCs w:val="26"/>
    </w:rPr>
  </w:style>
  <w:style w:type="character" w:styleId="995" w:customStyle="1">
    <w:name w:val="Подзаголовок Знак"/>
    <w:basedOn w:val="963"/>
    <w:link w:val="1036"/>
    <w:uiPriority w:val="11"/>
    <w:qFormat/>
    <w:pPr>
      <w:pBdr/>
      <w:spacing/>
      <w:ind/>
    </w:pPr>
    <w:rPr>
      <w:rFonts w:eastAsiaTheme="minorEastAsia"/>
      <w:color w:val="5a5a5a" w:themeColor="text1" w:themeTint="A5"/>
      <w:spacing w:val="15"/>
    </w:rPr>
  </w:style>
  <w:style w:type="character" w:styleId="996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97" w:customStyle="1">
    <w:name w:val="Цитата 2 Знак"/>
    <w:basedOn w:val="963"/>
    <w:link w:val="103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998" w:customStyle="1">
    <w:name w:val="Выделенная цитата Знак"/>
    <w:basedOn w:val="963"/>
    <w:link w:val="1038"/>
    <w:uiPriority w:val="30"/>
    <w:qFormat/>
    <w:pPr>
      <w:pBdr/>
      <w:spacing/>
      <w:ind/>
    </w:pPr>
    <w:rPr>
      <w:i/>
      <w:iCs/>
      <w:color w:val="5b9bd5" w:themeColor="accent1"/>
    </w:rPr>
  </w:style>
  <w:style w:type="character" w:styleId="999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00">
    <w:name w:val="Intense Emphasis"/>
    <w:basedOn w:val="963"/>
    <w:uiPriority w:val="21"/>
    <w:qFormat/>
    <w:pPr>
      <w:pBdr/>
      <w:spacing/>
      <w:ind/>
    </w:pPr>
    <w:rPr>
      <w:i/>
      <w:iCs/>
      <w:color w:val="5b9bd5" w:themeColor="accent1"/>
    </w:rPr>
  </w:style>
  <w:style w:type="character" w:styleId="1001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02">
    <w:name w:val="Intense Reference"/>
    <w:basedOn w:val="963"/>
    <w:uiPriority w:val="32"/>
    <w:qFormat/>
    <w:pPr>
      <w:pBdr/>
      <w:spacing/>
      <w:ind/>
    </w:pPr>
    <w:rPr>
      <w:b/>
      <w:bCs/>
      <w:smallCaps/>
      <w:color w:val="5b9bd5" w:themeColor="accent1"/>
      <w:spacing w:val="5"/>
    </w:rPr>
  </w:style>
  <w:style w:type="character" w:styleId="1003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04" w:customStyle="1">
    <w:name w:val="Электронная подпись Знак"/>
    <w:basedOn w:val="963"/>
    <w:link w:val="1039"/>
    <w:uiPriority w:val="99"/>
    <w:qFormat/>
    <w:pPr>
      <w:pBdr/>
      <w:spacing/>
      <w:ind/>
    </w:pPr>
    <w:rPr>
      <w:rFonts w:ascii="Times New Roman" w:hAnsi="Times New Roman" w:eastAsia="Calibri" w:cs="Times New Roman"/>
    </w:rPr>
  </w:style>
  <w:style w:type="character" w:styleId="1005" w:customStyle="1">
    <w:name w:val="blk"/>
    <w:qFormat/>
    <w:pPr>
      <w:pBdr/>
      <w:spacing/>
      <w:ind/>
    </w:pPr>
  </w:style>
  <w:style w:type="character" w:styleId="1006" w:customStyle="1">
    <w:name w:val="Абзац списка Знак"/>
    <w:link w:val="1040"/>
    <w:uiPriority w:val="34"/>
    <w:qFormat/>
    <w:pPr>
      <w:pBdr/>
      <w:spacing/>
      <w:ind/>
    </w:pPr>
  </w:style>
  <w:style w:type="character" w:styleId="1007" w:customStyle="1">
    <w:name w:val="txt Знак"/>
    <w:basedOn w:val="963"/>
    <w:link w:val="1041"/>
    <w:qFormat/>
    <w:pPr>
      <w:pBdr/>
      <w:spacing/>
      <w:ind/>
    </w:pPr>
    <w:rPr>
      <w:rFonts w:ascii="Times New Roman" w:hAnsi="Times New Roman" w:cs="Times New Roman"/>
    </w:rPr>
  </w:style>
  <w:style w:type="character" w:styleId="1008" w:customStyle="1">
    <w:name w:val="h3 Знак"/>
    <w:basedOn w:val="968"/>
    <w:link w:val="1042"/>
    <w:qFormat/>
    <w:pPr>
      <w:pBdr/>
      <w:spacing/>
      <w:ind/>
    </w:pPr>
    <w:rPr>
      <w:rFonts w:ascii="Times New Roman" w:hAnsi="Times New Roman" w:cs="Times New Roman" w:eastAsiaTheme="majorEastAsia"/>
      <w:bCs/>
      <w:color w:val="1f4d78" w:themeColor="accent1" w:themeShade="7F"/>
      <w:sz w:val="24"/>
      <w:szCs w:val="24"/>
    </w:rPr>
  </w:style>
  <w:style w:type="character" w:styleId="1009" w:customStyle="1">
    <w:name w:val="Текст концевой сноски Знак"/>
    <w:basedOn w:val="963"/>
    <w:link w:val="1043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0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1011">
    <w:name w:val="endnote reference"/>
    <w:pPr>
      <w:pBdr/>
      <w:spacing/>
      <w:ind/>
    </w:pPr>
    <w:rPr>
      <w:vertAlign w:val="superscript"/>
    </w:rPr>
  </w:style>
  <w:style w:type="character" w:styleId="1012" w:customStyle="1">
    <w:name w:val="t_n Знак"/>
    <w:basedOn w:val="1007"/>
    <w:link w:val="1044"/>
    <w:qFormat/>
    <w:pPr>
      <w:pBdr/>
      <w:spacing/>
      <w:ind/>
    </w:pPr>
    <w:rPr>
      <w:rFonts w:ascii="Times New Roman" w:hAnsi="Times New Roman" w:cs="Times New Roman"/>
    </w:rPr>
  </w:style>
  <w:style w:type="character" w:styleId="1013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014" w:customStyle="1">
    <w:name w:val="Заголовок Знак"/>
    <w:basedOn w:val="963"/>
    <w:link w:val="1017"/>
    <w:uiPriority w:val="10"/>
    <w:qFormat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15" w:customStyle="1">
    <w:name w:val="Ссылка указателя"/>
    <w:qFormat/>
    <w:pPr>
      <w:pBdr/>
      <w:spacing/>
      <w:ind/>
    </w:pPr>
  </w:style>
  <w:style w:type="character" w:styleId="1016">
    <w:name w:val="line number"/>
    <w:qFormat/>
    <w:pPr>
      <w:pBdr/>
      <w:spacing/>
      <w:ind/>
    </w:pPr>
  </w:style>
  <w:style w:type="paragraph" w:styleId="1017">
    <w:name w:val="Title"/>
    <w:basedOn w:val="953"/>
    <w:next w:val="1018"/>
    <w:link w:val="1014"/>
    <w:uiPriority w:val="10"/>
    <w:qFormat/>
    <w:pPr>
      <w:pBdr/>
      <w:spacing w:after="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1018">
    <w:name w:val="Body Text"/>
    <w:basedOn w:val="953"/>
    <w:link w:val="982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19">
    <w:name w:val="List"/>
    <w:basedOn w:val="1018"/>
    <w:pPr>
      <w:pBdr/>
      <w:spacing/>
      <w:ind/>
    </w:pPr>
  </w:style>
  <w:style w:type="paragraph" w:styleId="1020">
    <w:name w:val="Caption"/>
    <w:basedOn w:val="953"/>
    <w:qFormat/>
    <w:pPr>
      <w:suppressLineNumbers w:val="true"/>
      <w:pBdr/>
      <w:spacing w:after="120" w:before="120"/>
      <w:ind/>
    </w:pPr>
    <w:rPr>
      <w:rFonts w:cs="Arial Unicode MS"/>
      <w:i/>
      <w:iCs/>
      <w:sz w:val="24"/>
      <w:szCs w:val="24"/>
    </w:rPr>
  </w:style>
  <w:style w:type="paragraph" w:styleId="1021">
    <w:name w:val="index heading"/>
    <w:basedOn w:val="1017"/>
    <w:pPr>
      <w:pBdr/>
      <w:spacing/>
      <w:ind/>
    </w:pPr>
  </w:style>
  <w:style w:type="paragraph" w:styleId="1022">
    <w:name w:val="footnote text"/>
    <w:basedOn w:val="953"/>
    <w:link w:val="975"/>
    <w:uiPriority w:val="99"/>
    <w:pPr>
      <w:pBdr/>
      <w:spacing w:after="0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3" w:customStyle="1">
    <w:name w:val="h1"/>
    <w:basedOn w:val="954"/>
    <w:link w:val="976"/>
    <w:qFormat/>
    <w:pPr>
      <w:numPr>
        <w:numId w:val="2"/>
      </w:numPr>
      <w:pBdr/>
      <w:spacing w:after="60" w:before="120"/>
      <w:ind/>
      <w:jc w:val="center"/>
    </w:pPr>
    <w:rPr>
      <w:rFonts w:ascii="Times New Roman" w:hAnsi="Times New Roman" w:cs="Times New Roman"/>
      <w:b/>
      <w:color w:val="auto"/>
      <w:sz w:val="28"/>
      <w:szCs w:val="28"/>
    </w:rPr>
  </w:style>
  <w:style w:type="paragraph" w:styleId="1024" w:customStyle="1">
    <w:name w:val="Колонтитул"/>
    <w:basedOn w:val="953"/>
    <w:qFormat/>
    <w:pPr>
      <w:pBdr/>
      <w:spacing/>
      <w:ind/>
    </w:pPr>
  </w:style>
  <w:style w:type="paragraph" w:styleId="1025">
    <w:name w:val="Header"/>
    <w:basedOn w:val="953"/>
    <w:link w:val="979"/>
    <w:uiPriority w:val="99"/>
    <w:pPr>
      <w:pBdr/>
      <w:tabs>
        <w:tab w:val="center" w:leader="none" w:pos="4677"/>
        <w:tab w:val="right" w:leader="none" w:pos="9355"/>
      </w:tabs>
      <w:spacing w:after="0"/>
      <w:ind/>
    </w:pPr>
    <w:rPr>
      <w:rFonts w:ascii="Times New Roman" w:hAnsi="Times New Roman" w:eastAsia="Times New Roman" w:cs="Times New Roman"/>
      <w:lang w:eastAsia="ru-RU"/>
    </w:rPr>
  </w:style>
  <w:style w:type="paragraph" w:styleId="1026">
    <w:name w:val="Body Text Indent"/>
    <w:basedOn w:val="953"/>
    <w:link w:val="980"/>
    <w:pPr>
      <w:pBdr/>
      <w:spacing w:after="0"/>
      <w:ind w:left="360"/>
    </w:pPr>
    <w:rPr>
      <w:rFonts w:ascii="Times New Roman" w:hAnsi="Times New Roman" w:eastAsia="Times New Roman" w:cs="Times New Roman"/>
      <w:lang w:eastAsia="ru-RU"/>
    </w:rPr>
  </w:style>
  <w:style w:type="paragraph" w:styleId="1027">
    <w:name w:val="Footer"/>
    <w:basedOn w:val="953"/>
    <w:link w:val="981"/>
    <w:pPr>
      <w:pBdr/>
      <w:tabs>
        <w:tab w:val="center" w:leader="none" w:pos="4677"/>
        <w:tab w:val="right" w:leader="none" w:pos="9355"/>
      </w:tabs>
      <w:spacing w:after="0"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28">
    <w:name w:val="Body Text Indent 2"/>
    <w:basedOn w:val="953"/>
    <w:link w:val="983"/>
    <w:qFormat/>
    <w:pPr>
      <w:pBdr/>
      <w:spacing w:line="480" w:lineRule="auto"/>
      <w:ind w:left="283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29">
    <w:name w:val="Body Text 3"/>
    <w:basedOn w:val="953"/>
    <w:link w:val="984"/>
    <w:qFormat/>
    <w:pPr>
      <w:pBdr/>
      <w:spacing/>
      <w:ind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30">
    <w:name w:val="Body Text Indent 3"/>
    <w:basedOn w:val="953"/>
    <w:link w:val="985"/>
    <w:qFormat/>
    <w:pPr>
      <w:pBdr/>
      <w:spacing/>
      <w:ind w:left="283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1031">
    <w:name w:val="Body Text 2"/>
    <w:basedOn w:val="953"/>
    <w:link w:val="986"/>
    <w:qFormat/>
    <w:pPr>
      <w:pBdr/>
      <w:spacing w:line="480" w:lineRule="auto"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032">
    <w:name w:val="Balloon Text"/>
    <w:basedOn w:val="953"/>
    <w:link w:val="989"/>
    <w:semiHidden/>
    <w:qFormat/>
    <w:pPr>
      <w:pBdr/>
      <w:spacing w:after="0"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1033">
    <w:name w:val="annotation text"/>
    <w:basedOn w:val="953"/>
    <w:link w:val="991"/>
    <w:uiPriority w:val="99"/>
    <w:semiHidden/>
    <w:qFormat/>
    <w:pPr>
      <w:pBdr/>
      <w:spacing w:after="0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4">
    <w:name w:val="annotation subject"/>
    <w:basedOn w:val="1033"/>
    <w:next w:val="1033"/>
    <w:link w:val="992"/>
    <w:semiHidden/>
    <w:qFormat/>
    <w:pPr>
      <w:pBdr/>
      <w:spacing/>
      <w:ind/>
    </w:pPr>
    <w:rPr>
      <w:b/>
      <w:bCs/>
    </w:rPr>
  </w:style>
  <w:style w:type="paragraph" w:styleId="1035" w:customStyle="1">
    <w:name w:val="h2"/>
    <w:basedOn w:val="955"/>
    <w:link w:val="994"/>
    <w:qFormat/>
    <w:pPr>
      <w:numPr>
        <w:ilvl w:val="1"/>
        <w:numId w:val="2"/>
      </w:numPr>
      <w:pBdr/>
      <w:spacing w:after="60" w:before="120"/>
      <w:ind/>
      <w:outlineLvl w:val="3"/>
    </w:pPr>
    <w:rPr>
      <w:rFonts w:ascii="Times New Roman" w:hAnsi="Times New Roman" w:cs="Times New Roman"/>
      <w:b/>
      <w:bCs/>
      <w:color w:val="auto"/>
      <w:sz w:val="22"/>
    </w:rPr>
  </w:style>
  <w:style w:type="paragraph" w:styleId="1036">
    <w:name w:val="Subtitle"/>
    <w:basedOn w:val="953"/>
    <w:next w:val="953"/>
    <w:link w:val="995"/>
    <w:uiPriority w:val="11"/>
    <w:qFormat/>
    <w:pPr>
      <w:numPr>
        <w:ilvl w:val="1"/>
      </w:numPr>
      <w:pBdr/>
      <w:spacing/>
      <w:ind/>
    </w:pPr>
    <w:rPr>
      <w:rFonts w:eastAsiaTheme="minorEastAsia"/>
      <w:color w:val="5a5a5a" w:themeColor="text1" w:themeTint="A5"/>
      <w:spacing w:val="15"/>
    </w:rPr>
  </w:style>
  <w:style w:type="paragraph" w:styleId="1037">
    <w:name w:val="Quote"/>
    <w:basedOn w:val="953"/>
    <w:next w:val="953"/>
    <w:link w:val="997"/>
    <w:uiPriority w:val="29"/>
    <w:qFormat/>
    <w:pPr>
      <w:pBdr/>
      <w:spacing w:before="200"/>
      <w:ind w:right="864" w:left="864"/>
      <w:jc w:val="center"/>
    </w:pPr>
    <w:rPr>
      <w:i/>
      <w:iCs/>
      <w:color w:val="404040" w:themeColor="text1" w:themeTint="BF"/>
    </w:rPr>
  </w:style>
  <w:style w:type="paragraph" w:styleId="1038">
    <w:name w:val="Intense Quote"/>
    <w:basedOn w:val="953"/>
    <w:next w:val="953"/>
    <w:link w:val="998"/>
    <w:uiPriority w:val="30"/>
    <w:qFormat/>
    <w:pPr>
      <w:pBdr>
        <w:top w:val="single" w:color="5b9bd5" w:sz="4" w:space="10"/>
        <w:bottom w:val="single" w:color="5b9bd5" w:sz="4" w:space="10"/>
      </w:pBdr>
      <w:spacing w:after="360" w:before="360"/>
      <w:ind w:right="864" w:left="864"/>
      <w:jc w:val="center"/>
    </w:pPr>
    <w:rPr>
      <w:i/>
      <w:iCs/>
      <w:color w:val="5b9bd5" w:themeColor="accent1"/>
    </w:rPr>
  </w:style>
  <w:style w:type="paragraph" w:styleId="1039">
    <w:name w:val="E-mail Signature"/>
    <w:basedOn w:val="953"/>
    <w:link w:val="1004"/>
    <w:uiPriority w:val="99"/>
    <w:unhideWhenUsed/>
    <w:qFormat/>
    <w:pPr>
      <w:pBdr/>
      <w:spacing w:after="0"/>
      <w:ind/>
    </w:pPr>
    <w:rPr>
      <w:rFonts w:ascii="Times New Roman" w:hAnsi="Times New Roman" w:eastAsia="Calibri" w:cs="Times New Roman"/>
    </w:rPr>
  </w:style>
  <w:style w:type="paragraph" w:styleId="1040">
    <w:name w:val="List Paragraph"/>
    <w:basedOn w:val="953"/>
    <w:link w:val="1006"/>
    <w:uiPriority w:val="34"/>
    <w:qFormat/>
    <w:pPr>
      <w:pBdr/>
      <w:spacing/>
      <w:ind w:left="720"/>
      <w:contextualSpacing w:val="true"/>
    </w:pPr>
  </w:style>
  <w:style w:type="paragraph" w:styleId="1041" w:customStyle="1">
    <w:name w:val="txt"/>
    <w:basedOn w:val="953"/>
    <w:link w:val="1007"/>
    <w:qFormat/>
    <w:pPr>
      <w:pBdr/>
      <w:spacing w:after="0"/>
      <w:ind/>
    </w:pPr>
    <w:rPr>
      <w:rFonts w:ascii="Times New Roman" w:hAnsi="Times New Roman" w:cs="Times New Roman"/>
    </w:rPr>
  </w:style>
  <w:style w:type="paragraph" w:styleId="1042" w:customStyle="1">
    <w:name w:val="h3"/>
    <w:basedOn w:val="956"/>
    <w:next w:val="1041"/>
    <w:link w:val="1008"/>
    <w:qFormat/>
    <w:pPr>
      <w:numPr>
        <w:ilvl w:val="2"/>
        <w:numId w:val="2"/>
      </w:numPr>
      <w:pBdr/>
      <w:spacing w:after="60" w:before="120"/>
      <w:ind/>
      <w:outlineLvl w:val="3"/>
    </w:pPr>
    <w:rPr>
      <w:rFonts w:ascii="Times New Roman" w:hAnsi="Times New Roman" w:cs="Times New Roman"/>
      <w:bCs/>
      <w:color w:val="auto"/>
      <w:sz w:val="22"/>
      <w:szCs w:val="22"/>
    </w:rPr>
  </w:style>
  <w:style w:type="paragraph" w:styleId="1043">
    <w:name w:val="endnote text"/>
    <w:basedOn w:val="953"/>
    <w:link w:val="1009"/>
    <w:pPr>
      <w:pBdr/>
      <w:spacing w:after="0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44" w:customStyle="1">
    <w:name w:val="t_n"/>
    <w:basedOn w:val="1041"/>
    <w:link w:val="1012"/>
    <w:qFormat/>
    <w:pPr>
      <w:pBdr/>
      <w:spacing w:after="120" w:before="120"/>
      <w:ind/>
      <w:jc w:val="right"/>
    </w:pPr>
  </w:style>
  <w:style w:type="paragraph" w:styleId="1045" w:customStyle="1">
    <w:name w:val="caption1"/>
    <w:basedOn w:val="953"/>
    <w:qFormat/>
    <w:pPr>
      <w:suppressLineNumbers w:val="true"/>
      <w:pBdr/>
      <w:spacing w:after="120" w:before="120"/>
      <w:ind/>
    </w:pPr>
    <w:rPr>
      <w:rFonts w:cs="Arial Unicode MS"/>
      <w:i/>
      <w:iCs/>
      <w:sz w:val="24"/>
      <w:szCs w:val="24"/>
    </w:rPr>
  </w:style>
  <w:style w:type="paragraph" w:styleId="1046" w:customStyle="1">
    <w:name w:val="index heading1"/>
    <w:basedOn w:val="1017"/>
    <w:qFormat/>
    <w:pPr>
      <w:pBdr/>
      <w:spacing/>
      <w:ind/>
    </w:pPr>
  </w:style>
  <w:style w:type="paragraph" w:styleId="1047">
    <w:name w:val="Block Text"/>
    <w:basedOn w:val="953"/>
    <w:qFormat/>
    <w:pPr>
      <w:pBdr/>
      <w:spacing w:after="0"/>
      <w:ind w:right="-766" w:left="-567"/>
      <w:jc w:val="center"/>
    </w:pPr>
    <w:rPr>
      <w:rFonts w:ascii="Times New Roman" w:hAnsi="Times New Roman" w:eastAsia="Times New Roman" w:cs="Times New Roman"/>
      <w:b/>
      <w:bCs/>
      <w:szCs w:val="20"/>
      <w:lang w:eastAsia="ru-RU"/>
    </w:rPr>
  </w:style>
  <w:style w:type="paragraph" w:styleId="1048">
    <w:name w:val="toc 1"/>
    <w:basedOn w:val="953"/>
    <w:next w:val="953"/>
    <w:uiPriority w:val="39"/>
    <w:qFormat/>
    <w:pPr>
      <w:pBdr/>
      <w:tabs>
        <w:tab w:val="left" w:leader="none" w:pos="560"/>
        <w:tab w:val="right" w:leader="dot" w:pos="9911"/>
      </w:tabs>
      <w:spacing w:after="120" w:before="120"/>
      <w:ind/>
    </w:pPr>
    <w:rPr>
      <w:rFonts w:ascii="Times New Roman" w:hAnsi="Times New Roman" w:eastAsia="Times New Roman" w:cs="Calibri Light (Заголовки)"/>
      <w:bCs/>
      <w:lang w:eastAsia="ru-RU"/>
    </w:rPr>
  </w:style>
  <w:style w:type="paragraph" w:styleId="1049">
    <w:name w:val="toc 3"/>
    <w:basedOn w:val="953"/>
    <w:next w:val="953"/>
    <w:uiPriority w:val="39"/>
    <w:qFormat/>
    <w:pPr>
      <w:pBdr/>
      <w:tabs>
        <w:tab w:val="left" w:leader="none" w:pos="1120"/>
        <w:tab w:val="right" w:leader="dot" w:pos="9911"/>
      </w:tabs>
      <w:spacing w:after="0"/>
      <w:ind w:left="280"/>
    </w:pPr>
    <w:rPr>
      <w:rFonts w:ascii="Times New Roman" w:hAnsi="Times New Roman" w:eastAsia="Times New Roman" w:cs="Times New Roman"/>
      <w:b/>
      <w:sz w:val="20"/>
      <w:szCs w:val="20"/>
    </w:rPr>
  </w:style>
  <w:style w:type="paragraph" w:styleId="1050">
    <w:name w:val="toc 2"/>
    <w:basedOn w:val="953"/>
    <w:next w:val="953"/>
    <w:uiPriority w:val="39"/>
    <w:pPr>
      <w:pBdr/>
      <w:spacing w:after="120" w:before="120"/>
      <w:ind w:left="227"/>
    </w:pPr>
    <w:rPr>
      <w:rFonts w:ascii="Times New Roman" w:hAnsi="Times New Roman" w:eastAsia="Times New Roman" w:cs="Calibri"/>
      <w:bCs/>
      <w:szCs w:val="20"/>
      <w:lang w:eastAsia="ru-RU"/>
    </w:rPr>
  </w:style>
  <w:style w:type="paragraph" w:styleId="1051">
    <w:name w:val="toc 9"/>
    <w:basedOn w:val="953"/>
    <w:next w:val="953"/>
    <w:semiHidden/>
    <w:qFormat/>
    <w:pPr>
      <w:pBdr/>
      <w:spacing w:after="0"/>
      <w:ind w:left="1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52">
    <w:name w:val="toc 5"/>
    <w:basedOn w:val="953"/>
    <w:next w:val="953"/>
    <w:semiHidden/>
    <w:qFormat/>
    <w:pPr>
      <w:pBdr/>
      <w:spacing w:after="0"/>
      <w:ind w:left="8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53">
    <w:name w:val="toc 4"/>
    <w:basedOn w:val="953"/>
    <w:next w:val="953"/>
    <w:uiPriority w:val="39"/>
    <w:pPr>
      <w:pBdr/>
      <w:spacing w:after="0"/>
      <w:ind w:left="56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1054">
    <w:name w:val="No Spacing"/>
    <w:uiPriority w:val="1"/>
    <w:qFormat/>
    <w:pPr>
      <w:pBdr/>
      <w:spacing/>
      <w:ind/>
    </w:pPr>
  </w:style>
  <w:style w:type="paragraph" w:styleId="1055">
    <w:name w:val="TOC Heading"/>
    <w:basedOn w:val="954"/>
    <w:next w:val="953"/>
    <w:uiPriority w:val="39"/>
    <w:unhideWhenUsed/>
    <w:qFormat/>
    <w:pPr>
      <w:pBdr/>
      <w:spacing/>
      <w:ind/>
      <w:outlineLvl w:val="9"/>
    </w:pPr>
  </w:style>
  <w:style w:type="paragraph" w:styleId="1056">
    <w:name w:val="Revision"/>
    <w:uiPriority w:val="99"/>
    <w:semiHidden/>
    <w:qFormat/>
    <w:pPr>
      <w:pBdr/>
      <w:spacing/>
      <w:ind/>
    </w:pPr>
    <w:rPr>
      <w:rFonts w:ascii="Times New Roman" w:hAnsi="Times New Roman" w:cs="Times New Roman"/>
      <w:lang w:eastAsia="ru-RU"/>
    </w:rPr>
  </w:style>
  <w:style w:type="paragraph" w:styleId="1057">
    <w:name w:val="Normal (Web)"/>
    <w:basedOn w:val="953"/>
    <w:uiPriority w:val="99"/>
    <w:unhideWhenUsed/>
    <w:qFormat/>
    <w:pPr>
      <w:pBdr/>
      <w:spacing w:afterAutospacing="1" w:beforeAutospacing="1"/>
      <w:ind/>
    </w:pPr>
    <w:rPr>
      <w:rFonts w:ascii="Times New Roman" w:hAnsi="Times New Roman" w:eastAsia="Times New Roman" w:cs="Times New Roman"/>
      <w:lang w:eastAsia="ru-RU"/>
    </w:rPr>
  </w:style>
  <w:style w:type="paragraph" w:styleId="1058">
    <w:name w:val="toc 6"/>
    <w:basedOn w:val="953"/>
    <w:next w:val="953"/>
    <w:unhideWhenUsed/>
    <w:pPr>
      <w:pBdr/>
      <w:spacing w:after="0"/>
      <w:ind w:left="11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59">
    <w:name w:val="toc 7"/>
    <w:basedOn w:val="953"/>
    <w:next w:val="953"/>
    <w:unhideWhenUsed/>
    <w:pPr>
      <w:pBdr/>
      <w:spacing w:after="0"/>
      <w:ind w:left="14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60">
    <w:name w:val="toc 8"/>
    <w:basedOn w:val="953"/>
    <w:next w:val="953"/>
    <w:unhideWhenUsed/>
    <w:pPr>
      <w:pBdr/>
      <w:spacing w:after="0"/>
      <w:ind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1061">
    <w:name w:val="index 1"/>
    <w:basedOn w:val="953"/>
    <w:next w:val="953"/>
    <w:uiPriority w:val="99"/>
    <w:semiHidden/>
    <w:unhideWhenUsed/>
    <w:qFormat/>
    <w:pPr>
      <w:pBdr/>
      <w:spacing w:after="0" w:line="240" w:lineRule="auto"/>
      <w:ind w:hanging="220" w:left="220"/>
    </w:pPr>
  </w:style>
  <w:style w:type="paragraph" w:styleId="1062" w:customStyle="1">
    <w:name w:val="Содержимое врезки"/>
    <w:basedOn w:val="953"/>
    <w:qFormat/>
    <w:pPr>
      <w:pBdr/>
      <w:spacing/>
      <w:ind/>
    </w:pPr>
  </w:style>
  <w:style w:type="table" w:styleId="1063">
    <w:name w:val="Table Grid"/>
    <w:basedOn w:val="964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64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paragraph" w:styleId="1065" w:customStyle="1">
    <w:name w:val="Standard"/>
    <w:pPr>
      <w:pBdr/>
      <w:spacing/>
      <w:ind/>
    </w:pPr>
    <w:rPr>
      <w:rFonts w:ascii="Liberation Serif" w:hAnsi="Liberation Serif" w:eastAsia="Arial Unicode MS" w:cs="Arial Unicode MS"/>
      <w:sz w:val="24"/>
      <w:szCs w:val="24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customXml" Target="../customXml/item1.xml" /><Relationship Id="rId17" Type="http://schemas.openxmlformats.org/officeDocument/2006/relationships/customXml" Target="../customXml/item2.xml" /><Relationship Id="rId18" Type="http://schemas.openxmlformats.org/officeDocument/2006/relationships/customXml" Target="../customXml/item3.xml" /><Relationship Id="rId19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16FE4E5C63594A90ACC2CE00FD3C7B" ma:contentTypeVersion="1" ma:contentTypeDescription="Создание документа." ma:contentTypeScope="" ma:versionID="ed357c464961c7c4d8031dc5883cd2ac">
  <xsd:schema xmlns:xsd="http://www.w3.org/2001/XMLSchema" xmlns:xs="http://www.w3.org/2001/XMLSchema" xmlns:p="http://schemas.microsoft.com/office/2006/metadata/properties" xmlns:ns2="1c574e5c-3a1c-46cc-9cf3-155d79c90e66" targetNamespace="http://schemas.microsoft.com/office/2006/metadata/properties" ma:root="true" ma:fieldsID="6bea6921ecebcd9883cbcf6ffdd2f455" ns2:_="">
    <xsd:import namespace="1c574e5c-3a1c-46cc-9cf3-155d79c90e6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74e5c-3a1c-46cc-9cf3-155d79c9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DDC2-3CFD-4EB7-8EDA-4B2C304C5F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811250-3858-4E69-AB1B-A01057D82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0717F-C6BD-424F-99D1-CC2B72F27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74e5c-3a1c-46cc-9cf3-155d79c9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BD053F-F808-47D0-B701-C47A2C30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ОА ДРСК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Портяная Валентина Геннадьевна</dc:creator>
  <dc:description/>
  <dc:language>ru-RU</dc:language>
  <cp:revision>8</cp:revision>
  <dcterms:created xsi:type="dcterms:W3CDTF">2026-06-24T05:12:00Z</dcterms:created>
  <dcterms:modified xsi:type="dcterms:W3CDTF">2026-07-24T04:06:21Z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0x0101002916FE4E5C63594A90ACC2CE00FD3C7B</vt:lpwstr>
  </property>
</Properties>
</file>