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Технические задание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  <w:t xml:space="preserve">ОКПД2 </w:t>
      </w:r>
      <w:r>
        <w:rPr>
          <w:rFonts w:ascii="Times New Roman" w:hAnsi="Times New Roman" w:cs="Times New Roman"/>
          <w:b/>
          <w:sz w:val="26"/>
          <w:szCs w:val="26"/>
        </w:rPr>
        <w:t xml:space="preserve">28.25.12.190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Поставка и монтаж прецизионных кондиционеров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для нужд АО «Сахаэнерго»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  <w:sectPr>
          <w:footnotePr/>
          <w:endnotePr/>
          <w:type w:val="nextPage"/>
          <w:pgSz w:h="16838" w:orient="portrait" w:w="11906"/>
          <w:pgMar w:top="1134" w:right="1134" w:bottom="1134" w:left="1134" w:header="0" w:footer="0" w:gutter="0"/>
          <w:cols w:num="1" w:sep="0" w:space="1701" w:equalWidth="1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44"/>
            <w:pBdr/>
            <w:tabs>
              <w:tab w:val="clear" w:leader="none" w:pos="560"/>
              <w:tab w:val="left" w:leader="none" w:pos="567"/>
              <w:tab w:val="clear" w:leader="none" w:pos="708"/>
              <w:tab w:val="clear" w:leader="none" w:pos="9345"/>
            </w:tabs>
            <w:spacing/>
            <w:ind/>
            <w:rPr>
              <w:caps/>
            </w:rPr>
          </w:pPr>
          <w:r>
            <w:fldChar w:fldCharType="begin"/>
          </w:r>
          <w:r>
            <w:rPr>
              <w:vanish w:val="0"/>
            </w:rPr>
            <w:instrText xml:space="preserve"> TOC \z \o "1-4" \u \h</w:instrText>
          </w:r>
          <w:r>
            <w:rPr>
              <w:vanish w:val="0"/>
            </w:rPr>
            <w:fldChar w:fldCharType="separate"/>
          </w:r>
          <w:r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  <w:hyperlink w:tooltip="#_Toc1" w:anchor="_Toc1" w:history="1">
            <w:r>
              <w:rPr>
                <w:rFonts w:ascii="Times New Roman" w:hAnsi="Times New Roman" w:eastAsia="Calibri" w:cs="Times New Roman"/>
              </w:rPr>
              <w:t xml:space="preserve">1.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О</w:t>
            </w:r>
            <w:r>
              <w:rPr>
                <w:rStyle w:val="911"/>
                <w:lang w:val="ru-RU"/>
              </w:rPr>
              <w:t xml:space="preserve">бщие сведения</w:t>
            </w:r>
            <w:r>
              <w:rPr>
                <w:rStyle w:val="911"/>
                <w:caps/>
                <w:lang w:val="ru-RU"/>
              </w:rPr>
            </w:r>
            <w:r>
              <w:t xml:space="preserve">..................................................................................................................</w:t>
            </w:r>
            <w:r>
              <w:fldChar w:fldCharType="begin"/>
              <w:instrText xml:space="preserve">PAGEREF _Toc1 \h</w:instrText>
              <w:fldChar w:fldCharType="separate"/>
              <w:t xml:space="preserve">3</w:t>
              <w:fldChar w:fldCharType="end"/>
            </w:r>
          </w:hyperlink>
          <w:r>
            <w:rPr>
              <w:caps/>
            </w:rPr>
          </w:r>
          <w:r>
            <w:rPr>
              <w:caps/>
              <w:lang w:val="ru-RU"/>
            </w:rPr>
          </w:r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/>
          </w:pPr>
          <w:hyperlink w:tooltip="#_Toc2" w:anchor="_Toc2" w:history="1">
            <w:r>
              <w:rPr>
                <w:rFonts w:ascii="Times New Roman" w:hAnsi="Times New Roman" w:eastAsia="Calibri" w:cs="Times New Roman"/>
              </w:rPr>
              <w:t xml:space="preserve">1.1.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Обозначения и сокращения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/>
          </w:pPr>
          <w:hyperlink w:tooltip="#_Toc3" w:anchor="_Toc3" w:history="1">
            <w:r>
              <w:rPr>
                <w:rFonts w:ascii="Times New Roman" w:hAnsi="Times New Roman" w:eastAsia="Calibri" w:cs="Times New Roman"/>
              </w:rPr>
              <w:t xml:space="preserve">1.2.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Наименование закупаемой продукции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/>
          </w:pPr>
          <w:hyperlink w:tooltip="#_Toc4" w:anchor="_Toc4" w:history="1">
            <w:r>
              <w:rPr>
                <w:rFonts w:ascii="Times New Roman" w:hAnsi="Times New Roman" w:eastAsia="Calibri" w:cs="Times New Roman"/>
              </w:rPr>
              <w:t xml:space="preserve">1.3.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Цель использования закупаемой продукции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944"/>
            <w:suppressLineNumbers w:val="false"/>
            <w:pBdr/>
            <w:tabs>
              <w:tab w:val="clear" w:leader="none" w:pos="560"/>
              <w:tab w:val="left" w:leader="none" w:pos="567"/>
              <w:tab w:val="clear" w:leader="none" w:pos="708"/>
              <w:tab w:val="clear" w:leader="none" w:pos="9345"/>
            </w:tabs>
            <w:spacing/>
            <w:ind/>
            <w:contextualSpacing w:val="false"/>
            <w:jc w:val="left"/>
            <w:rPr/>
          </w:pPr>
          <w:hyperlink w:tooltip="#_Toc5" w:anchor="_Toc5" w:history="1">
            <w:r>
              <w:rPr>
                <w:rFonts w:ascii="Times New Roman" w:hAnsi="Times New Roman" w:cs="Times New Roman" w:eastAsiaTheme="majorEastAsia"/>
              </w:rPr>
              <w:t xml:space="preserve">2.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Требования к продукции</w:t>
            </w:r>
            <w:r>
              <w:rPr>
                <w:rStyle w:val="911"/>
              </w:rPr>
            </w:r>
            <w:r>
              <w:t xml:space="preserve">..................................................................................................</w:t>
            </w:r>
            <w:r>
              <w:fldChar w:fldCharType="begin"/>
              <w:instrText xml:space="preserve">PAGEREF _Toc5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/>
          </w:pPr>
          <w:hyperlink w:tooltip="#_Toc6" w:anchor="_Toc6" w:history="1">
            <w:r>
              <w:rPr>
                <w:rFonts w:ascii="Times New Roman" w:hAnsi="Times New Roman" w:cs="Times New Roman" w:eastAsiaTheme="majorEastAsia"/>
              </w:rPr>
              <w:t xml:space="preserve">2.1.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Требования к объемам и срокам поставки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>
              <w:b/>
            </w:rPr>
          </w:pPr>
          <w:hyperlink w:tooltip="#_Toc7" w:anchor="_Toc7" w:history="1">
            <w:r>
              <w:rPr>
                <w:rFonts w:ascii="Times New Roman" w:hAnsi="Times New Roman" w:cs="Times New Roman" w:eastAsiaTheme="majorEastAsia"/>
              </w:rPr>
              <w:t xml:space="preserve">2.1.1.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  <w:b/>
              </w:rPr>
              <w:t xml:space="preserve">Перечень и объем закупаемой продукции</w:t>
            </w:r>
            <w:r>
              <w:rPr>
                <w:rStyle w:val="911"/>
                <w:b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3</w:t>
              <w:fldChar w:fldCharType="end"/>
            </w:r>
          </w:hyperlink>
          <w:r>
            <w:rPr>
              <w:b/>
            </w:rPr>
          </w:r>
        </w:p>
        <w:p>
          <w:pPr>
            <w:pStyle w:val="946"/>
            <w:pBdr/>
            <w:tabs>
              <w:tab w:val="left" w:leader="none" w:pos="1417"/>
              <w:tab w:val="right" w:leader="dot" w:pos="9345"/>
            </w:tabs>
            <w:spacing/>
            <w:ind/>
            <w:rPr/>
          </w:pPr>
          <w:hyperlink w:tooltip="#_Toc8" w:anchor="_Toc8" w:history="1">
            <w:r>
              <w:rPr>
                <w:rFonts w:ascii="Times New Roman" w:hAnsi="Times New Roman" w:cs="Times New Roman" w:eastAsiaTheme="majorEastAsia"/>
              </w:rPr>
              <w:t xml:space="preserve">2.2.</w:t>
            </w:r>
            <w:r>
              <w:tab/>
            </w:r>
            <w:r>
              <w:rPr>
                <w:rStyle w:val="911"/>
              </w:rPr>
            </w:r>
            <w:r>
              <w:rPr>
                <w:rStyle w:val="911"/>
              </w:rPr>
              <w:t xml:space="preserve">Требования к срокам поставки и монтажа продукции</w:t>
            </w:r>
            <w:r>
              <w:rPr>
                <w:rStyle w:val="911"/>
              </w:rPr>
              <w:t xml:space="preserve"> 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9" w:anchor="_Toc9" w:history="1">
            <w:r>
              <w:rPr>
                <w:rFonts w:ascii="Times New Roman" w:hAnsi="Times New Roman" w:eastAsia="Calibri" w:cs="Times New Roman"/>
              </w:rPr>
              <w:t xml:space="preserve">4.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Требования к маркировке  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10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10" w:anchor="_Toc10" w:history="1">
            <w:r>
              <w:rPr>
                <w:rFonts w:ascii="Times New Roman" w:hAnsi="Times New Roman" w:eastAsia="Calibri" w:cs="Times New Roman"/>
              </w:rPr>
              <w:t xml:space="preserve">5.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Требования к упаковке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10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11" w:anchor="_Toc11" w:history="1">
            <w:r>
              <w:rPr>
                <w:rFonts w:ascii="Times New Roman" w:hAnsi="Times New Roman" w:eastAsia="Calibri" w:cs="Times New Roman"/>
              </w:rPr>
              <w:t xml:space="preserve">6.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Условия поставки товара и выполнения работ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_Toc11 \h</w:instrText>
              <w:fldChar w:fldCharType="separate"/>
              <w:t xml:space="preserve">10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>
              <w14:ligatures w14:val="none"/>
            </w:rPr>
          </w:pPr>
          <w:hyperlink w:tooltip="#_Toc12" w:anchor="_Toc12" w:history="1">
            <w:r>
              <w:rPr>
                <w:rFonts w:ascii="Times New Roman" w:hAnsi="Times New Roman" w:eastAsia="Calibri" w:cs="Times New Roman"/>
              </w:rPr>
              <w:t xml:space="preserve">7.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Состав и порядок выполнения работ</w:t>
            </w:r>
            <w:r>
              <w:rPr>
                <w:rStyle w:val="911"/>
                <w:lang w:val="ru-RU"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_Toc12 \h</w:instrText>
              <w:fldChar w:fldCharType="separate"/>
              <w:t xml:space="preserve">10</w:t>
              <w:fldChar w:fldCharType="end"/>
            </w:r>
          </w:hyperlink>
          <w:r>
            <w:rPr>
              <w:lang w:val="ru-RU"/>
              <w14:ligatures w14:val="none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>
              <w14:ligatures w14:val="none"/>
            </w:rPr>
          </w:pPr>
          <w:hyperlink w:tooltip="#_Toc13" w:anchor="_Toc13" w:history="1">
            <w:r>
              <w:rPr>
                <w:rFonts w:ascii="Times New Roman" w:hAnsi="Times New Roman" w:eastAsia="Calibri" w:cs="Times New Roman"/>
              </w:rPr>
              <w:t xml:space="preserve">8.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Приемка и гарантии</w:t>
            </w:r>
            <w:r>
              <w:rPr>
                <w:rStyle w:val="911"/>
                <w:lang w:val="ru-RU"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_Toc13 \h</w:instrText>
              <w:fldChar w:fldCharType="separate"/>
              <w:t xml:space="preserve">11</w:t>
              <w:fldChar w:fldCharType="end"/>
            </w:r>
          </w:hyperlink>
          <w:r>
            <w:rPr>
              <w:lang w:val="ru-RU"/>
              <w14:ligatures w14:val="none"/>
            </w:rPr>
          </w:r>
        </w:p>
        <w:p>
          <w:pPr>
            <w:pStyle w:val="944"/>
            <w:pBdr/>
            <w:tabs>
              <w:tab w:val="clear" w:leader="none" w:pos="560"/>
              <w:tab w:val="clear" w:leader="none" w:pos="708"/>
              <w:tab w:val="left" w:leader="none" w:pos="850"/>
              <w:tab w:val="clear" w:leader="none" w:pos="9345"/>
            </w:tabs>
            <w:spacing/>
            <w:ind/>
            <w:rPr>
              <w14:ligatures w14:val="none"/>
            </w:rPr>
          </w:pPr>
          <w:hyperlink w:tooltip="#_Toc14" w:anchor="_Toc14" w:history="1">
            <w:r>
              <w:rPr>
                <w:rFonts w:ascii="Times New Roman" w:hAnsi="Times New Roman" w:eastAsia="Calibri" w:cs="Times New Roman"/>
              </w:rPr>
              <w:t xml:space="preserve">8.1.</w:t>
            </w:r>
            <w:r>
              <w:rPr>
                <w:rStyle w:val="911"/>
              </w:rPr>
              <w:t xml:space="preserve"> </w:t>
            </w:r>
            <w:r>
              <w:rPr>
                <w:rStyle w:val="911"/>
                <w:rFonts w:ascii="Times New Roman" w:hAnsi="Times New Roman" w:cs="Times New Roman"/>
              </w:rPr>
              <w:t xml:space="preserve">Документация при сдаче:</w:t>
            </w:r>
            <w:r>
              <w:rPr>
                <w:rStyle w:val="911"/>
                <w14:ligatures w14:val="none"/>
              </w:rPr>
            </w:r>
            <w:r>
              <w:t xml:space="preserve">..................................................................................................</w:t>
            </w:r>
            <w:r>
              <w:fldChar w:fldCharType="begin"/>
              <w:instrText xml:space="preserve">PAGEREF _Toc14 \h</w:instrText>
              <w:fldChar w:fldCharType="separate"/>
              <w:t xml:space="preserve">11</w:t>
              <w:fldChar w:fldCharType="end"/>
            </w:r>
          </w:hyperlink>
          <w:r>
            <w:rPr>
              <w14:ligatures w14:val="none"/>
            </w:rPr>
          </w:r>
          <w:r>
            <w:rPr>
              <w14:ligatures w14:val="none"/>
            </w:rPr>
          </w:r>
        </w:p>
        <w:p>
          <w:pPr>
            <w:pStyle w:val="944"/>
            <w:pBdr/>
            <w:tabs>
              <w:tab w:val="left" w:leader="none" w:pos="91"/>
              <w:tab w:val="right" w:leader="dot" w:pos="9345"/>
            </w:tabs>
            <w:spacing/>
            <w:ind/>
            <w:rPr>
              <w14:ligatures w14:val="none"/>
            </w:rPr>
          </w:pPr>
          <w:hyperlink w:tooltip="#_Toc15" w:anchor="_Toc15" w:history="1">
            <w:r>
              <w:rPr>
                <w:rFonts w:ascii="Times New Roman" w:hAnsi="Times New Roman" w:eastAsia="Calibri" w:cs="Times New Roman"/>
              </w:rPr>
              <w:t xml:space="preserve">9.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ab/>
              <w:t xml:space="preserve">Безопасность</w:t>
            </w:r>
            <w:r>
              <w:rPr>
                <w:rStyle w:val="911"/>
                <w:lang w:val="ru-RU"/>
                <w14:ligatures w14:val="none"/>
              </w:rPr>
            </w:r>
            <w:r>
              <w:tab/>
            </w:r>
            <w:r>
              <w:fldChar w:fldCharType="begin"/>
              <w:instrText xml:space="preserve">PAGEREF _Toc15 \h</w:instrText>
              <w:fldChar w:fldCharType="separate"/>
              <w:t xml:space="preserve">11</w:t>
              <w:fldChar w:fldCharType="end"/>
            </w:r>
          </w:hyperlink>
          <w:r>
            <w:rPr>
              <w:lang w:val="ru-RU"/>
              <w14:ligatures w14:val="none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16" w:anchor="_Toc16" w:history="1">
            <w:r>
              <w:rPr>
                <w:rFonts w:ascii="Times New Roman" w:hAnsi="Times New Roman" w:eastAsia="Calibri" w:cs="Times New Roman"/>
              </w:rPr>
              <w:t xml:space="preserve">10.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Условия  и требования к сдаче-приемке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_Toc16 \h</w:instrText>
              <w:fldChar w:fldCharType="separate"/>
              <w:t xml:space="preserve">12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17" w:anchor="_Toc17" w:history="1">
            <w:r>
              <w:rPr>
                <w:rFonts w:ascii="Times New Roman" w:hAnsi="Times New Roman" w:eastAsia="Calibri" w:cs="Times New Roman"/>
              </w:rPr>
              <w:t xml:space="preserve">11.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Требования к сроку и (или) объему предоставления гарантий качества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_Toc17 \h</w:instrText>
              <w:fldChar w:fldCharType="separate"/>
              <w:t xml:space="preserve">13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spacing/>
            <w:ind/>
            <w:rPr/>
          </w:pPr>
          <w:hyperlink w:tooltip="#_Toc18" w:anchor="_Toc18" w:history="1">
            <w:r>
              <w:rPr>
                <w:rFonts w:ascii="Times New Roman" w:hAnsi="Times New Roman" w:eastAsia="Calibri" w:cs="Times New Roman"/>
              </w:rPr>
              <w:t xml:space="preserve">12.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Требования к транспортировке</w:t>
            </w:r>
            <w:r>
              <w:rPr>
                <w:rStyle w:val="911"/>
                <w:lang w:val="ru-RU"/>
              </w:rPr>
            </w:r>
            <w:r>
              <w:tab/>
            </w:r>
            <w:r>
              <w:fldChar w:fldCharType="begin"/>
              <w:instrText xml:space="preserve">PAGEREF _Toc18 \h</w:instrText>
              <w:fldChar w:fldCharType="separate"/>
              <w:t xml:space="preserve">13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944"/>
            <w:pBdr/>
            <w:tabs>
              <w:tab w:val="right" w:leader="dot" w:pos="9345"/>
            </w:tabs>
            <w:bidi w:val="false"/>
            <w:spacing/>
            <w:ind/>
            <w:rPr/>
          </w:pPr>
          <w:hyperlink w:tooltip="#_Toc19" w:anchor="_Toc19" w:history="1">
            <w:r>
              <w:rPr>
                <w:rFonts w:ascii="Times New Roman" w:hAnsi="Times New Roman" w:eastAsia="Calibri" w:cs="Times New Roman"/>
              </w:rPr>
              <w:t xml:space="preserve">13.</w:t>
            </w:r>
            <w:r>
              <w:t xml:space="preserve"> </w:t>
            </w:r>
            <w:r>
              <w:rPr>
                <w:rStyle w:val="911"/>
              </w:rPr>
            </w:r>
            <w:r>
              <w:rPr>
                <w:rStyle w:val="911"/>
                <w:lang w:val="ru-RU"/>
              </w:rPr>
              <w:t xml:space="preserve">Экологические требования</w:t>
            </w:r>
            <w:r>
              <w:rPr>
                <w:rStyle w:val="911"/>
              </w:rPr>
            </w:r>
            <w:r>
              <w:tab/>
            </w:r>
            <w:r>
              <w:fldChar w:fldCharType="begin"/>
              <w:instrText xml:space="preserve">PAGEREF _Toc19 \h</w:instrText>
              <w:fldChar w:fldCharType="separate"/>
              <w:t xml:space="preserve">14</w:t>
              <w:fldChar w:fldCharType="end"/>
            </w:r>
          </w:hyperlink>
          <w:r/>
        </w:p>
        <w:p>
          <w:pPr>
            <w:pStyle w:val="944"/>
            <w:pBdr/>
            <w:spacing/>
            <w:ind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r>
            <w:rPr>
              <w:vanish w:val="0"/>
            </w:rPr>
          </w:r>
          <w:r>
            <w:rPr>
              <w:b/>
              <w:bCs/>
              <w:i w:val="0"/>
              <w:iCs w:val="0"/>
            </w:rPr>
          </w:r>
          <w:r>
            <w:rPr>
              <w:b/>
              <w:bCs/>
              <w:vanish w:val="0"/>
              <w:sz w:val="24"/>
              <w:szCs w:val="24"/>
            </w:rPr>
            <w:fldChar w:fldCharType="end"/>
          </w:r>
          <w:r/>
          <w:r/>
        </w:p>
      </w:sdtContent>
    </w:sdt>
    <w:p>
      <w:pPr>
        <w:pStyle w:val="915"/>
        <w:pBdr/>
        <w:tabs>
          <w:tab w:val="left" w:leader="none" w:pos="560"/>
          <w:tab w:val="clear" w:leader="none" w:pos="708"/>
          <w:tab w:val="right" w:leader="dot" w:pos="9345"/>
        </w:tabs>
        <w:spacing/>
        <w:ind/>
        <w:rPr>
          <w:rFonts w:ascii="Calibri" w:hAnsi="Calibri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rPr>
          <w:rFonts w:eastAsiaTheme="minorEastAsia" w:cstheme="minorBidi"/>
          <w:b w:val="0"/>
          <w:bCs w:val="0"/>
          <w:sz w:val="22"/>
          <w:szCs w:val="22"/>
        </w:rPr>
      </w:r>
      <w:r>
        <w:rPr>
          <w:rFonts w:ascii="Calibri" w:hAnsi="Calibri" w:asciiTheme="minorHAnsi" w:hAnsiTheme="minorHAnsi" w:eastAsiaTheme="minorEastAsia" w:cstheme="minorBidi"/>
          <w:b w:val="0"/>
          <w:bCs w:val="0"/>
          <w:sz w:val="22"/>
          <w:szCs w:val="22"/>
        </w:rPr>
      </w:r>
      <w:r>
        <w:rPr>
          <w:rFonts w:ascii="Calibri" w:hAnsi="Calibri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917"/>
        <w:numPr>
          <w:ilvl w:val="0"/>
          <w:numId w:val="0"/>
        </w:numPr>
        <w:pBdr/>
        <w:spacing/>
        <w:ind w:firstLine="0" w:left="0"/>
        <w:rPr>
          <w:rFonts w:eastAsia="Times New Roman"/>
          <w:b w:val="0"/>
          <w:i/>
          <w:lang w:val="ru-RU" w:eastAsia="ru-RU"/>
        </w:rPr>
      </w:pPr>
      <w:r>
        <w:rPr>
          <w:rFonts w:eastAsia="Times New Roman"/>
          <w:b w:val="0"/>
          <w:i/>
          <w:lang w:val="ru-RU" w:eastAsia="ru-RU"/>
        </w:rPr>
      </w:r>
      <w:r>
        <w:rPr>
          <w:rFonts w:eastAsia="Times New Roman"/>
          <w:b w:val="0"/>
          <w:i/>
          <w:lang w:val="ru-RU" w:eastAsia="ru-RU"/>
        </w:rPr>
      </w:r>
      <w:r>
        <w:rPr>
          <w:rFonts w:eastAsia="Times New Roman"/>
          <w:b w:val="0"/>
          <w:i/>
          <w:lang w:val="ru-RU" w:eastAsia="ru-RU"/>
        </w:rPr>
      </w:r>
    </w:p>
    <w:p>
      <w:pPr>
        <w:pStyle w:val="915"/>
        <w:pBdr/>
        <w:spacing/>
        <w:ind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Style w:val="915"/>
        <w:pBdr/>
        <w:spacing/>
        <w:ind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6"/>
        <w:keepLines w:val="true"/>
        <w:numPr>
          <w:ilvl w:val="0"/>
          <w:numId w:val="1"/>
        </w:numPr>
        <w:pBdr/>
        <w:spacing/>
        <w:ind w:hanging="357" w:left="357"/>
        <w:jc w:val="center"/>
        <w:rPr>
          <w:caps/>
          <w:lang w:val="ru-RU"/>
        </w:rPr>
      </w:pPr>
      <w:r/>
      <w:bookmarkStart w:id="34" w:name="_Toc1"/>
      <w:r>
        <w:rPr>
          <w:lang w:val="ru-RU"/>
        </w:rPr>
        <w:t xml:space="preserve">О</w:t>
      </w:r>
      <w:r>
        <w:rPr>
          <w:lang w:val="ru-RU"/>
        </w:rPr>
        <w:t xml:space="preserve">бщие сведения</w:t>
      </w:r>
      <w:r/>
      <w:bookmarkEnd w:id="34"/>
      <w:r/>
      <w:r>
        <w:rPr>
          <w:caps/>
          <w:lang w:val="ru-RU"/>
        </w:rPr>
      </w:r>
    </w:p>
    <w:p>
      <w:pPr>
        <w:pStyle w:val="919"/>
        <w:numPr>
          <w:ilvl w:val="1"/>
          <w:numId w:val="1"/>
        </w:numPr>
        <w:pBdr/>
        <w:spacing/>
        <w:ind/>
        <w:rPr>
          <w:sz w:val="24"/>
          <w:szCs w:val="24"/>
        </w:rPr>
      </w:pPr>
      <w:r/>
      <w:bookmarkStart w:id="35" w:name="_Toc2"/>
      <w:r>
        <w:rPr>
          <w:sz w:val="24"/>
          <w:szCs w:val="24"/>
        </w:rPr>
        <w:t xml:space="preserve">Обозначения и сокращения</w:t>
      </w:r>
      <w:r/>
      <w:bookmarkEnd w:id="35"/>
      <w:r/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5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5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обработки данных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5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Прецизионный кондиционер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5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Специализированное оборудование для точного и непрерывного поддержания заданных параметров воздуха (температуры, влажности, подвижности) в помещениях с высокой концентрацией тепловыделяющего оборудования.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15"/>
        <w:keepNext w:val="true"/>
        <w:keepLines w:val="true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numPr>
          <w:ilvl w:val="1"/>
          <w:numId w:val="1"/>
        </w:numPr>
        <w:pBdr/>
        <w:spacing/>
        <w:ind/>
        <w:rPr>
          <w:sz w:val="24"/>
          <w:szCs w:val="24"/>
        </w:rPr>
      </w:pPr>
      <w:r/>
      <w:bookmarkStart w:id="36" w:name="_Toc3"/>
      <w:r>
        <w:rPr>
          <w:sz w:val="24"/>
          <w:szCs w:val="24"/>
        </w:rPr>
        <w:t xml:space="preserve">Наименование закупаемой продукции</w:t>
      </w:r>
      <w:r/>
      <w:bookmarkEnd w:id="36"/>
      <w:r/>
      <w:r>
        <w:rPr>
          <w:sz w:val="24"/>
          <w:szCs w:val="24"/>
        </w:rPr>
      </w:r>
    </w:p>
    <w:p>
      <w:pPr>
        <w:pStyle w:val="915"/>
        <w:pBdr/>
        <w:spacing/>
        <w:ind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Прецизионный кондиционер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9"/>
        <w:numPr>
          <w:ilvl w:val="1"/>
          <w:numId w:val="1"/>
        </w:numPr>
        <w:pBdr/>
        <w:spacing/>
        <w:ind/>
        <w:rPr>
          <w:sz w:val="24"/>
          <w:szCs w:val="24"/>
        </w:rPr>
      </w:pPr>
      <w:r/>
      <w:bookmarkStart w:id="37" w:name="_Toc4"/>
      <w:r>
        <w:rPr>
          <w:sz w:val="24"/>
          <w:szCs w:val="24"/>
        </w:rPr>
        <w:t xml:space="preserve">Цель использования закупаемой продукции</w:t>
      </w:r>
      <w:r/>
      <w:bookmarkEnd w:id="37"/>
      <w:r/>
      <w:r>
        <w:rPr>
          <w:sz w:val="24"/>
          <w:szCs w:val="24"/>
        </w:rPr>
      </w:r>
    </w:p>
    <w:p>
      <w:pPr>
        <w:pStyle w:val="915"/>
        <w:pBdr/>
        <w:spacing w:after="120" w:before="0" w:line="240" w:lineRule="auto"/>
        <w:ind w:right="85" w:firstLine="709"/>
        <w:contextualSpacing w:val="true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Обеспечение и поддержание стабильных параметров микроклимата в серверном помещении для бесперебойной и безопасной эксплуатации ИТ‑оборудования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 помещении ЦОД в зимний и летний периоды.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 w:after="120" w:before="12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68"/>
        <w:numPr>
          <w:ilvl w:val="0"/>
          <w:numId w:val="1"/>
        </w:numPr>
        <w:pBdr/>
        <w:spacing/>
        <w:ind w:right="0" w:hanging="425" w:left="425"/>
        <w:rPr/>
      </w:pPr>
      <w:r/>
      <w:bookmarkStart w:id="38" w:name="_Toc5"/>
      <w:r>
        <w:t xml:space="preserve">Требования к продукции</w:t>
      </w:r>
      <w:r/>
      <w:bookmarkEnd w:id="38"/>
      <w:r/>
      <w:r/>
    </w:p>
    <w:p>
      <w:pPr>
        <w:pStyle w:val="969"/>
        <w:numPr>
          <w:ilvl w:val="1"/>
          <w:numId w:val="1"/>
        </w:numPr>
        <w:pBdr/>
        <w:tabs>
          <w:tab w:val="clear" w:leader="none" w:pos="0"/>
          <w:tab w:val="num" w:leader="none" w:pos="284"/>
        </w:tabs>
        <w:spacing/>
        <w:ind w:firstLine="0" w:left="567"/>
        <w:rPr/>
      </w:pPr>
      <w:r/>
      <w:bookmarkStart w:id="39" w:name="_Toc6"/>
      <w:r>
        <w:t xml:space="preserve">Требования к объемам и срокам поставки</w:t>
      </w:r>
      <w:r/>
      <w:bookmarkEnd w:id="39"/>
      <w:r/>
      <w:r/>
    </w:p>
    <w:p>
      <w:pPr>
        <w:pStyle w:val="970"/>
        <w:numPr>
          <w:ilvl w:val="2"/>
          <w:numId w:val="1"/>
        </w:numPr>
        <w:pBdr/>
        <w:tabs>
          <w:tab w:val="clear" w:leader="none" w:pos="0"/>
          <w:tab w:val="num" w:leader="none" w:pos="284"/>
        </w:tabs>
        <w:spacing/>
        <w:ind w:firstLine="0" w:left="567"/>
        <w:rPr>
          <w:b/>
        </w:rPr>
      </w:pPr>
      <w:r/>
      <w:bookmarkStart w:id="40" w:name="_Toc7"/>
      <w:r>
        <w:rPr>
          <w:b/>
        </w:rPr>
        <w:t xml:space="preserve">Перечень и объем закупаемой продукции</w:t>
      </w:r>
      <w:r/>
      <w:bookmarkEnd w:id="40"/>
      <w:r/>
      <w:r>
        <w:rPr>
          <w:b/>
        </w:rPr>
      </w:r>
    </w:p>
    <w:p>
      <w:pPr>
        <w:pStyle w:val="971"/>
        <w:pBdr/>
        <w:tabs>
          <w:tab w:val="num" w:leader="none" w:pos="284"/>
        </w:tabs>
        <w:spacing/>
        <w:ind w:left="567"/>
        <w:jc w:val="left"/>
        <w:rPr>
          <w:rFonts w:eastAsia="Calibri"/>
          <w:b/>
        </w:rPr>
      </w:pPr>
      <w:r/>
      <w:r/>
      <w:r>
        <w:rPr>
          <w:rFonts w:eastAsia="Calibri"/>
          <w:b/>
        </w:rPr>
        <w:t xml:space="preserve">Таблица 1.1 Перечень </w:t>
      </w:r>
      <w:r>
        <w:rPr>
          <w:rFonts w:eastAsia="Calibri"/>
          <w:b/>
        </w:rPr>
        <w:t xml:space="preserve">и объем закупаемой продукции</w:t>
      </w:r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pPr w:horzAnchor="text" w:tblpXSpec="left" w:vertAnchor="text" w:tblpY="1" w:leftFromText="180" w:topFromText="0" w:rightFromText="180" w:bottomFromText="0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3612"/>
        <w:gridCol w:w="1070"/>
        <w:gridCol w:w="803"/>
        <w:gridCol w:w="3071"/>
        <w:gridCol w:w="3071"/>
      </w:tblGrid>
      <w:tr>
        <w:trPr>
          <w:tblHeader/>
        </w:trPr>
        <w:tc>
          <w:tcPr>
            <w:tcBorders/>
            <w:tcW w:w="799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612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3071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Место поставки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Применение законодательства о национальном режиме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blHeader/>
        </w:trPr>
        <w:tc>
          <w:tcPr>
            <w:tcBorders/>
            <w:tcW w:w="79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6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7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79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19"/>
              </w:numPr>
              <w:pBdr/>
              <w:spacing w:after="0" w:line="240" w:lineRule="auto"/>
              <w:ind w:right="20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6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ОКПД2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28.25.12.190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Поставка прецизионных кондиционеров для нужд АО «Сахаэнерго»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07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71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677001, РФ, РС(Я), г. Якутск, ул. Беринга, 42.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Преимущество 15% для российских товаров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970"/>
        <w:numPr>
          <w:ilvl w:val="0"/>
          <w:numId w:val="0"/>
        </w:numPr>
        <w:pBdr/>
        <w:spacing/>
        <w:ind/>
        <w:rPr/>
      </w:pPr>
      <w:r/>
      <w:r/>
    </w:p>
    <w:p>
      <w:pPr>
        <w:pStyle w:val="969"/>
        <w:numPr>
          <w:ilvl w:val="1"/>
          <w:numId w:val="1"/>
        </w:numPr>
        <w:pBdr/>
        <w:tabs>
          <w:tab w:val="clear" w:leader="none" w:pos="0"/>
          <w:tab w:val="num" w:leader="none" w:pos="284"/>
        </w:tabs>
        <w:spacing/>
        <w:ind w:firstLine="0" w:left="567"/>
        <w:rPr/>
      </w:pPr>
      <w:r/>
      <w:bookmarkStart w:id="41" w:name="_Toc8"/>
      <w:r>
        <w:t xml:space="preserve">Требования к срокам поставки и монтажа продукции</w:t>
      </w:r>
      <w:r>
        <w:t xml:space="preserve"> </w:t>
      </w:r>
      <w:r/>
      <w:bookmarkEnd w:id="41"/>
      <w:r/>
      <w:r/>
    </w:p>
    <w:p>
      <w:pPr>
        <w:pStyle w:val="971"/>
        <w:pBdr/>
        <w:spacing/>
        <w:ind w:left="567"/>
        <w:jc w:val="left"/>
        <w:rPr>
          <w:b/>
        </w:rPr>
      </w:pPr>
      <w:r/>
      <w:r/>
      <w:r/>
      <w:r>
        <w:rPr>
          <w:b/>
        </w:rPr>
        <w:t xml:space="preserve">Таблица 2.1 </w:t>
      </w:r>
      <w:bookmarkStart w:id="33" w:name="_Hlk50465284"/>
      <w:r>
        <w:rPr>
          <w:b/>
        </w:rPr>
        <w:t xml:space="preserve">Требования по срокам </w:t>
      </w:r>
      <w:r/>
      <w:r/>
      <w:bookmarkEnd w:id="33"/>
      <w:r>
        <w:rPr>
          <w:b/>
        </w:rPr>
        <w:t xml:space="preserve">поставки и монтажа продукции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tbl>
      <w:tblPr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737"/>
        <w:gridCol w:w="3369"/>
        <w:gridCol w:w="2693"/>
        <w:gridCol w:w="311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Наименование продукции / выполняемых услуг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началу срока поставки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окончанию срока поставки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17"/>
              </w:numPr>
              <w:pBdr/>
              <w:spacing w:after="0" w:line="252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i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Оборудование согласно таблицы 1.1 «Перечень и объем закупаемой продукции»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С даты, следующей за датой заключения договора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highlight w:val="yellow"/>
                <w:lang w:eastAsia="ru-RU"/>
              </w:rPr>
              <w:t xml:space="preserve">До 30.12.2026</w:t>
            </w:r>
            <w:r>
              <w:rPr>
                <w:rFonts w:ascii="Times New Roman" w:hAnsi="Times New Roman" w:eastAsia="Times New Roman" w:cs="Times New Roman"/>
                <w:i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highlight w:val="yellow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17"/>
              </w:numPr>
              <w:pBdr/>
              <w:spacing w:after="0" w:line="252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i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Монтаж поставленных прецизионных кондиционеров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С даты, следующей за датой заключения договора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highlight w:val="yellow"/>
                <w:lang w:eastAsia="ru-RU"/>
              </w:rPr>
              <w:t xml:space="preserve">До 30.06.2027</w:t>
            </w:r>
            <w:r>
              <w:rPr>
                <w:rFonts w:ascii="Times New Roman" w:hAnsi="Times New Roman" w:eastAsia="Times New Roman" w:cs="Times New Roman"/>
                <w:i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highlight w:val="yellow"/>
              </w:rPr>
            </w:r>
          </w:p>
        </w:tc>
      </w:tr>
    </w:tbl>
    <w:p>
      <w:pPr>
        <w:pStyle w:val="956"/>
        <w:pBdr/>
        <w:spacing w:after="120"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 w:after="120"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 w:after="120" w:before="12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numPr>
          <w:ilvl w:val="1"/>
          <w:numId w:val="1"/>
        </w:numPr>
        <w:pBdr/>
        <w:spacing/>
        <w:ind/>
        <w:rPr>
          <w:b/>
          <w:bCs/>
          <w:sz w:val="24"/>
          <w:szCs w:val="24"/>
          <w:lang w:val="ru-RU"/>
        </w:rPr>
        <w:sectPr>
          <w:footerReference w:type="default" r:id="rId9"/>
          <w:footerReference w:type="first" r:id="rId10"/>
          <w:footnotePr/>
          <w:endnotePr/>
          <w:type w:val="nextPage"/>
          <w:pgSz w:h="16838" w:orient="portrait" w:w="11906"/>
          <w:pgMar w:top="814" w:right="850" w:bottom="1346" w:left="1701" w:header="709" w:footer="709" w:gutter="0"/>
          <w:cols w:num="1" w:sep="0" w:space="1701" w:equalWidth="1"/>
          <w:titlePg/>
        </w:sectPr>
      </w:pPr>
      <w:r>
        <w:rPr>
          <w:b/>
          <w:bCs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6"/>
        <w:numPr>
          <w:ilvl w:val="1"/>
          <w:numId w:val="1"/>
        </w:num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 xml:space="preserve">Требования к качеству продукции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Таблица 3. Требования к продукции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967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922"/>
        <w:gridCol w:w="2976"/>
        <w:gridCol w:w="4909"/>
        <w:gridCol w:w="2936"/>
        <w:gridCol w:w="2936"/>
      </w:tblGrid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Требование заказчика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Способ подтверждения участником соответствия требованиям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Предложение участника по характеристикам и параметрам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установки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Шкафной (напольный), вертикальное исполнение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 (модель и комплектация поставляемой продукции)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Размещение компрессора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 внутреннем блоке кондиционера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Направление воздуха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Забор — сверху. Подача — горизонтальная (фронтальная)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Электропитание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380 В, 50 Гц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Энергопотребление компрессора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≤ 4,3 кВт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компрессора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Спиральный (Scroll) с частотно‑регулируемым приводом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расширительного вентиля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Обогрев картера компрессора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Штатный, встроенный в заводскую конструкцию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Фильтры воздушные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 EU4 (G4) или выше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 увлажнителя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Плёночный (паровой)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Производительность увлажнителя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3 кг/ч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Дисплей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Сенсорный, цветной, диагональ ≥ 4,3". Верхняя кромка экрана — на высоте ≤ 1500 мм от пола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Сервисное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Полный доступ ко всем узлам только спереди. Боковой и тыльный доступ не требуются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Дренажный насос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Встроенный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Напор дренажного насоса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20 м.в.ст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Защита от перелива сухим контактом аварии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Хладагент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R410A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Минимальная температура наружного воздуха для штатной работы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−50 °C (включительно) без снижения производительности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Зимний комплект до −50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Регулятор оборотов вентилятора КД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Регулятор давления конденсации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Обратный и диф. обратный клапаны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Предохранительный клапан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Электронагреватель ресивера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Линейный ресивер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Питание нагревателя ресивера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Прямое подключение к сети ГПТ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Запорная арматура на внешнем блоке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Шаровые краны ≥ 3 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Пусковой ток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≤ номинального рабочего тока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Явная холодопроизводительность (с вычетом вентиляторов)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16,4 кВт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Полная холодопроизводительность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18,0 кВт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Расход воздуха внутреннего блока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5000 м³/ч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Холодильный коэффициент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≥ 3,6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Рабочий диапазон по входному воздуху (экстремально)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Штатная работа при +45 °C и относительной влажности 10%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Регулировка мощности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Плавная (инверторный компрессор + EC‑вентилятор + электронный ТРВ)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Групповая работа (каскад)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Поддержка сети до 32 шт. Режимы: «ротация» (резерв) и «пропорциональная нагрузка» (горячий резерв). Реализовано контроллером без внешних шкафов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Удалённый мониторинг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Встроенная SNMP‑карта (TCP/IP) в комплекте. Порт RS‑485 (ModBus) на плате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Выносной датчик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Минимум 1 шт. в комплекте (температура + относительная влажность)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Габаритные и весовые ограничения (жёсткие): внутренний блок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Ш×Г×В: 750×650×1850 мм. Масса: 280 кг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Габаритные и весовые ограничения (жёсткие): наружный блок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Ш×Г×В: 1330×975×1176 мм (при горизонтальной установке). Масса: 115 кг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Габаритные и весовые ограничения (жёсткие): зимний комплект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Ширина: 420 мм. Глубина: 1020 мм. Высота: 490 мм. Масса: 33 кг. Объём ресивера: 14 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Монтаж наружного блока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Должен допускать как горизонтальный (верт. поток), так и вертикальный монтаж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Упаковка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Должна иметь индикатор наклона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0" w:type="auto"/>
            <w:textDirection w:val="lrTb"/>
            <w:noWrap w:val="false"/>
          </w:tcPr>
          <w:p>
            <w:pPr>
              <w:pStyle w:val="956"/>
              <w:pBdr/>
              <w:spacing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  <w:sectPr>
          <w:footnotePr/>
          <w:endnotePr/>
          <w:type w:val="continuous"/>
          <w:pgSz w:h="11906" w:orient="landscape" w:w="16838"/>
          <w:pgMar w:top="1701" w:right="814" w:bottom="850" w:left="1346" w:header="709" w:footer="709" w:gutter="0"/>
          <w:cols w:num="1" w:sep="0" w:space="1701" w:equalWidth="1"/>
          <w:titlePg/>
        </w:sect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0"/>
        <w:numPr>
          <w:ilvl w:val="0"/>
          <w:numId w:val="17"/>
        </w:numPr>
        <w:pBdr/>
        <w:spacing w:after="120" w:line="240" w:lineRule="auto"/>
        <w:ind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ТРЕБОВАНИЯ К ПОСТАВЩИКУ</w:t>
      </w:r>
      <w:r>
        <w:rPr>
          <w:rFonts w:ascii="Times New Roman" w:hAnsi="Times New Roman" w:cs="Times New Roman"/>
          <w:b/>
          <w:sz w:val="24"/>
        </w:rPr>
        <w:t xml:space="preserve"> (ИСПОЛНИТЕЛЮ)</w: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Поставщик обязан соответствовать следующим критериям: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967"/>
        <w:tblW w:w="0" w:type="auto"/>
        <w:tblInd w:w="-322" w:type="dxa"/>
        <w:tblBorders/>
        <w:tblLayout w:type="fixed"/>
        <w:tblLook w:val="04A0" w:firstRow="1" w:lastRow="0" w:firstColumn="1" w:lastColumn="0" w:noHBand="0" w:noVBand="1"/>
      </w:tblPr>
      <w:tblGrid>
        <w:gridCol w:w="709"/>
        <w:gridCol w:w="7932"/>
      </w:tblGrid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Borders/>
            <w:tcW w:w="793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Требование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</w:tr>
      <w:tr>
        <w:trPr/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793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Техническая документация на предлагаемое оборудование должна быть в свободном доступе на официальном сайте производителя на русском языке.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rPr/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793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Исполнитель должен иметь в штате сертифицированных производителем инженеров для гарантийного обслуживания. Пусконаладка выполняется лично сертифицированным специалистом.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rPr/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793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действующего СРО на виды работ: монтаж систем вентиляции, кондиционирования и электроустановок до 35 </w:t>
            </w:r>
            <w:r>
              <w:rPr>
                <w:rFonts w:ascii="Times New Roman" w:hAnsi="Times New Roman" w:cs="Times New Roman"/>
                <w:sz w:val="24"/>
              </w:rPr>
              <w:t xml:space="preserve">кВ.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rPr/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793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Персонал, выполняющий электромонтаж, должен иметь группу по электробезопасности не ниже IV (до 1000 В</w:t>
            </w:r>
            <w:r>
              <w:rPr>
                <w:rFonts w:ascii="Times New Roman" w:hAnsi="Times New Roman" w:cs="Times New Roman"/>
                <w:sz w:val="24"/>
              </w:rPr>
              <w:t xml:space="preserve"> и выше</w:t>
            </w:r>
            <w:r>
              <w:rPr>
                <w:rFonts w:ascii="Times New Roman" w:hAnsi="Times New Roman" w:cs="Times New Roman"/>
                <w:sz w:val="24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numPr>
          <w:ilvl w:val="1"/>
          <w:numId w:val="1"/>
        </w:num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Нормативные документы, которые устанавливают требования к товару, к поставке товаров, выполнению и качеству работ (ГОСТ, чертеж, иной нормативный документ)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Перечень нормативных документов, устанавливающих требования к товару: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ГОСТ 26963-86 «Государственный стандарт Союза ССР. Кондиционеры бытовые автономные. Общие технические условия»;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ГОСТ Р 51125-98 «Оборудование бытовое для кондиционирования и очистки воздуха. Требования безопасности и методы испытаний»;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ГОСТ Р 52084-2003 «Приборы электрические бытовые. Общие технические условия»;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СТ СЭВ 3694-82 «Кондиционеры электрические бытовые. Требования безопасности и методы испытаний».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нормативных документов, устанавливающих требования к выполнению и качеству работ: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Федеральный закон от 30.12.2009 № 384-ФЗ «Технический регламент о безопасности зданий и сооружений»;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РФ от 16.09.2020 № 1479 «Об утверждении Правил противопожарного режима в Российской Федерации»;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Приказ Минтруда РФ от 28.10.2020 № 753Н «Об утверждении Правил по охране труда при погрузочно-разгрузочных работах и размещении грузов»;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Приказ Минтруда РФ от 16.11.2020 № 782Н «Об утверждении Правил по охране труда при работе на высоте»;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Приказ Минтруда РФ от 27.11.2020 № 835Н «Об утверждении Правил по охране труда при работе с инструментом и приспособлениями»;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Приказ Минтруда РФ от 11.12.2020 № 883Н «Об утверждении Правил по охране труда при строительстве, реконструкции и ремонте»;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ГОСТ 12.1.005-88 «Система стандартов безопасности труда. Общие санитарно-гигиенические требования к воздуху рабочей зоны»;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ГОСТ 30494-2011 «Здания жилые и общественные. Параметры микроклимата в помещениях»;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pBdr/>
        <w:spacing/>
        <w:ind/>
        <w:jc w:val="both"/>
        <w:rPr>
          <w:sz w:val="24"/>
          <w:szCs w:val="24"/>
        </w:rPr>
      </w:pPr>
      <w:r/>
      <w:r>
        <w:rPr>
          <w:sz w:val="24"/>
          <w:szCs w:val="24"/>
        </w:rPr>
        <w:t xml:space="preserve">ПУЭ: правила устройства электроустановок и иные нормативные документы в соответствии с действующим законодательством.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6"/>
        <w:keepLines w:val="true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42" w:name="_Toc9"/>
      <w:r/>
      <w:r>
        <w:rPr>
          <w:lang w:val="ru-RU"/>
        </w:rPr>
        <w:t xml:space="preserve">Требования к маркировке  </w:t>
      </w:r>
      <w:r/>
      <w:bookmarkEnd w:id="42"/>
      <w:r/>
      <w:r>
        <w:rPr>
          <w:lang w:val="ru-RU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Маркировка сплит-систем должна соответствовать требованиям следующих документов: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26963-86 «Государственный стандарт Союза ССР. Кондиционеры бытовые автономные. Общие технические условия»;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Р 52084-2003 «Приборы электрические бытовые. Общие технические условия».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Транспортная маркировка должна соответствовать требованиям ГОСТ 14192-96 «Межгосударственный стандарт. Маркировка грузов».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/>
        <w:ind w:hanging="357" w:left="357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6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43" w:name="_Toc10"/>
      <w:r>
        <w:rPr>
          <w:lang w:val="ru-RU"/>
        </w:rPr>
        <w:t xml:space="preserve">Требования к упаковке</w:t>
      </w:r>
      <w:r/>
      <w:bookmarkEnd w:id="43"/>
      <w:r/>
      <w:r>
        <w:rPr>
          <w:lang w:val="ru-RU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Упаковка сплит-систем должна соответствовать требованиям ГОСТ 26963-86 «Государственный стандарт Союза ССР. Кондиционеры бытовые автономные. Общие технические условия». Оригинальная упаковка каждого товара должна быть без дефектов и повреждений, </w:t>
      </w:r>
      <w:r>
        <w:rPr>
          <w:color w:val="00000a"/>
          <w:sz w:val="24"/>
          <w:szCs w:val="24"/>
          <w:lang w:val="ru-RU"/>
        </w:rPr>
        <w:t xml:space="preserve">обеспечивать сохранность оборудования от повреждений при его погрузке-разгрузке, перевозке и длительном хранении в складском помещении.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/>
        <w:ind w:hanging="357" w:left="357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6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44" w:name="_Toc11"/>
      <w:r>
        <w:rPr>
          <w:lang w:val="ru-RU"/>
        </w:rPr>
        <w:t xml:space="preserve">Условия поставки товара и выполнения работ</w:t>
      </w:r>
      <w:r/>
      <w:bookmarkEnd w:id="44"/>
      <w:r/>
      <w:r>
        <w:rPr>
          <w:lang w:val="ru-RU"/>
        </w:rPr>
      </w:r>
    </w:p>
    <w:p>
      <w:pPr>
        <w:pStyle w:val="956"/>
        <w:widowControl w:val="true"/>
        <w:numPr>
          <w:ilvl w:val="1"/>
          <w:numId w:val="17"/>
        </w:numPr>
        <w:pBdr/>
        <w:bidi w:val="false"/>
        <w:spacing w:after="0" w:before="0" w:line="240" w:lineRule="auto"/>
        <w:ind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Условия поставки товара и выполнения работ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в сроки, определенные п. 6.1 настоящего Технического задания. Доставка товара до места, определенного З</w:t>
      </w:r>
      <w:r>
        <w:rPr>
          <w:rFonts w:ascii="Times New Roman" w:hAnsi="Times New Roman" w:cs="Times New Roman"/>
          <w:sz w:val="24"/>
          <w:szCs w:val="24"/>
        </w:rPr>
        <w:t xml:space="preserve">аказчиком, разгрузка, подъем товара до помещений Заказчика осуществляется силами и за счет Исполнителя. Исполнитель обязан предупредить Заказчика о поставке товара не менее чем за 3 рабочих дня путем его уведомления по указанным в Договоре средствам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 товара и выполнение работ должны осуществляться в рабочее время с 08:00 до 17:00 и в рабочие дни (понедельник, вторник, среда, четверг, пятница), кроме дней, официально объявленных праздничными.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работы связанные с исполнением договора выполняются в помещ</w:t>
      </w:r>
      <w:r>
        <w:rPr>
          <w:rFonts w:ascii="Times New Roman" w:hAnsi="Times New Roman" w:cs="Times New Roman"/>
          <w:sz w:val="24"/>
          <w:szCs w:val="24"/>
        </w:rPr>
        <w:t xml:space="preserve">ениях и на территории Заказчика.  Исполнитель обязан перед выполнением работ согласовать объем и порядок выполнения работ с специалистами Заказчика на всех уровнях их выполнения до сроков окончания работ, соблюдать пропускной режим на объектах Заказчика.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обязан производить уборку площадей, на которых выполняются работы, от производственных отходов и вывоз мусора отставленный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выполнении работ. При проведении монтажных работ в отремонтированных помещениях используют пылесосы и защитные чехлы. Отходы и строительный мусор, накапливаемые в процессе установочно-монтажных работ, подлежат уборке и вывозу Исполнителем за свой счёт.</w:t>
      </w:r>
      <w:r>
        <w:rPr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6"/>
        <w:numPr>
          <w:ilvl w:val="0"/>
          <w:numId w:val="17"/>
        </w:numPr>
        <w:pBdr/>
        <w:tabs>
          <w:tab w:val="clear" w:leader="none" w:pos="0"/>
        </w:tabs>
        <w:spacing/>
        <w:ind w:hanging="357" w:left="357"/>
        <w:jc w:val="center"/>
        <w:rPr>
          <w:lang w:val="ru-RU"/>
          <w14:ligatures w14:val="none"/>
        </w:rPr>
      </w:pPr>
      <w:r/>
      <w:bookmarkStart w:id="45" w:name="_Toc12"/>
      <w:r>
        <w:rPr>
          <w:lang w:val="ru-RU"/>
        </w:rPr>
        <w:t xml:space="preserve">Состав и порядок выполнения работ</w:t>
      </w:r>
      <w:r/>
      <w:bookmarkEnd w:id="45"/>
      <w:r/>
      <w:r>
        <w:rPr>
          <w:lang w:val="ru-RU"/>
          <w14:ligatures w14:val="none"/>
        </w:rPr>
      </w:r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Исполнитель выполняет следующий комплекс работ: </w:t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рабочей документации.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Подготовка основания под внутренний блок (монтаж рамы по уровню).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Установка внутреннего блока, подключение к существующей дренажной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Усиление опорной плиты на кровле (пенополистирол + фанера), гидроизоляция стыков.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Монтаж наружного блока и ресивера на раму из уголка 50х50х3.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Монтажа фреонопроводов (под фальшполом, по фасаду, на кровле) с термоизоляциейне менее 13мм.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Монтаж кабелей (ВВГнг-LS) в коробах/металлорукаве.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Пуско-наладочные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2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Комплексное тестирование в рабочих и аварийных режимах.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монтажа: </w:t>
      </w:r>
      <w:r>
        <w:rPr>
          <w:rFonts w:ascii="Times New Roman" w:hAnsi="Times New Roman" w:cs="Times New Roman"/>
          <w:sz w:val="24"/>
          <w:szCs w:val="24"/>
        </w:rPr>
        <w:t xml:space="preserve"> 677001, РФ, РС(Я), г. Якутск, ул. Переулок энергетиков, д.2.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Материалы: Все кабели, крепеж, термоизоляция, металлопрокат, газы, расходники предоставляются Исполнителем и входят в цену Договора.</w:t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Логистика: Все транспортные, командировочные, бытовые расходы включены в стоимость Работ.</w:t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6"/>
        <w:numPr>
          <w:ilvl w:val="0"/>
          <w:numId w:val="17"/>
        </w:numPr>
        <w:pBdr/>
        <w:tabs>
          <w:tab w:val="clear" w:leader="none" w:pos="0"/>
        </w:tabs>
        <w:spacing/>
        <w:ind w:hanging="357" w:left="357"/>
        <w:jc w:val="center"/>
        <w:rPr>
          <w:lang w:val="ru-RU"/>
          <w14:ligatures w14:val="none"/>
        </w:rPr>
      </w:pPr>
      <w:r/>
      <w:bookmarkStart w:id="46" w:name="_Toc13"/>
      <w:r>
        <w:rPr>
          <w:lang w:val="ru-RU"/>
        </w:rPr>
        <w:t xml:space="preserve">Приемка и гарантии</w:t>
      </w:r>
      <w:r/>
      <w:bookmarkEnd w:id="46"/>
      <w:r/>
      <w:r>
        <w:rPr>
          <w:lang w:val="ru-RU"/>
          <w14:ligatures w14:val="none"/>
        </w:rPr>
      </w:r>
    </w:p>
    <w:p>
      <w:pPr>
        <w:pStyle w:val="916"/>
        <w:numPr>
          <w:ilvl w:val="1"/>
          <w:numId w:val="17"/>
        </w:numPr>
        <w:pBdr/>
        <w:tabs>
          <w:tab w:val="clear" w:leader="none" w:pos="0"/>
        </w:tabs>
        <w:spacing/>
        <w:ind/>
        <w:jc w:val="left"/>
        <w:rPr>
          <w:b w:val="0"/>
          <w:bCs w:val="0"/>
          <w14:ligatures w14:val="none"/>
        </w:rPr>
      </w:pPr>
      <w:r/>
      <w:bookmarkStart w:id="47" w:name="_Toc14"/>
      <w: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Документация при сдаче:</w:t>
      </w:r>
      <w:r/>
      <w:bookmarkEnd w:id="47"/>
      <w:r/>
      <w:r>
        <w:rPr>
          <w:b w:val="0"/>
          <w:bCs w:val="0"/>
          <w14:ligatures w14:val="none"/>
        </w:rPr>
      </w:r>
    </w:p>
    <w:p>
      <w:pPr>
        <w:pStyle w:val="915"/>
        <w:numPr>
          <w:ilvl w:val="0"/>
          <w:numId w:val="26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Сертификаты соответствия.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6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Руководство по эксплуатации на русском языке.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6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Протоколы заводских испытаний.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0"/>
          <w:numId w:val="26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Акты выполненных работ (КС-2, КС-3 при необходимости), Протокол ПНР.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pBdr/>
        <w:spacing w:after="0" w:before="0"/>
        <w:ind w:firstLine="0" w:left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numPr>
          <w:ilvl w:val="1"/>
          <w:numId w:val="17"/>
        </w:numPr>
        <w:pBdr/>
        <w:spacing w:after="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Гарантийные обязательства: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967"/>
        <w:tblW w:w="0" w:type="auto"/>
        <w:tblBorders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Объект гарантии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</w:t>
            </w:r>
            <w:r>
              <w:rPr>
                <w:rFonts w:ascii="Times New Roman" w:hAnsi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результат выполненных работ (монтаж)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 месяцев</w:t>
            </w:r>
            <w:r>
              <w:rPr>
                <w:rFonts w:ascii="Times New Roman" w:hAnsi="Times New Roman" w:cs="Times New Roman"/>
                <w:sz w:val="24"/>
              </w:rPr>
              <w:t xml:space="preserve"> с даты подписания акта выполненных работ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rPr/>
        <w:tc>
          <w:tcPr>
            <w:tcBorders/>
            <w:tcW w:w="4672" w:type="dxa"/>
            <w:textDirection w:val="lrTb"/>
            <w:noWrap w:val="false"/>
          </w:tcPr>
          <w:p>
            <w:pPr>
              <w:pStyle w:val="950"/>
              <w:pBdr/>
              <w:spacing w:after="12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поставленный товар (оборудование)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 месяцев (но не менее заводского)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6"/>
        <w:numPr>
          <w:ilvl w:val="0"/>
          <w:numId w:val="17"/>
        </w:numPr>
        <w:pBdr/>
        <w:tabs>
          <w:tab w:val="clear" w:leader="none" w:pos="0"/>
        </w:tabs>
        <w:spacing/>
        <w:ind w:hanging="357" w:left="357"/>
        <w:jc w:val="center"/>
        <w:rPr>
          <w:lang w:val="ru-RU"/>
          <w14:ligatures w14:val="none"/>
        </w:rPr>
      </w:pPr>
      <w:r/>
      <w:bookmarkStart w:id="48" w:name="_Toc15"/>
      <w:r>
        <w:rPr>
          <w:lang w:val="ru-RU"/>
        </w:rPr>
        <w:tab/>
        <w:t xml:space="preserve">Безопасность</w:t>
      </w:r>
      <w:r/>
      <w:bookmarkEnd w:id="48"/>
      <w:r/>
      <w:r>
        <w:rPr>
          <w:lang w:val="ru-RU"/>
          <w14:ligatures w14:val="none"/>
        </w:rPr>
      </w:r>
    </w:p>
    <w:p>
      <w:pPr>
        <w:pStyle w:val="915"/>
        <w:pBdr/>
        <w:spacing w:after="0" w:before="0"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обязан соблюдать СП 76.13330, Приказ Минтруда №903н, ППР РФ. До начала работ предоставить приказы о назначении ответственных лиц и удостоверения персонала. После завершения обеспечить вывоз строительного мусора.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56"/>
        <w:widowControl w:val="true"/>
        <w:numPr>
          <w:ilvl w:val="0"/>
          <w:numId w:val="10"/>
        </w:numPr>
        <w:pBdr/>
        <w:tabs>
          <w:tab w:val="clear" w:leader="none" w:pos="708"/>
        </w:tabs>
        <w:bidi w:val="false"/>
        <w:spacing w:after="0" w:before="0" w:line="240" w:lineRule="auto"/>
        <w:ind w:right="0" w:hanging="454" w:left="454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к безопасности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полнота ответственности при выполнении работ на объекте за соблюдением норм и правил по технике безопасности, пожарной безопасности, охраны труда возлагается на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работ должно осуществляться при соблюдении: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numPr>
          <w:ilvl w:val="0"/>
          <w:numId w:val="14"/>
        </w:numPr>
        <w:pBdr/>
        <w:spacing w:after="0" w:before="0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 по охране труда, а также иных норматив</w:t>
      </w:r>
      <w:r>
        <w:rPr>
          <w:rFonts w:ascii="Times New Roman" w:hAnsi="Times New Roman" w:cs="Times New Roman"/>
          <w:sz w:val="24"/>
          <w:szCs w:val="24"/>
        </w:rPr>
        <w:t xml:space="preserve">ных правовых актов, установленных постановлением Правительства Российской Федерации от 27 декабря 2010 года № 1160 «Положение о разработке, утверждении и изменении нормативных правовых актов, содержащих государственные нормативные требования охраны труда»;</w:t>
      </w:r>
      <w:r/>
    </w:p>
    <w:p>
      <w:pPr>
        <w:pStyle w:val="915"/>
        <w:numPr>
          <w:ilvl w:val="0"/>
          <w:numId w:val="14"/>
        </w:numPr>
        <w:pBdr/>
        <w:spacing w:after="0" w:before="0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о требованиях пожарной безопасности»;</w:t>
      </w:r>
      <w:r/>
    </w:p>
    <w:p>
      <w:pPr>
        <w:pStyle w:val="915"/>
        <w:numPr>
          <w:ilvl w:val="0"/>
          <w:numId w:val="14"/>
        </w:numPr>
        <w:pBdr/>
        <w:spacing w:after="0" w:before="0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16.09.2020 №1479 «О противопожарном режиме»;</w:t>
      </w:r>
      <w:r/>
    </w:p>
    <w:p>
      <w:pPr>
        <w:pStyle w:val="915"/>
        <w:numPr>
          <w:ilvl w:val="0"/>
          <w:numId w:val="14"/>
        </w:numPr>
        <w:pBdr/>
        <w:spacing w:after="0" w:before="0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Приказ Минтруда России от 15.12.2020 № 903н «Об утверждении Правил по охране труда при эксплуатации электроустановок».</w:t>
      </w:r>
      <w:r/>
    </w:p>
    <w:p>
      <w:pPr>
        <w:pStyle w:val="915"/>
        <w:pBdr/>
        <w:spacing w:after="0" w:before="0"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56"/>
        <w:widowControl w:val="true"/>
        <w:numPr>
          <w:ilvl w:val="0"/>
          <w:numId w:val="11"/>
        </w:numPr>
        <w:pBdr/>
        <w:tabs>
          <w:tab w:val="clear" w:leader="none" w:pos="708"/>
        </w:tabs>
        <w:bidi w:val="false"/>
        <w:spacing w:after="0" w:before="0" w:line="240" w:lineRule="auto"/>
        <w:ind w:right="0" w:hanging="454" w:left="454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к конфиденциальности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могут одностороннем порядке определять конфиденциальный характер той или иной информации, при обязательном уведомлении об этом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5"/>
        <w:pBdr/>
        <w:spacing/>
        <w:ind w:hanging="357" w:left="357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6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49" w:name="_Toc16"/>
      <w:r>
        <w:rPr>
          <w:lang w:val="ru-RU"/>
        </w:rPr>
        <w:t xml:space="preserve">Условия  и требования к сдаче-приемке</w:t>
      </w:r>
      <w:r/>
      <w:bookmarkEnd w:id="49"/>
      <w:r/>
      <w:r>
        <w:rPr>
          <w:lang w:val="ru-RU"/>
        </w:rPr>
      </w:r>
    </w:p>
    <w:p>
      <w:pPr>
        <w:pStyle w:val="956"/>
        <w:widowControl w:val="true"/>
        <w:numPr>
          <w:ilvl w:val="0"/>
          <w:numId w:val="5"/>
        </w:numPr>
        <w:pBdr/>
        <w:bidi w:val="false"/>
        <w:spacing w:after="0" w:before="0" w:line="240" w:lineRule="auto"/>
        <w:ind w:right="0" w:hanging="454" w:left="454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сдачи приемки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окончанию выполнения работ Исполнитель предоставляет Заказчику акт сдачи-приемки выполненных работ.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ru-RU"/>
        </w:rPr>
        <w:t xml:space="preserve">Приемка</w:t>
      </w:r>
      <w:r>
        <w:rPr>
          <w:b w:val="0"/>
          <w:bCs w:val="0"/>
          <w:sz w:val="24"/>
          <w:szCs w:val="24"/>
          <w:lang w:val="ru-RU"/>
        </w:rPr>
        <w:t xml:space="preserve"> выполнения работ осуществляется уполномоченным работником Заказчика или приемочной комиссией Заказчика в соответствии с локальными нормативными актами Заказчика в течении 15 (пятнадцати) рабочих дней с даты получения Акта сдачи-приемки выполненных работ. 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widowControl w:val="false"/>
        <w:pBdr/>
        <w:spacing w:after="0" w:before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lang w:eastAsia="ru-RU"/>
        </w:rPr>
        <w:t xml:space="preserve">По результатам приемки Заказчиком принимается одно из следующих решений: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работы выполнены надлежащим образом. Факт выполнения работ оформляется Актом сдачи-приемки выполненных работ, подписываемым Сторонами;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работы выполнены с нарушением. Заказчиком выявлены замечания (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недостатки) в выполненных работах. Заказчик оформляет Акт о выявленных недостатках и устанавливает Исполнителю срок не более 5 (пяти) рабочих дней для устранения выявленных замечаний/недостатков. Выявленные недостатки устраняются Исполнителем за свой счет;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работы выполнены Исполнителем с существенными или неустранимыми недостатками, которые влекут для Заказчика такой ущерб, что он в значительной степени лишается того, на что вправе был рассчитывать.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указанном случае работы не подлежат приемке Заказчиком. 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После устранения Исполнителем недостатков приемка выполненных работ осуществляется в порядке, описанном выше.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ru-RU"/>
        </w:rPr>
        <w:t xml:space="preserve">Приемка поставки товара осуществляется уполномоченным работником Заказчика или приемочной комиссией Заказчика в соответствии с локальными нормативными актами Заказчика в течении 10 (десяти) рабочих дней с даты получения </w:t>
      </w:r>
      <w:r>
        <w:rPr>
          <w:b w:val="0"/>
          <w:bCs w:val="0"/>
          <w:sz w:val="24"/>
          <w:szCs w:val="24"/>
        </w:rPr>
        <w:t xml:space="preserve">товарной накладной формы ТОРГ-12/ УПД</w:t>
      </w:r>
      <w:r>
        <w:rPr>
          <w:b w:val="0"/>
          <w:bCs w:val="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При приемке товара Заказчик проверяет поставленный товар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его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а также проверяет наличие сопроводительных документов.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При обнаружении Заказчиком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при приемке Товара недопоставки Товара составляется Акт об установленном расхождении по количеству и качеству при приемке товарно-материальных ценностей по форме № ТОРГ-2 в 2 (двух) экземплярах, который подписывается с участием представителей Исполнителя.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 случае выявления дефектов или несоответствий, Исполнитель обязан в течение 5 (пяти) рабочих дней с даты получения Акта об установленном расхождении по количеству и качеству при приемке товарно-материальных ценностей по форме ТОРГ-12/УПД.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56"/>
        <w:numPr>
          <w:ilvl w:val="0"/>
          <w:numId w:val="0"/>
        </w:numPr>
        <w:pBdr/>
        <w:spacing/>
        <w:ind w:firstLine="0" w:left="7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widowControl w:val="true"/>
        <w:numPr>
          <w:ilvl w:val="0"/>
          <w:numId w:val="6"/>
        </w:numPr>
        <w:pBdr/>
        <w:bidi w:val="false"/>
        <w:spacing w:after="0" w:before="0" w:line="240" w:lineRule="auto"/>
        <w:ind w:right="0" w:hanging="397" w:left="397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по передаче Заказчику закупки технических и иных документов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15"/>
        <w:pBdr/>
        <w:spacing w:after="0" w:before="0"/>
        <w:ind w:firstLine="0"/>
        <w:jc w:val="both"/>
        <w:rPr/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Перечень обязательной сопроводительной документации, передаваемой Заказчику:</w:t>
      </w:r>
      <w:r/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акт сдачи-приемки выполненных работ;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товарная накладная формы ТОРГ-12/ УПД;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товарно-транспортная накладная по форме № 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Исполнителя;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счет-фактура. (Предоставление счета-фактуры не требуется в случае, если Исполнитель не является плательщиком НДС.)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документы, подтверждающие качество Товара и его безопасность;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эксплуатационная документация;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гарантийный талон;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numPr>
          <w:ilvl w:val="0"/>
          <w:numId w:val="12"/>
        </w:numPr>
        <w:pBdr/>
        <w:spacing w:after="0" w:before="0"/>
        <w:ind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паспорт оборудования.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widowControl w:val="false"/>
        <w:pBdr/>
        <w:spacing w:after="0" w:before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По требованию Заказчика необходимо предоставить акты на скрытые работы, схемы прокладки трасс и кабеля подачи напряжения.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widowControl w:val="false"/>
        <w:pBdr/>
        <w:spacing w:after="0" w:before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В целях осуществления контроля за исполнением Заказчик вправе потребовать фото-фиксацию выполненных работ по монтажу оборудования.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15"/>
        <w:pBdr/>
        <w:spacing/>
        <w:ind w:hanging="357" w:left="357"/>
        <w:jc w:val="left"/>
        <w:rPr>
          <w:rFonts w:cs="Times New Roman"/>
          <w:b/>
        </w:rPr>
      </w:pPr>
      <w:r>
        <w:rPr>
          <w:rFonts w:cs="Times New Roman"/>
          <w:b/>
        </w:rPr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Style w:val="916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50" w:name="_Toc17"/>
      <w:r>
        <w:rPr>
          <w:lang w:val="ru-RU"/>
        </w:rPr>
        <w:t xml:space="preserve">Требования к сроку и (или) объему предоставления гарантий качества</w:t>
      </w:r>
      <w:r/>
      <w:bookmarkEnd w:id="50"/>
      <w:r/>
      <w:r>
        <w:rPr>
          <w:lang w:val="ru-RU"/>
        </w:rPr>
      </w:r>
    </w:p>
    <w:p>
      <w:pPr>
        <w:pStyle w:val="959"/>
        <w:pBdr/>
        <w:spacing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недостатки (дефекты), обнаруженные в течение гарантийного срока, если не докажет, что они произошли вследствие износа объекта или его частей, или неправильной их эксплуатации.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pBdr/>
        <w:spacing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течение гарантийного срока выявится, что качество выполненных работ, материалов не соответствует требованиям СНиП, технической и нормативно-технической документации, работы выполнены с отступлениями, в следствии чего нарушилась работ</w:t>
      </w:r>
      <w:r>
        <w:rPr>
          <w:rFonts w:ascii="Times New Roman" w:hAnsi="Times New Roman" w:cs="Times New Roman"/>
          <w:sz w:val="24"/>
          <w:szCs w:val="24"/>
        </w:rPr>
        <w:t xml:space="preserve">а климатической техники, с иными недостатками, которые делают оборудование непригодным для нормальной эксплуатации, Заказчик направляет Исполнителю претензию с указанием сроков устранения недостатков. Данные работы выполняются силами и за счет Исполнителя.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pBdr/>
        <w:spacing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Гарантийный срок на Товар составляет 12 (двенадцать) месяцев и исчисляется с даты подписания Заказчиком товарной накладн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по форме № ТОРГ-12/УПД, подтверждающей передачу Товара. В течение гарантийного периода Исполнитель обязуется устранять выявленные недостатки, возникшие по причинам, связанным с производственными дефектами или ненадлежащим качеством поставленного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6"/>
        <w:numPr>
          <w:ilvl w:val="0"/>
          <w:numId w:val="17"/>
        </w:numPr>
        <w:pBdr/>
        <w:spacing/>
        <w:ind w:hanging="357" w:left="357"/>
        <w:jc w:val="center"/>
        <w:rPr>
          <w:lang w:val="ru-RU"/>
        </w:rPr>
      </w:pPr>
      <w:r/>
      <w:bookmarkStart w:id="51" w:name="_Toc18"/>
      <w:r>
        <w:rPr>
          <w:lang w:val="ru-RU"/>
        </w:rPr>
        <w:t xml:space="preserve">Требования к транспортировке</w:t>
      </w:r>
      <w:r/>
      <w:bookmarkEnd w:id="51"/>
      <w:r/>
      <w:r>
        <w:rPr>
          <w:lang w:val="ru-RU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транспортировке товара установлены ГОСТ 26963-86 «Государственный стандарт Союза ССР. Кондиционеры бытовые автономные. Общие технические условия».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самостоятельно определяет вид транспортного средства и условия доставки товара, материалов для выполнения работ до адреса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транспортировки Товар должен быть защищен от намокания, загрязнения и механических повреждений.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Погрузка и выгрузка товара, материалов для выполнения работ осуществляется за счет собственных средств Исполнителя.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6"/>
        <w:keepNext w:val="true"/>
        <w:widowControl w:val="true"/>
        <w:numPr>
          <w:ilvl w:val="0"/>
          <w:numId w:val="17"/>
        </w:numPr>
        <w:pBdr/>
        <w:tabs>
          <w:tab w:val="clear" w:leader="none" w:pos="708"/>
        </w:tabs>
        <w:bidi w:val="false"/>
        <w:spacing w:after="60" w:before="120" w:line="240" w:lineRule="auto"/>
        <w:ind w:right="0" w:hanging="340" w:left="510"/>
        <w:jc w:val="center"/>
        <w:rPr>
          <w:sz w:val="28"/>
          <w:szCs w:val="28"/>
        </w:rPr>
      </w:pPr>
      <w:r/>
      <w:bookmarkStart w:id="52" w:name="_Toc19"/>
      <w:r>
        <w:rPr>
          <w:sz w:val="28"/>
          <w:szCs w:val="28"/>
          <w:lang w:val="ru-RU"/>
        </w:rPr>
        <w:t xml:space="preserve">Экологические требования</w:t>
      </w:r>
      <w:r/>
      <w:bookmarkEnd w:id="52"/>
      <w:r/>
      <w:r>
        <w:rPr>
          <w:sz w:val="28"/>
          <w:szCs w:val="28"/>
        </w:rPr>
      </w:r>
    </w:p>
    <w:p>
      <w:pPr>
        <w:pStyle w:val="915"/>
        <w:pBdr/>
        <w:spacing w:after="0" w:before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Товар должен быть безопасным и разрешен для применения на территории РФ, то есть при применении его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назначению и выполнении требований к эксплуатации (использованию) не должен причинять вред имуществу Заказчика, жизни и здоровью работников Заказчика, а также отвечать всем требованиям Федерального закона от 10.01.2002 № 7-ФЗ «Об охране окружающей среды».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814" w:right="850" w:bottom="1346" w:left="1701" w:header="0" w:footer="1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 Light (Заголовки)">
    <w:panose1 w:val="020F05020202040302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ourier New">
    <w:panose1 w:val="02070309020205020404"/>
  </w:font>
  <w:font w:name="Lohit Devanagari">
    <w:panose1 w:val="020B0600000000000000"/>
  </w:font>
  <w:font w:name="OpenSymbol">
    <w:panose1 w:val="05010000000000000000"/>
  </w:font>
  <w:font w:name="Segoe UI">
    <w:panose1 w:val="020B0503020203020203"/>
  </w:font>
  <w:font w:name="Calibri Light">
    <w:panose1 w:val="020F0502020204030204"/>
  </w:font>
  <w:font w:name="Times New Roman">
    <w:panose1 w:val="02020603050405020304"/>
  </w:font>
  <w:font w:name="Liberation Mono">
    <w:panose1 w:val="020704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/>
      <w:spacing w:after="160" w:before="0"/>
      <w:ind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9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suppressLineNumbers w:val="true"/>
      <w:pBdr/>
      <w:spacing w:after="160" w:before="0"/>
      <w:ind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18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47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48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firstLine="0" w:left="0"/>
      </w:pPr>
      <w:pStyle w:val="949"/>
      <w:rPr>
        <w:rFonts w:ascii="Times New Roman" w:hAnsi="Times New Roman"/>
        <w:b/>
        <w:i w:val="0"/>
        <w:caps w:val="0"/>
        <w:smallCaps w:val="0"/>
        <w:strike w:val="0"/>
        <w:vanish w:val="0"/>
        <w:color w:val="000000"/>
        <w:position w:val="0"/>
        <w:sz w:val="28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/>
        <w:b/>
        <w:i w:val="0"/>
        <w:caps w:val="0"/>
        <w:smallCaps w:val="0"/>
        <w:strike w:val="0"/>
        <w:vanish w:val="0"/>
        <w:color w:val="000000"/>
        <w:position w:val="0"/>
        <w:sz w:val="26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224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4">
    <w:lvl w:ilvl="0">
      <w:isLgl w:val="false"/>
      <w:lvlJc w:val="left"/>
      <w:lvlText w:val="%1.1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lvl w:ilvl="0">
      <w:isLgl w:val="false"/>
      <w:lvlJc w:val="left"/>
      <w:lvlText w:val="%1.2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">
    <w:lvl w:ilvl="0">
      <w:isLgl w:val="false"/>
      <w:lvlJc w:val="left"/>
      <w:lvlText w:val="%1.1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">
    <w:lvl w:ilvl="0">
      <w:isLgl w:val="false"/>
      <w:lvlJc w:val="left"/>
      <w:lvlText w:val="%1.2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">
    <w:lvl w:ilvl="0">
      <w:isLgl w:val="false"/>
      <w:lvlJc w:val="left"/>
      <w:lvlText w:val="%1.1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9">
    <w:lvl w:ilvl="0">
      <w:isLgl w:val="false"/>
      <w:lvlJc w:val="left"/>
      <w:lvlText w:val="%1.2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">
    <w:lvl w:ilvl="0">
      <w:isLgl w:val="false"/>
      <w:lvlJc w:val="left"/>
      <w:lvlText w:val="%1.3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  <w:bCs/>
        <w:i w:val="0"/>
        <w:iCs/>
        <w:sz w:val="24"/>
        <w:szCs w:val="24"/>
      </w:rPr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1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pStyle w:val="968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644"/>
      </w:pPr>
      <w:pStyle w:val="969"/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080"/>
      </w:pPr>
      <w:pStyle w:val="970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color w:val="000000" w:themeColor="text1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686"/>
      </w:pPr>
      <w:rPr>
        <w:i w:val="0"/>
        <w:color w:val="000000" w:themeColor="text1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21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25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21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  <w:lvlOverride w:ilvl="0">
      <w:startOverride w:val="1"/>
    </w:lvlOverride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>
    <w:name w:val="Table Grid Light"/>
    <w:basedOn w:val="9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1"/>
    <w:basedOn w:val="9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2"/>
    <w:basedOn w:val="9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1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2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3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4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5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6"/>
    <w:basedOn w:val="9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1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2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3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4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5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6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1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2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3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4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5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6"/>
    <w:basedOn w:val="9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1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2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3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4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5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6"/>
    <w:basedOn w:val="9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Heading 6"/>
    <w:basedOn w:val="915"/>
    <w:next w:val="915"/>
    <w:link w:val="88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6">
    <w:name w:val="Heading 7"/>
    <w:basedOn w:val="915"/>
    <w:next w:val="915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7">
    <w:name w:val="Heading 8"/>
    <w:basedOn w:val="915"/>
    <w:next w:val="915"/>
    <w:link w:val="88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Heading 9"/>
    <w:basedOn w:val="915"/>
    <w:next w:val="915"/>
    <w:link w:val="88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1 Char"/>
    <w:basedOn w:val="921"/>
    <w:link w:val="9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0">
    <w:name w:val="Heading 2 Char"/>
    <w:basedOn w:val="921"/>
    <w:link w:val="9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1">
    <w:name w:val="Heading 3 Char"/>
    <w:basedOn w:val="921"/>
    <w:link w:val="9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2">
    <w:name w:val="Heading 4 Char"/>
    <w:basedOn w:val="921"/>
    <w:link w:val="91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3">
    <w:name w:val="Heading 5 Char"/>
    <w:basedOn w:val="921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4">
    <w:name w:val="Heading 6 Char"/>
    <w:basedOn w:val="921"/>
    <w:link w:val="87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5">
    <w:name w:val="Heading 7 Char"/>
    <w:basedOn w:val="921"/>
    <w:link w:val="87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6">
    <w:name w:val="Heading 8 Char"/>
    <w:basedOn w:val="921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7">
    <w:name w:val="Heading 9 Char"/>
    <w:basedOn w:val="921"/>
    <w:link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8">
    <w:name w:val="Title"/>
    <w:basedOn w:val="915"/>
    <w:next w:val="915"/>
    <w:link w:val="88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9">
    <w:name w:val="Title Char"/>
    <w:basedOn w:val="921"/>
    <w:link w:val="8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0">
    <w:name w:val="Subtitle"/>
    <w:basedOn w:val="915"/>
    <w:next w:val="915"/>
    <w:link w:val="89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1">
    <w:name w:val="Subtitle Char"/>
    <w:basedOn w:val="921"/>
    <w:link w:val="8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2">
    <w:name w:val="Quote"/>
    <w:basedOn w:val="915"/>
    <w:next w:val="915"/>
    <w:link w:val="89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3">
    <w:name w:val="Quote Char"/>
    <w:basedOn w:val="921"/>
    <w:link w:val="89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Intense Emphasis"/>
    <w:basedOn w:val="9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5">
    <w:name w:val="Intense Quote"/>
    <w:basedOn w:val="915"/>
    <w:next w:val="915"/>
    <w:link w:val="89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6">
    <w:name w:val="Intense Quote Char"/>
    <w:basedOn w:val="921"/>
    <w:link w:val="89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7">
    <w:name w:val="Intense Reference"/>
    <w:basedOn w:val="9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8">
    <w:name w:val="No Spacing"/>
    <w:basedOn w:val="915"/>
    <w:uiPriority w:val="1"/>
    <w:qFormat/>
    <w:pPr>
      <w:pBdr/>
      <w:spacing w:after="0" w:line="240" w:lineRule="auto"/>
      <w:ind/>
    </w:pPr>
  </w:style>
  <w:style w:type="character" w:styleId="899">
    <w:name w:val="Subtle Emphasis"/>
    <w:basedOn w:val="9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0">
    <w:name w:val="Emphasis"/>
    <w:basedOn w:val="921"/>
    <w:uiPriority w:val="20"/>
    <w:qFormat/>
    <w:pPr>
      <w:pBdr/>
      <w:spacing/>
      <w:ind/>
    </w:pPr>
    <w:rPr>
      <w:i/>
      <w:iCs/>
    </w:rPr>
  </w:style>
  <w:style w:type="character" w:styleId="901">
    <w:name w:val="Subtle Reference"/>
    <w:basedOn w:val="9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2">
    <w:name w:val="Book Title"/>
    <w:basedOn w:val="92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3">
    <w:name w:val="Header"/>
    <w:basedOn w:val="915"/>
    <w:link w:val="90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4">
    <w:name w:val="Header Char"/>
    <w:basedOn w:val="921"/>
    <w:link w:val="903"/>
    <w:uiPriority w:val="99"/>
    <w:pPr>
      <w:pBdr/>
      <w:spacing/>
      <w:ind/>
    </w:pPr>
  </w:style>
  <w:style w:type="character" w:styleId="905">
    <w:name w:val="Footer Char"/>
    <w:basedOn w:val="921"/>
    <w:link w:val="962"/>
    <w:uiPriority w:val="99"/>
    <w:pPr>
      <w:pBdr/>
      <w:spacing/>
      <w:ind/>
    </w:pPr>
  </w:style>
  <w:style w:type="character" w:styleId="906">
    <w:name w:val="Footnote Text Char"/>
    <w:basedOn w:val="921"/>
    <w:link w:val="960"/>
    <w:uiPriority w:val="99"/>
    <w:semiHidden/>
    <w:pPr>
      <w:pBdr/>
      <w:spacing/>
      <w:ind/>
    </w:pPr>
    <w:rPr>
      <w:sz w:val="20"/>
      <w:szCs w:val="20"/>
    </w:rPr>
  </w:style>
  <w:style w:type="character" w:styleId="907">
    <w:name w:val="foot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paragraph" w:styleId="908">
    <w:name w:val="endnote text"/>
    <w:basedOn w:val="915"/>
    <w:link w:val="90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9">
    <w:name w:val="Endnote Text Char"/>
    <w:basedOn w:val="921"/>
    <w:link w:val="908"/>
    <w:uiPriority w:val="99"/>
    <w:semiHidden/>
    <w:pPr>
      <w:pBdr/>
      <w:spacing/>
      <w:ind/>
    </w:pPr>
    <w:rPr>
      <w:sz w:val="20"/>
      <w:szCs w:val="20"/>
    </w:rPr>
  </w:style>
  <w:style w:type="character" w:styleId="910">
    <w:name w:val="end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character" w:styleId="911">
    <w:name w:val="Hyperlink"/>
    <w:basedOn w:val="92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2">
    <w:name w:val="FollowedHyperlink"/>
    <w:basedOn w:val="9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3">
    <w:name w:val="TOC Heading"/>
    <w:uiPriority w:val="39"/>
    <w:unhideWhenUsed/>
    <w:pPr>
      <w:pBdr/>
      <w:spacing/>
      <w:ind/>
    </w:pPr>
  </w:style>
  <w:style w:type="paragraph" w:styleId="914">
    <w:name w:val="table of figures"/>
    <w:basedOn w:val="915"/>
    <w:next w:val="915"/>
    <w:uiPriority w:val="99"/>
    <w:unhideWhenUsed/>
    <w:pPr>
      <w:pBdr/>
      <w:spacing w:after="0" w:afterAutospacing="0"/>
      <w:ind/>
    </w:pPr>
  </w:style>
  <w:style w:type="paragraph" w:styleId="915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16">
    <w:name w:val="Heading 1"/>
    <w:basedOn w:val="918"/>
    <w:next w:val="915"/>
    <w:link w:val="922"/>
    <w:qFormat/>
    <w:pPr>
      <w:pBdr/>
      <w:spacing/>
      <w:ind/>
      <w:outlineLvl w:val="0"/>
    </w:pPr>
    <w:rPr>
      <w:sz w:val="28"/>
      <w:szCs w:val="28"/>
    </w:rPr>
  </w:style>
  <w:style w:type="paragraph" w:styleId="917">
    <w:name w:val="Heading 2"/>
    <w:basedOn w:val="919"/>
    <w:next w:val="915"/>
    <w:link w:val="923"/>
    <w:qFormat/>
    <w:pPr>
      <w:pBdr/>
      <w:spacing/>
      <w:ind/>
      <w:outlineLvl w:val="1"/>
    </w:pPr>
  </w:style>
  <w:style w:type="paragraph" w:styleId="918">
    <w:name w:val="Heading 3"/>
    <w:basedOn w:val="915"/>
    <w:next w:val="915"/>
    <w:link w:val="924"/>
    <w:qFormat/>
    <w:pPr>
      <w:keepNext w:val="true"/>
      <w:numPr>
        <w:ilvl w:val="2"/>
        <w:numId w:val="1"/>
      </w:numPr>
      <w:pBdr/>
      <w:spacing w:after="60" w:before="120" w:line="240" w:lineRule="auto"/>
      <w:ind/>
      <w:outlineLvl w:val="2"/>
    </w:pPr>
    <w:rPr>
      <w:rFonts w:ascii="Times New Roman" w:hAnsi="Times New Roman" w:eastAsia="Calibri" w:cs="Times New Roman"/>
      <w:b/>
      <w:sz w:val="24"/>
      <w:szCs w:val="24"/>
    </w:rPr>
  </w:style>
  <w:style w:type="paragraph" w:styleId="919">
    <w:name w:val="Heading 4"/>
    <w:basedOn w:val="918"/>
    <w:next w:val="915"/>
    <w:link w:val="925"/>
    <w:qFormat/>
    <w:pPr>
      <w:pBdr/>
      <w:spacing/>
      <w:ind/>
      <w:outlineLvl w:val="3"/>
    </w:pPr>
    <w:rPr>
      <w:bCs/>
    </w:rPr>
  </w:style>
  <w:style w:type="paragraph" w:styleId="920">
    <w:name w:val="Heading 5"/>
    <w:basedOn w:val="915"/>
    <w:next w:val="915"/>
    <w:link w:val="929"/>
    <w:uiPriority w:val="9"/>
    <w:semiHidden/>
    <w:unhideWhenUsed/>
    <w:qFormat/>
    <w:pPr>
      <w:keepNext w:val="true"/>
      <w:keepLines w:val="true"/>
      <w:pBdr/>
      <w:spacing w:after="0" w:before="40"/>
      <w:ind/>
      <w:outlineLvl w:val="4"/>
    </w:pPr>
    <w:rPr>
      <w:rFonts w:ascii="Calibri Light" w:hAnsi="Calibri Light" w:asciiTheme="majorHAnsi" w:hAnsiTheme="majorHAnsi" w:eastAsiaTheme="majorEastAsia" w:cstheme="majorBidi"/>
      <w:color w:val="2e74b5" w:themeColor="accent1" w:themeShade="BF"/>
    </w:rPr>
  </w:style>
  <w:style w:type="character" w:styleId="92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22" w:customStyle="1">
    <w:name w:val="Заголовок 1 Знак"/>
    <w:basedOn w:val="921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923" w:customStyle="1">
    <w:name w:val="Заголовок 2 Знак"/>
    <w:basedOn w:val="921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24" w:customStyle="1">
    <w:name w:val="Заголовок 3 Знак"/>
    <w:basedOn w:val="921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925" w:customStyle="1">
    <w:name w:val="Заголовок 4 Знак"/>
    <w:basedOn w:val="921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26">
    <w:name w:val="Интернет-ссылка"/>
    <w:uiPriority w:val="99"/>
    <w:pPr>
      <w:pBdr/>
      <w:spacing/>
      <w:ind/>
    </w:pPr>
    <w:rPr>
      <w:color w:val="0000ff"/>
      <w:u w:val="single"/>
    </w:rPr>
  </w:style>
  <w:style w:type="character" w:styleId="927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28" w:customStyle="1">
    <w:name w:val="Абзац списка Знак"/>
    <w:link w:val="950"/>
    <w:uiPriority w:val="34"/>
    <w:qFormat/>
    <w:pPr>
      <w:pBdr/>
      <w:spacing/>
      <w:ind/>
    </w:pPr>
    <w:rPr>
      <w:rFonts w:ascii="Times New Roman" w:hAnsi="Times New Roman" w:cs="Times New Roman"/>
      <w:sz w:val="24"/>
      <w:szCs w:val="20"/>
    </w:rPr>
  </w:style>
  <w:style w:type="character" w:styleId="929" w:customStyle="1">
    <w:name w:val="Заголовок 5 Знак"/>
    <w:basedOn w:val="921"/>
    <w:uiPriority w:val="9"/>
    <w:semiHidden/>
    <w:qFormat/>
    <w:pPr>
      <w:pBdr/>
      <w:spacing/>
      <w:ind/>
    </w:pPr>
    <w:rPr>
      <w:rFonts w:ascii="Calibri Light" w:hAnsi="Calibri Light" w:asciiTheme="majorHAnsi" w:hAnsiTheme="majorHAnsi" w:eastAsiaTheme="majorEastAsia" w:cstheme="majorBidi"/>
      <w:color w:val="2e74b5" w:themeColor="accent1" w:themeShade="BF"/>
    </w:rPr>
  </w:style>
  <w:style w:type="character" w:styleId="930">
    <w:name w:val="Strong"/>
    <w:basedOn w:val="921"/>
    <w:uiPriority w:val="22"/>
    <w:qFormat/>
    <w:pPr>
      <w:pBdr/>
      <w:spacing/>
      <w:ind/>
    </w:pPr>
    <w:rPr>
      <w:b/>
      <w:bCs/>
    </w:rPr>
  </w:style>
  <w:style w:type="character" w:styleId="931" w:customStyle="1">
    <w:name w:val="Текст выноски Знак"/>
    <w:basedOn w:val="921"/>
    <w:link w:val="955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32">
    <w:name w:val="Ссылка указателя"/>
    <w:qFormat/>
    <w:pPr>
      <w:pBdr/>
      <w:spacing/>
      <w:ind/>
    </w:pPr>
  </w:style>
  <w:style w:type="character" w:styleId="933">
    <w:name w:val="Символ нумерации"/>
    <w:qFormat/>
    <w:pPr>
      <w:pBdr/>
      <w:spacing/>
      <w:ind/>
    </w:pPr>
  </w:style>
  <w:style w:type="character" w:styleId="934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35">
    <w:name w:val="Символ сноски"/>
    <w:qFormat/>
    <w:pPr>
      <w:pBdr/>
      <w:spacing/>
      <w:ind/>
    </w:pPr>
  </w:style>
  <w:style w:type="character" w:styleId="936">
    <w:name w:val="Привязка сноски"/>
    <w:pPr>
      <w:pBdr/>
      <w:spacing/>
      <w:ind/>
    </w:pPr>
    <w:rPr>
      <w:vertAlign w:val="superscript"/>
    </w:rPr>
  </w:style>
  <w:style w:type="character" w:styleId="937">
    <w:name w:val="Привязка концевой сноски"/>
    <w:pPr>
      <w:pBdr/>
      <w:spacing/>
      <w:ind/>
    </w:pPr>
    <w:rPr>
      <w:vertAlign w:val="superscript"/>
    </w:rPr>
  </w:style>
  <w:style w:type="character" w:styleId="938">
    <w:name w:val="Символ концевой сноски"/>
    <w:qFormat/>
    <w:pPr>
      <w:pBdr/>
      <w:spacing/>
      <w:ind/>
    </w:pPr>
  </w:style>
  <w:style w:type="paragraph" w:styleId="939">
    <w:name w:val="Заголовок"/>
    <w:basedOn w:val="915"/>
    <w:next w:val="94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40">
    <w:name w:val="Body Text"/>
    <w:basedOn w:val="915"/>
    <w:pPr>
      <w:pBdr/>
      <w:spacing w:after="140" w:before="0" w:line="276" w:lineRule="auto"/>
      <w:ind/>
    </w:pPr>
  </w:style>
  <w:style w:type="paragraph" w:styleId="941">
    <w:name w:val="List"/>
    <w:basedOn w:val="940"/>
    <w:pPr>
      <w:pBdr/>
      <w:spacing/>
      <w:ind/>
    </w:pPr>
    <w:rPr>
      <w:rFonts w:cs="Lohit Devanagari"/>
    </w:rPr>
  </w:style>
  <w:style w:type="paragraph" w:styleId="942">
    <w:name w:val="Caption"/>
    <w:basedOn w:val="915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43">
    <w:name w:val="Указатель"/>
    <w:basedOn w:val="915"/>
    <w:qFormat/>
    <w:pPr>
      <w:suppressLineNumbers w:val="true"/>
      <w:pBdr/>
      <w:spacing/>
      <w:ind/>
    </w:pPr>
    <w:rPr>
      <w:rFonts w:cs="Lohit Devanagari"/>
    </w:rPr>
  </w:style>
  <w:style w:type="paragraph" w:styleId="944">
    <w:name w:val="TOC 1"/>
    <w:basedOn w:val="915"/>
    <w:next w:val="915"/>
    <w:uiPriority w:val="39"/>
    <w:pPr>
      <w:widowControl w:val="true"/>
      <w:pBdr/>
      <w:tabs>
        <w:tab w:val="left" w:leader="none" w:pos="560"/>
        <w:tab w:val="clear" w:leader="none" w:pos="708"/>
        <w:tab w:val="right" w:leader="dot" w:pos="9345"/>
      </w:tabs>
      <w:bidi w:val="false"/>
      <w:spacing w:after="160" w:before="0" w:line="240" w:lineRule="auto"/>
      <w:ind w:right="0" w:firstLine="0" w:left="0"/>
      <w:jc w:val="left"/>
    </w:pPr>
    <w:rPr>
      <w:rFonts w:ascii="Times New Roman" w:hAnsi="Times New Roman" w:eastAsia="Times New Roman" w:cs="Calibri Light (Заголовки)"/>
      <w:b/>
      <w:bCs/>
      <w:sz w:val="24"/>
      <w:szCs w:val="24"/>
      <w:lang w:eastAsia="ru-RU"/>
    </w:rPr>
  </w:style>
  <w:style w:type="paragraph" w:styleId="945">
    <w:name w:val="TOC 3"/>
    <w:basedOn w:val="915"/>
    <w:next w:val="915"/>
    <w:uiPriority w:val="39"/>
    <w:pPr>
      <w:pBdr/>
      <w:spacing w:after="0" w:before="0" w:line="240" w:lineRule="auto"/>
      <w:ind w:firstLine="0" w:left="280"/>
    </w:pPr>
    <w:rPr>
      <w:rFonts w:ascii="Times New Roman" w:hAnsi="Times New Roman" w:eastAsia="Times New Roman" w:cs="Calibri" w:cstheme="minorHAnsi"/>
      <w:sz w:val="20"/>
      <w:szCs w:val="20"/>
      <w:lang w:eastAsia="ru-RU"/>
    </w:rPr>
  </w:style>
  <w:style w:type="paragraph" w:styleId="946">
    <w:name w:val="TOC 4"/>
    <w:basedOn w:val="915"/>
    <w:next w:val="915"/>
    <w:uiPriority w:val="39"/>
    <w:pPr>
      <w:pBdr/>
      <w:spacing w:after="0" w:before="0" w:line="240" w:lineRule="auto"/>
      <w:ind w:firstLine="0" w:left="560"/>
    </w:pPr>
    <w:rPr>
      <w:rFonts w:ascii="Times New Roman" w:hAnsi="Times New Roman" w:eastAsia="Times New Roman" w:cs="Calibri" w:cstheme="minorHAnsi"/>
      <w:sz w:val="20"/>
      <w:szCs w:val="20"/>
      <w:lang w:eastAsia="ru-RU"/>
    </w:rPr>
  </w:style>
  <w:style w:type="paragraph" w:styleId="947" w:customStyle="1">
    <w:name w:val="Раздел положения"/>
    <w:basedOn w:val="915"/>
    <w:qFormat/>
    <w:pPr>
      <w:numPr>
        <w:ilvl w:val="0"/>
        <w:numId w:val="2"/>
      </w:numPr>
      <w:pBdr/>
      <w:spacing w:after="80" w:before="80" w:line="240" w:lineRule="auto"/>
      <w:ind/>
      <w:jc w:val="center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948" w:customStyle="1">
    <w:name w:val="Подраздел раздела положения"/>
    <w:basedOn w:val="915"/>
    <w:qFormat/>
    <w:pPr>
      <w:numPr>
        <w:ilvl w:val="1"/>
        <w:numId w:val="2"/>
      </w:numPr>
      <w:pBdr/>
      <w:spacing w:after="80" w:before="80" w:line="240" w:lineRule="auto"/>
      <w:ind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9" w:customStyle="1">
    <w:name w:val="МРСК_заголовок_1"/>
    <w:basedOn w:val="916"/>
    <w:qFormat/>
    <w:pPr>
      <w:numPr>
        <w:ilvl w:val="0"/>
        <w:numId w:val="3"/>
      </w:numPr>
      <w:pBdr/>
      <w:shd w:val="clear" w:color="auto" w:fill="d9d9d9"/>
      <w:spacing w:after="60" w:before="240" w:line="300" w:lineRule="auto"/>
      <w:ind/>
      <w:jc w:val="both"/>
    </w:pPr>
    <w:rPr>
      <w:rFonts w:eastAsia="Times New Roman" w:cs="Arial"/>
      <w:bCs/>
      <w:caps/>
      <w:szCs w:val="20"/>
      <w:lang w:val="ru-RU" w:eastAsia="ru-RU"/>
    </w:rPr>
  </w:style>
  <w:style w:type="paragraph" w:styleId="950">
    <w:name w:val="List Paragraph"/>
    <w:basedOn w:val="915"/>
    <w:link w:val="928"/>
    <w:uiPriority w:val="34"/>
    <w:qFormat/>
    <w:pPr>
      <w:pBdr/>
      <w:spacing w:after="160" w:before="0"/>
      <w:ind w:firstLine="0" w:left="720"/>
      <w:contextualSpacing w:val="true"/>
    </w:pPr>
    <w:rPr>
      <w:rFonts w:ascii="Times New Roman" w:hAnsi="Times New Roman" w:cs="Times New Roman"/>
      <w:sz w:val="24"/>
      <w:szCs w:val="20"/>
    </w:rPr>
  </w:style>
  <w:style w:type="paragraph" w:styleId="951" w:customStyle="1">
    <w:name w:val="List Paragraph1"/>
    <w:basedOn w:val="915"/>
    <w:qFormat/>
    <w:pPr>
      <w:pBdr/>
      <w:spacing w:after="0" w:before="0" w:line="240" w:lineRule="auto"/>
      <w:ind w:firstLine="0" w:left="720"/>
      <w:jc w:val="both"/>
    </w:pPr>
    <w:rPr>
      <w:rFonts w:ascii="Times New Roman" w:hAnsi="Times New Roman" w:eastAsia="Calibri" w:cs="Times New Roman"/>
      <w:sz w:val="20"/>
      <w:szCs w:val="20"/>
      <w:lang w:eastAsia="hi-IN" w:bidi="hi-IN"/>
    </w:rPr>
  </w:style>
  <w:style w:type="paragraph" w:styleId="952" w:customStyle="1">
    <w:name w:val="List Paragraph2"/>
    <w:basedOn w:val="915"/>
    <w:qFormat/>
    <w:pPr>
      <w:pBdr/>
      <w:spacing w:after="0" w:before="0" w:line="100" w:lineRule="atLeast"/>
      <w:ind w:firstLine="0" w:left="720"/>
    </w:pPr>
    <w:rPr>
      <w:rFonts w:ascii="Times New Roman" w:hAnsi="Times New Roman" w:eastAsia="Times New Roman" w:cs="Times New Roman"/>
      <w:sz w:val="24"/>
      <w:szCs w:val="24"/>
      <w:lang w:val="en-US" w:eastAsia="ar-SA"/>
    </w:rPr>
  </w:style>
  <w:style w:type="paragraph" w:styleId="953" w:customStyle="1">
    <w:name w:val="Таблица шапка"/>
    <w:basedOn w:val="915"/>
    <w:qFormat/>
    <w:pPr>
      <w:keepNext w:val="true"/>
      <w:pBdr/>
      <w:spacing w:after="40" w:before="40" w:line="240" w:lineRule="auto"/>
      <w:ind w:right="57" w:firstLine="0" w:left="57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954" w:customStyle="1">
    <w:name w:val="Таблица"/>
    <w:basedOn w:val="915"/>
    <w:qFormat/>
    <w:pPr>
      <w:keepNext w:val="true"/>
      <w:pBdr/>
      <w:spacing w:after="60" w:before="60" w:line="240" w:lineRule="auto"/>
      <w:ind/>
      <w:jc w:val="center"/>
    </w:pPr>
    <w:rPr>
      <w:rFonts w:ascii="Times New Roman" w:hAnsi="Times New Roman" w:eastAsia="Calibri" w:cs="Times New Roman"/>
      <w:b/>
      <w:sz w:val="24"/>
      <w:szCs w:val="24"/>
    </w:rPr>
  </w:style>
  <w:style w:type="paragraph" w:styleId="955">
    <w:name w:val="Balloon Text"/>
    <w:basedOn w:val="915"/>
    <w:link w:val="931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956">
    <w:name w:val="Default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957">
    <w:name w:val="Содержимое таблицы"/>
    <w:basedOn w:val="915"/>
    <w:qFormat/>
    <w:pPr>
      <w:widowControl w:val="false"/>
      <w:suppressLineNumbers w:val="true"/>
      <w:pBdr/>
      <w:spacing/>
      <w:ind/>
    </w:pPr>
  </w:style>
  <w:style w:type="paragraph" w:styleId="958">
    <w:name w:val="Заголовок таблицы"/>
    <w:basedOn w:val="957"/>
    <w:qFormat/>
    <w:pPr>
      <w:suppressLineNumbers w:val="true"/>
      <w:pBdr/>
      <w:spacing/>
      <w:ind/>
      <w:jc w:val="center"/>
    </w:pPr>
    <w:rPr>
      <w:b/>
      <w:bCs/>
    </w:rPr>
  </w:style>
  <w:style w:type="paragraph" w:styleId="959">
    <w:name w:val="ConsPlusNormal"/>
    <w:qFormat/>
    <w:pPr>
      <w:widowControl w:val="false"/>
      <w:pBdr/>
      <w:bidi w:val="false"/>
      <w:spacing w:after="0" w:before="0" w:line="240" w:lineRule="auto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60">
    <w:name w:val="footnote text"/>
    <w:basedOn w:val="915"/>
    <w:pPr>
      <w:suppressLineNumbers w:val="true"/>
      <w:pBdr/>
      <w:spacing/>
      <w:ind w:hanging="340" w:left="340"/>
    </w:pPr>
    <w:rPr>
      <w:sz w:val="20"/>
      <w:szCs w:val="20"/>
    </w:rPr>
  </w:style>
  <w:style w:type="paragraph" w:styleId="961">
    <w:name w:val="Колонтитул"/>
    <w:basedOn w:val="915"/>
    <w:qFormat/>
    <w:pPr>
      <w:suppressLineNumbers w:val="true"/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62">
    <w:name w:val="Footer"/>
    <w:basedOn w:val="961"/>
    <w:pPr>
      <w:suppressLineNumbers w:val="true"/>
      <w:pBdr/>
      <w:spacing/>
      <w:ind/>
    </w:pPr>
  </w:style>
  <w:style w:type="paragraph" w:styleId="963">
    <w:name w:val="Текст в заданном формате"/>
    <w:basedOn w:val="915"/>
    <w:qFormat/>
    <w:pPr>
      <w:pBdr/>
      <w:spacing w:after="0" w:before="0"/>
      <w:ind/>
    </w:pPr>
    <w:rPr>
      <w:rFonts w:ascii="Liberation Mono" w:hAnsi="Liberation Mono" w:eastAsia="Liberation Mono" w:cs="Liberation Mono"/>
      <w:sz w:val="20"/>
      <w:szCs w:val="20"/>
    </w:rPr>
  </w:style>
  <w:style w:type="numbering" w:styleId="964" w:default="1">
    <w:name w:val="No List"/>
    <w:uiPriority w:val="99"/>
    <w:semiHidden/>
    <w:unhideWhenUsed/>
    <w:qFormat/>
    <w:pPr>
      <w:pBdr/>
      <w:spacing/>
      <w:ind/>
    </w:pPr>
  </w:style>
  <w:style w:type="numbering" w:styleId="965">
    <w:name w:val="Маркер •"/>
    <w:qFormat/>
    <w:pPr>
      <w:pBdr/>
      <w:spacing/>
      <w:ind/>
    </w:pPr>
  </w:style>
  <w:style w:type="table" w:styleId="96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Table Grid"/>
    <w:basedOn w:val="966"/>
    <w:uiPriority w:val="3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8" w:customStyle="1">
    <w:name w:val="h1"/>
    <w:qFormat/>
    <w:pPr>
      <w:keepNext w:val="true"/>
      <w:keepLines w:val="true"/>
      <w:pageBreakBefore w:val="false"/>
      <w:widowControl w:val="true"/>
      <w:numPr>
        <w:numId w:val="16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60" w:afterAutospacing="0" w:before="120" w:beforeAutospacing="0" w:line="259" w:lineRule="auto"/>
      <w:ind w:right="0" w:hanging="360" w:left="720"/>
      <w:contextualSpacing w:val="false"/>
      <w:jc w:val="center"/>
      <w:outlineLvl w:val="0"/>
    </w:pPr>
    <w:rPr>
      <w:rFonts w:ascii="Times New Roman" w:hAnsi="Times New Roman" w:cs="Times New Roman" w:eastAsiaTheme="majorEastAsia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9" w:customStyle="1">
    <w:name w:val="h2"/>
    <w:qFormat/>
    <w:pPr>
      <w:keepNext w:val="true"/>
      <w:keepLines w:val="true"/>
      <w:pageBreakBefore w:val="false"/>
      <w:widowControl w:val="true"/>
      <w:numPr>
        <w:ilvl w:val="1"/>
        <w:numId w:val="16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60" w:afterAutospacing="0" w:before="120" w:beforeAutospacing="0" w:line="259" w:lineRule="auto"/>
      <w:ind w:right="0" w:hanging="360" w:left="644"/>
      <w:contextualSpacing w:val="false"/>
      <w:jc w:val="left"/>
      <w:outlineLvl w:val="3"/>
    </w:pPr>
    <w:rPr>
      <w:rFonts w:ascii="Times New Roman" w:hAnsi="Times New Roman" w:cs="Times New Roman" w:eastAsiaTheme="majorEastAs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70" w:customStyle="1">
    <w:name w:val="h3"/>
    <w:qFormat/>
    <w:pPr>
      <w:keepNext w:val="true"/>
      <w:keepLines w:val="true"/>
      <w:pageBreakBefore w:val="false"/>
      <w:widowControl w:val="true"/>
      <w:numPr>
        <w:ilvl w:val="2"/>
        <w:numId w:val="16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num" w:leader="none" w:pos="0"/>
      </w:tabs>
      <w:bidi w:val="false"/>
      <w:spacing w:after="60" w:afterAutospacing="0" w:before="120" w:beforeAutospacing="0" w:line="259" w:lineRule="auto"/>
      <w:ind w:right="0" w:hanging="720" w:left="1080"/>
      <w:contextualSpacing w:val="false"/>
      <w:jc w:val="left"/>
      <w:outlineLvl w:val="3"/>
    </w:pPr>
    <w:rPr>
      <w:rFonts w:ascii="Times New Roman" w:hAnsi="Times New Roman" w:cs="Times New Roman" w:eastAsiaTheme="majorEastAsia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71" w:customStyle="1">
    <w:name w:val="t_n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20" w:afterAutospacing="0" w:before="120" w:beforeAutospacing="0" w:line="259" w:lineRule="auto"/>
      <w:ind w:right="0" w:firstLine="0" w:left="0"/>
      <w:contextualSpacing w:val="false"/>
      <w:jc w:val="righ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Охотин Дмитрий Степанович</dc:creator>
  <dc:description/>
  <dc:language>ru-RU</dc:language>
  <cp:revision>13</cp:revision>
  <dcterms:created xsi:type="dcterms:W3CDTF">2023-02-09T00:43:00Z</dcterms:created>
  <dcterms:modified xsi:type="dcterms:W3CDTF">2026-07-24T05:08:18Z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