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jc w:val="right"/>
        <w:rPr>
          <w:b/>
          <w:bCs/>
          <w:sz w:val="26"/>
          <w:szCs w:val="26"/>
          <w:lang w:val="en-US"/>
        </w:rPr>
      </w:pPr>
      <w:r>
        <w:rPr>
          <w:b/>
          <w:bCs/>
          <w:sz w:val="26"/>
          <w:szCs w:val="26"/>
          <w:lang w:val="en-US"/>
        </w:rPr>
      </w:r>
      <w:bookmarkStart w:id="0" w:name="_Toc75446582"/>
      <w:bookmarkStart w:id="1" w:name="_Toc75446582"/>
      <w:bookmarkEnd w:id="1"/>
    </w:p>
    <w:p>
      <w:pPr>
        <w:pStyle w:val="Normal"/>
        <w:keepNext w:val="true"/>
        <w:keepLines/>
        <w:jc w:val="right"/>
        <w:rPr>
          <w:b/>
          <w:bCs/>
          <w:sz w:val="26"/>
          <w:szCs w:val="26"/>
        </w:rPr>
      </w:pPr>
      <w:r>
        <w:rPr>
          <w:b/>
          <w:bCs/>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numPr>
          <w:ilvl w:val="0"/>
          <w:numId w:val="0"/>
        </w:numPr>
        <w:jc w:val="center"/>
        <w:outlineLvl w:val="0"/>
        <w:rPr>
          <w:b/>
          <w:szCs w:val="24"/>
        </w:rPr>
      </w:pPr>
      <w:r>
        <w:rPr>
          <w:b/>
          <w:szCs w:val="24"/>
        </w:rPr>
        <w:t>ТЕХНИЧЕСКИЕ ТРЕБОВАНИЯ</w:t>
      </w:r>
    </w:p>
    <w:p>
      <w:pPr>
        <w:pStyle w:val="Normal"/>
        <w:keepNext w:val="true"/>
        <w:numPr>
          <w:ilvl w:val="0"/>
          <w:numId w:val="0"/>
        </w:numPr>
        <w:jc w:val="center"/>
        <w:outlineLvl w:val="0"/>
        <w:rPr>
          <w:b/>
          <w:szCs w:val="24"/>
        </w:rPr>
      </w:pPr>
      <w:r>
        <w:rPr>
          <w:b/>
          <w:szCs w:val="24"/>
        </w:rPr>
      </w:r>
    </w:p>
    <w:p>
      <w:pPr>
        <w:pStyle w:val="Normal"/>
        <w:jc w:val="center"/>
        <w:rPr>
          <w:rFonts w:eastAsia="Times New Roman" w:cs="Times New Roman"/>
          <w:bCs/>
          <w:spacing w:val="-6"/>
          <w:szCs w:val="24"/>
        </w:rPr>
      </w:pPr>
      <w:r>
        <w:rPr>
          <w:rFonts w:eastAsia="Times New Roman" w:cs="Times New Roman"/>
          <w:bCs/>
          <w:spacing w:val="-6"/>
          <w:szCs w:val="24"/>
        </w:rPr>
        <w:t>ОКПД2</w:t>
      </w:r>
      <w:r>
        <w:rPr>
          <w:rFonts w:eastAsia="Times New Roman" w:cs="Times New Roman"/>
          <w:bCs/>
          <w:spacing w:val="-6"/>
          <w:szCs w:val="24"/>
          <w:highlight w:val="yellow"/>
        </w:rPr>
        <w:t>…….</w:t>
      </w:r>
      <w:r>
        <w:rPr>
          <w:rFonts w:eastAsia="Times New Roman" w:cs="Times New Roman"/>
          <w:bCs/>
          <w:spacing w:val="-6"/>
          <w:szCs w:val="24"/>
        </w:rPr>
        <w:t xml:space="preserve"> Поставка </w:t>
      </w:r>
      <w:r>
        <w:rPr>
          <w:rFonts w:eastAsia="Calibri"/>
          <w:lang w:eastAsia="x-none"/>
        </w:rPr>
        <w:t xml:space="preserve">комплекса охранного радиолокационного тепловизионного </w:t>
      </w:r>
      <w:r>
        <w:rPr>
          <w:rFonts w:eastAsia="Times New Roman" w:cs="Times New Roman"/>
          <w:bCs/>
          <w:spacing w:val="-6"/>
          <w:szCs w:val="24"/>
        </w:rPr>
        <w:t>для Рыбинской и Угличской ГЭС</w:t>
      </w:r>
    </w:p>
    <w:p>
      <w:pPr>
        <w:pStyle w:val="Normal"/>
        <w:jc w:val="center"/>
        <w:rPr>
          <w:rFonts w:eastAsia="Times New Roman" w:cs="Times New Roman"/>
          <w:bCs/>
          <w:spacing w:val="-6"/>
          <w:szCs w:val="24"/>
        </w:rPr>
      </w:pPr>
      <w:r>
        <w:rPr>
          <w:rFonts w:eastAsia="Times New Roman" w:cs="Times New Roman"/>
          <w:bCs/>
          <w:spacing w:val="-6"/>
          <w:szCs w:val="24"/>
        </w:rPr>
        <w:t>Каскада Верхневолжских ГЭС</w:t>
      </w:r>
    </w:p>
    <w:p>
      <w:pPr>
        <w:pStyle w:val="Normal"/>
        <w:jc w:val="center"/>
        <w:rPr>
          <w:szCs w:val="24"/>
        </w:rPr>
      </w:pPr>
      <w:r>
        <w:rPr>
          <w:szCs w:val="24"/>
        </w:rPr>
        <w:t>Лот №</w:t>
      </w:r>
      <w:r>
        <w:rPr>
          <w:szCs w:val="24"/>
          <w:highlight w:val="yellow"/>
        </w:rPr>
        <w:t>…</w:t>
      </w:r>
    </w:p>
    <w:p>
      <w:pPr>
        <w:pStyle w:val="Normal"/>
        <w:rPr>
          <w:szCs w:val="24"/>
        </w:rPr>
      </w:pPr>
      <w:r>
        <w:rPr>
          <w:szCs w:val="24"/>
        </w:rPr>
      </w:r>
      <w:r>
        <w:br w:type="page"/>
      </w:r>
    </w:p>
    <w:p>
      <w:pPr>
        <w:pStyle w:val="Normal"/>
        <w:rPr>
          <w:b/>
        </w:rPr>
      </w:pPr>
      <w:r>
        <w:rPr>
          <w:b/>
        </w:rPr>
        <w:t>1.</w:t>
        <w:tab/>
        <w:t>Общие сведения</w:t>
      </w:r>
    </w:p>
    <w:p>
      <w:pPr>
        <w:pStyle w:val="Heading4"/>
        <w:numPr>
          <w:ilvl w:val="1"/>
          <w:numId w:val="1"/>
        </w:numPr>
        <w:ind w:left="0" w:hanging="0"/>
        <w:rPr/>
      </w:pPr>
      <w:bookmarkStart w:id="2" w:name="_Toc46743506"/>
      <w:bookmarkStart w:id="3" w:name="_Toc75446568"/>
      <w:r>
        <w:rPr/>
        <w:t>Наименование закупаемой продукции</w:t>
      </w:r>
      <w:bookmarkEnd w:id="2"/>
      <w:bookmarkEnd w:id="3"/>
    </w:p>
    <w:p>
      <w:pPr>
        <w:pStyle w:val="Heading4"/>
        <w:numPr>
          <w:ilvl w:val="1"/>
          <w:numId w:val="1"/>
        </w:numPr>
        <w:rPr>
          <w:b w:val="false"/>
        </w:rPr>
      </w:pPr>
      <w:bookmarkStart w:id="4" w:name="_Toc75446569"/>
      <w:bookmarkStart w:id="5" w:name="_Toc46743507"/>
      <w:r>
        <w:rPr>
          <w:rFonts w:eastAsia="Times New Roman"/>
          <w:b w:val="false"/>
          <w:spacing w:val="-6"/>
          <w:lang w:val="ru-RU" w:eastAsia="en-US"/>
        </w:rPr>
        <w:t>ОКПД2</w:t>
      </w:r>
      <w:r>
        <w:rPr>
          <w:rFonts w:eastAsia="Times New Roman"/>
          <w:b w:val="false"/>
          <w:spacing w:val="-6"/>
          <w:highlight w:val="yellow"/>
          <w:lang w:val="ru-RU" w:eastAsia="en-US"/>
        </w:rPr>
        <w:t>…</w:t>
      </w:r>
      <w:r>
        <w:rPr>
          <w:rFonts w:eastAsia="Times New Roman"/>
          <w:b w:val="false"/>
          <w:spacing w:val="-6"/>
          <w:lang w:val="ru-RU" w:eastAsia="en-US"/>
        </w:rPr>
        <w:t xml:space="preserve"> Поставка комплекса охранного радиолокационного тепловизионного</w:t>
      </w:r>
      <w:r>
        <w:rPr/>
        <w:t xml:space="preserve"> </w:t>
      </w:r>
      <w:r>
        <w:rPr>
          <w:rFonts w:eastAsia="Times New Roman"/>
          <w:b w:val="false"/>
          <w:spacing w:val="-6"/>
          <w:lang w:val="ru-RU" w:eastAsia="en-US"/>
        </w:rPr>
        <w:t xml:space="preserve">для Рыбинской и Угличской ГЭС </w:t>
      </w:r>
      <w:r>
        <w:rPr>
          <w:rFonts w:eastAsia="Times New Roman"/>
          <w:b w:val="false"/>
          <w:color w:val="000000"/>
          <w:spacing w:val="-6"/>
        </w:rPr>
        <w:t>Каскада Верхневолжских ГЭС</w:t>
      </w:r>
    </w:p>
    <w:p>
      <w:pPr>
        <w:pStyle w:val="Heading4"/>
        <w:numPr>
          <w:ilvl w:val="1"/>
          <w:numId w:val="1"/>
        </w:numPr>
        <w:rPr/>
      </w:pPr>
      <w:bookmarkStart w:id="6" w:name="_Toc46743507"/>
      <w:r>
        <w:rPr/>
        <w:t xml:space="preserve">Цель </w:t>
      </w:r>
      <w:bookmarkEnd w:id="6"/>
      <w:r>
        <w:rPr/>
        <w:t xml:space="preserve">использования закупаемой продукции </w:t>
      </w:r>
      <w:bookmarkEnd w:id="4"/>
      <w:r>
        <w:rPr/>
        <w:t xml:space="preserve"> </w:t>
      </w:r>
    </w:p>
    <w:p>
      <w:pPr>
        <w:pStyle w:val="BodyText21"/>
        <w:ind w:hanging="0"/>
        <w:rPr/>
      </w:pPr>
      <w:r>
        <w:rPr>
          <w:rStyle w:val="Style"/>
          <w:b w:val="false"/>
          <w:bCs/>
          <w:i w:val="false"/>
          <w:color w:val="000000"/>
          <w:szCs w:val="24"/>
          <w:shd w:fill="FFFFFF" w:val="clear"/>
        </w:rPr>
        <w:t xml:space="preserve">Исполнение доходного договора от 25.12.2025 г </w:t>
      </w:r>
      <w:r>
        <w:rPr>
          <w:rStyle w:val="Style"/>
          <w:b w:val="false"/>
          <w:bCs/>
          <w:i w:val="false"/>
          <w:spacing w:val="-6"/>
          <w:szCs w:val="24"/>
          <w:shd w:fill="auto" w:val="clear"/>
          <w:lang w:eastAsia="en-US"/>
        </w:rPr>
        <w:t>№ 1200-250-2025 «Монтаж и наладка технических средств охраны комплексной системы безопасности Рыбинской и Угличской ГЭС»</w:t>
      </w:r>
      <w:r>
        <w:rPr>
          <w:rStyle w:val="Style"/>
          <w:b w:val="false"/>
          <w:bCs/>
          <w:i w:val="false"/>
          <w:color w:val="000000"/>
          <w:szCs w:val="24"/>
          <w:shd w:fill="FFFFFF" w:val="clear"/>
        </w:rPr>
        <w:t>, заключенного между АО «Гидроремонт-ВКК» и ПАО «РусГидро».</w:t>
      </w:r>
    </w:p>
    <w:p>
      <w:pPr>
        <w:pStyle w:val="Normal"/>
        <w:ind w:firstLine="567"/>
        <w:jc w:val="both"/>
        <w:rPr>
          <w:szCs w:val="24"/>
        </w:rPr>
      </w:pPr>
      <w:r>
        <w:rPr>
          <w:szCs w:val="24"/>
        </w:rPr>
      </w:r>
    </w:p>
    <w:p>
      <w:pPr>
        <w:pStyle w:val="Heading1"/>
        <w:numPr>
          <w:ilvl w:val="0"/>
          <w:numId w:val="1"/>
        </w:numPr>
        <w:ind w:left="0" w:hanging="0"/>
        <w:rPr>
          <w:sz w:val="24"/>
          <w:szCs w:val="24"/>
        </w:rPr>
      </w:pPr>
      <w:bookmarkStart w:id="7" w:name="_Toc51339693"/>
      <w:bookmarkStart w:id="8" w:name="_Toc75446573"/>
      <w:r>
        <w:rPr>
          <w:sz w:val="24"/>
          <w:szCs w:val="24"/>
        </w:rPr>
        <w:t>Требования к продукции</w:t>
      </w:r>
      <w:bookmarkEnd w:id="7"/>
      <w:bookmarkEnd w:id="8"/>
    </w:p>
    <w:p>
      <w:pPr>
        <w:pStyle w:val="Heading4"/>
        <w:numPr>
          <w:ilvl w:val="1"/>
          <w:numId w:val="1"/>
        </w:numPr>
        <w:ind w:left="0" w:hanging="0"/>
        <w:rPr/>
      </w:pPr>
      <w:bookmarkStart w:id="9" w:name="_Toc75446574"/>
      <w:r>
        <w:rPr/>
        <w:t xml:space="preserve">Требования к объемам и срокам </w:t>
      </w:r>
      <w:r>
        <w:rPr>
          <w:lang w:val="ru-RU"/>
        </w:rPr>
        <w:t>поставки</w:t>
      </w:r>
      <w:bookmarkEnd w:id="9"/>
    </w:p>
    <w:p>
      <w:pPr>
        <w:pStyle w:val="Heading3"/>
        <w:numPr>
          <w:ilvl w:val="2"/>
          <w:numId w:val="1"/>
        </w:numPr>
        <w:ind w:left="0" w:hanging="0"/>
        <w:rPr/>
      </w:pPr>
      <w:bookmarkStart w:id="10" w:name="_Toc75446575"/>
      <w:r>
        <w:rPr/>
        <w:t>Перечень и объем закупаемой продукции</w:t>
      </w:r>
      <w:bookmarkEnd w:id="10"/>
    </w:p>
    <w:p>
      <w:pPr>
        <w:pStyle w:val="Normal"/>
        <w:rPr>
          <w:lang w:val="x-none" w:eastAsia="x-none"/>
        </w:rPr>
      </w:pPr>
      <w:r>
        <w:rPr>
          <w:lang w:val="x-none" w:eastAsia="x-none"/>
        </w:rPr>
      </w:r>
    </w:p>
    <w:p>
      <w:pPr>
        <w:pStyle w:val="Normal"/>
        <w:jc w:val="both"/>
        <w:rPr>
          <w:szCs w:val="24"/>
        </w:rPr>
      </w:pPr>
      <w:bookmarkStart w:id="11" w:name="_Toc75446578"/>
      <w:bookmarkStart w:id="12" w:name="_Toc75446576"/>
      <w:bookmarkStart w:id="13" w:name="_Toc51339695"/>
      <w:bookmarkEnd w:id="11"/>
      <w:r>
        <w:rPr>
          <w:szCs w:val="24"/>
        </w:rPr>
        <w:t xml:space="preserve">Таблица 1.1 Перечень </w:t>
      </w:r>
      <w:bookmarkEnd w:id="13"/>
      <w:r>
        <w:rPr>
          <w:szCs w:val="24"/>
        </w:rPr>
        <w:t>и объем закупаемой продукци</w:t>
      </w:r>
      <w:bookmarkEnd w:id="12"/>
      <w:r>
        <w:rPr>
          <w:szCs w:val="24"/>
        </w:rPr>
        <w:t xml:space="preserve">и </w:t>
      </w:r>
    </w:p>
    <w:tbl>
      <w:tblPr>
        <w:tblStyle w:val="afffff"/>
        <w:tblW w:w="1020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3"/>
        <w:gridCol w:w="6804"/>
        <w:gridCol w:w="1277"/>
        <w:gridCol w:w="1416"/>
      </w:tblGrid>
      <w:tr>
        <w:trPr>
          <w:trHeight w:val="567" w:hRule="atLeast"/>
        </w:trPr>
        <w:tc>
          <w:tcPr>
            <w:tcW w:w="703" w:type="dxa"/>
            <w:tcBorders/>
            <w:vAlign w:val="center"/>
          </w:tcPr>
          <w:p>
            <w:pPr>
              <w:pStyle w:val="Normal"/>
              <w:keepNext w:val="true"/>
              <w:widowControl w:val="false"/>
              <w:suppressAutoHyphens w:val="true"/>
              <w:spacing w:before="0" w:after="0"/>
              <w:jc w:val="center"/>
              <w:rPr>
                <w:rFonts w:cs=""/>
                <w:kern w:val="0"/>
                <w:szCs w:val="22"/>
                <w:lang w:val="ru-RU" w:eastAsia="en-US" w:bidi="ar-SA"/>
              </w:rPr>
            </w:pPr>
            <w:r>
              <w:rPr>
                <w:rFonts w:eastAsia="Calibri" w:cs=""/>
                <w:kern w:val="0"/>
                <w:sz w:val="22"/>
                <w:szCs w:val="22"/>
                <w:lang w:val="ru-RU" w:eastAsia="en-US" w:bidi="ar-SA"/>
              </w:rPr>
              <w:t>№</w:t>
            </w:r>
          </w:p>
          <w:p>
            <w:pPr>
              <w:pStyle w:val="Normal"/>
              <w:widowControl w:val="false"/>
              <w:suppressAutoHyphens w:val="true"/>
              <w:spacing w:before="0" w:after="0"/>
              <w:jc w:val="center"/>
              <w:rPr>
                <w:rFonts w:cs=""/>
                <w:kern w:val="0"/>
                <w:szCs w:val="22"/>
                <w:lang w:val="ru-RU" w:eastAsia="en-US" w:bidi="ar-SA"/>
              </w:rPr>
            </w:pPr>
            <w:r>
              <w:rPr>
                <w:rFonts w:eastAsia="Calibri" w:cs=""/>
                <w:kern w:val="0"/>
                <w:sz w:val="22"/>
                <w:szCs w:val="22"/>
                <w:lang w:val="ru-RU" w:eastAsia="en-US" w:bidi="ar-SA"/>
              </w:rPr>
              <w:t>п/п</w:t>
            </w:r>
          </w:p>
        </w:tc>
        <w:tc>
          <w:tcPr>
            <w:tcW w:w="6804" w:type="dxa"/>
            <w:tcBorders/>
            <w:vAlign w:val="center"/>
          </w:tcPr>
          <w:p>
            <w:pPr>
              <w:pStyle w:val="Normal"/>
              <w:widowControl w:val="false"/>
              <w:suppressAutoHyphens w:val="true"/>
              <w:spacing w:before="0" w:after="0"/>
              <w:jc w:val="center"/>
              <w:rPr>
                <w:rFonts w:cs=""/>
                <w:kern w:val="0"/>
                <w:szCs w:val="22"/>
                <w:lang w:val="ru-RU" w:eastAsia="en-US" w:bidi="ar-SA"/>
              </w:rPr>
            </w:pPr>
            <w:r>
              <w:rPr>
                <w:rFonts w:eastAsia="Calibri" w:cs=""/>
                <w:kern w:val="0"/>
                <w:sz w:val="22"/>
                <w:szCs w:val="22"/>
                <w:lang w:val="ru-RU" w:eastAsia="en-US" w:bidi="ar-SA"/>
              </w:rPr>
              <w:t>Наименование продукции</w:t>
            </w:r>
          </w:p>
        </w:tc>
        <w:tc>
          <w:tcPr>
            <w:tcW w:w="1277" w:type="dxa"/>
            <w:tcBorders/>
            <w:vAlign w:val="center"/>
          </w:tcPr>
          <w:p>
            <w:pPr>
              <w:pStyle w:val="Normal"/>
              <w:widowControl w:val="false"/>
              <w:suppressAutoHyphens w:val="true"/>
              <w:spacing w:before="0" w:after="0"/>
              <w:jc w:val="center"/>
              <w:rPr>
                <w:rFonts w:cs=""/>
                <w:kern w:val="0"/>
                <w:szCs w:val="22"/>
                <w:lang w:val="ru-RU" w:eastAsia="en-US" w:bidi="ar-SA"/>
              </w:rPr>
            </w:pPr>
            <w:r>
              <w:rPr>
                <w:rFonts w:eastAsia="Calibri" w:cs=""/>
                <w:kern w:val="0"/>
                <w:sz w:val="22"/>
                <w:szCs w:val="22"/>
                <w:lang w:val="ru-RU" w:eastAsia="en-US" w:bidi="ar-SA"/>
              </w:rPr>
              <w:t>Ед. измерения</w:t>
            </w:r>
          </w:p>
        </w:tc>
        <w:tc>
          <w:tcPr>
            <w:tcW w:w="1416" w:type="dxa"/>
            <w:tcBorders/>
            <w:vAlign w:val="center"/>
          </w:tcPr>
          <w:p>
            <w:pPr>
              <w:pStyle w:val="Normal"/>
              <w:widowControl w:val="false"/>
              <w:suppressAutoHyphens w:val="true"/>
              <w:spacing w:before="0" w:after="0"/>
              <w:jc w:val="center"/>
              <w:rPr>
                <w:rFonts w:cs=""/>
                <w:kern w:val="0"/>
                <w:szCs w:val="22"/>
                <w:lang w:val="ru-RU" w:eastAsia="en-US" w:bidi="ar-SA"/>
              </w:rPr>
            </w:pPr>
            <w:r>
              <w:rPr>
                <w:rFonts w:eastAsia="Calibri" w:cs=""/>
                <w:kern w:val="0"/>
                <w:sz w:val="22"/>
                <w:szCs w:val="22"/>
                <w:lang w:val="ru-RU" w:eastAsia="en-US" w:bidi="ar-SA"/>
              </w:rPr>
              <w:t>Количество</w:t>
            </w:r>
          </w:p>
        </w:tc>
      </w:tr>
      <w:tr>
        <w:trPr/>
        <w:tc>
          <w:tcPr>
            <w:tcW w:w="703" w:type="dxa"/>
            <w:tcBorders/>
          </w:tcPr>
          <w:p>
            <w:pPr>
              <w:pStyle w:val="Normal"/>
              <w:widowControl w:val="false"/>
              <w:suppressAutoHyphens w:val="true"/>
              <w:spacing w:before="0" w:after="0"/>
              <w:jc w:val="center"/>
              <w:rPr>
                <w:rFonts w:cs=""/>
                <w:kern w:val="0"/>
                <w:szCs w:val="22"/>
                <w:lang w:val="ru-RU" w:eastAsia="en-US" w:bidi="ar-SA"/>
              </w:rPr>
            </w:pPr>
            <w:r>
              <w:rPr>
                <w:rFonts w:eastAsia="Calibri" w:cs=""/>
                <w:b/>
                <w:kern w:val="0"/>
                <w:sz w:val="22"/>
                <w:szCs w:val="22"/>
                <w:lang w:val="ru-RU" w:eastAsia="en-US" w:bidi="ar-SA"/>
              </w:rPr>
              <w:t>1</w:t>
            </w:r>
          </w:p>
        </w:tc>
        <w:tc>
          <w:tcPr>
            <w:tcW w:w="6804" w:type="dxa"/>
            <w:tcBorders/>
          </w:tcPr>
          <w:p>
            <w:pPr>
              <w:pStyle w:val="Normal"/>
              <w:widowControl w:val="false"/>
              <w:suppressAutoHyphens w:val="true"/>
              <w:spacing w:before="0" w:after="0"/>
              <w:jc w:val="center"/>
              <w:rPr>
                <w:rFonts w:cs=""/>
                <w:kern w:val="0"/>
                <w:szCs w:val="22"/>
                <w:lang w:val="ru-RU" w:eastAsia="en-US" w:bidi="ar-SA"/>
              </w:rPr>
            </w:pPr>
            <w:r>
              <w:rPr>
                <w:rFonts w:eastAsia="Calibri" w:cs=""/>
                <w:b/>
                <w:kern w:val="0"/>
                <w:sz w:val="22"/>
                <w:szCs w:val="22"/>
                <w:lang w:val="ru-RU" w:eastAsia="en-US" w:bidi="ar-SA"/>
              </w:rPr>
              <w:t>2</w:t>
            </w:r>
          </w:p>
        </w:tc>
        <w:tc>
          <w:tcPr>
            <w:tcW w:w="1277" w:type="dxa"/>
            <w:tcBorders/>
          </w:tcPr>
          <w:p>
            <w:pPr>
              <w:pStyle w:val="Normal"/>
              <w:widowControl w:val="false"/>
              <w:suppressAutoHyphens w:val="true"/>
              <w:spacing w:before="0" w:after="0"/>
              <w:jc w:val="center"/>
              <w:rPr>
                <w:rFonts w:cs=""/>
                <w:kern w:val="0"/>
                <w:szCs w:val="22"/>
                <w:lang w:val="ru-RU" w:eastAsia="en-US" w:bidi="ar-SA"/>
              </w:rPr>
            </w:pPr>
            <w:r>
              <w:rPr>
                <w:rFonts w:eastAsia="Calibri" w:cs=""/>
                <w:b/>
                <w:kern w:val="0"/>
                <w:sz w:val="22"/>
                <w:szCs w:val="22"/>
                <w:lang w:val="ru-RU" w:eastAsia="en-US" w:bidi="ar-SA"/>
              </w:rPr>
              <w:t>4</w:t>
            </w:r>
          </w:p>
        </w:tc>
        <w:tc>
          <w:tcPr>
            <w:tcW w:w="1416" w:type="dxa"/>
            <w:tcBorders/>
          </w:tcPr>
          <w:p>
            <w:pPr>
              <w:pStyle w:val="Normal"/>
              <w:widowControl w:val="false"/>
              <w:suppressAutoHyphens w:val="true"/>
              <w:spacing w:before="0" w:after="0"/>
              <w:jc w:val="center"/>
              <w:rPr>
                <w:rFonts w:cs=""/>
                <w:kern w:val="0"/>
                <w:szCs w:val="22"/>
                <w:lang w:val="ru-RU" w:eastAsia="en-US" w:bidi="ar-SA"/>
              </w:rPr>
            </w:pPr>
            <w:r>
              <w:rPr>
                <w:rFonts w:eastAsia="Calibri" w:cs=""/>
                <w:b/>
                <w:kern w:val="0"/>
                <w:sz w:val="22"/>
                <w:szCs w:val="22"/>
                <w:lang w:val="ru-RU" w:eastAsia="en-US" w:bidi="ar-SA"/>
              </w:rPr>
              <w:t>5</w:t>
            </w:r>
          </w:p>
        </w:tc>
      </w:tr>
      <w:tr>
        <w:trPr>
          <w:trHeight w:val="339" w:hRule="atLeast"/>
        </w:trPr>
        <w:tc>
          <w:tcPr>
            <w:tcW w:w="703" w:type="dxa"/>
            <w:tcBorders/>
          </w:tcPr>
          <w:p>
            <w:pPr>
              <w:pStyle w:val="Normal"/>
              <w:widowControl w:val="false"/>
              <w:suppressAutoHyphens w:val="true"/>
              <w:spacing w:before="0" w:after="0"/>
              <w:jc w:val="center"/>
              <w:rPr>
                <w:rFonts w:eastAsia="Calibri"/>
                <w:b/>
                <w:sz w:val="22"/>
              </w:rPr>
            </w:pPr>
            <w:r>
              <w:rPr>
                <w:rFonts w:eastAsia="Calibri" w:cs=""/>
                <w:b/>
                <w:kern w:val="0"/>
                <w:sz w:val="22"/>
                <w:szCs w:val="22"/>
                <w:lang w:val="ru-RU" w:eastAsia="en-US" w:bidi="ar-SA"/>
              </w:rPr>
            </w:r>
          </w:p>
        </w:tc>
        <w:tc>
          <w:tcPr>
            <w:tcW w:w="6804" w:type="dxa"/>
            <w:tcBorders/>
            <w:vAlign w:val="center"/>
          </w:tcPr>
          <w:p>
            <w:pPr>
              <w:pStyle w:val="Normal"/>
              <w:widowControl w:val="false"/>
              <w:suppressAutoHyphens w:val="true"/>
              <w:spacing w:before="0" w:after="0"/>
              <w:jc w:val="center"/>
              <w:rPr>
                <w:rFonts w:eastAsia="Calibri"/>
                <w:b/>
                <w:sz w:val="22"/>
              </w:rPr>
            </w:pPr>
            <w:r>
              <w:rPr>
                <w:rFonts w:eastAsia="Calibri" w:cs=""/>
                <w:b/>
                <w:kern w:val="0"/>
                <w:szCs w:val="22"/>
                <w:lang w:val="ru-RU" w:eastAsia="en-US" w:bidi="ar-SA"/>
              </w:rPr>
              <w:t>Партия №1 (Рыбинская ГЭС)</w:t>
            </w:r>
          </w:p>
        </w:tc>
        <w:tc>
          <w:tcPr>
            <w:tcW w:w="1277" w:type="dxa"/>
            <w:tcBorders/>
            <w:vAlign w:val="center"/>
          </w:tcPr>
          <w:p>
            <w:pPr>
              <w:pStyle w:val="Normal"/>
              <w:widowControl w:val="false"/>
              <w:suppressAutoHyphens w:val="true"/>
              <w:spacing w:before="0" w:after="0"/>
              <w:jc w:val="center"/>
              <w:rPr>
                <w:rFonts w:eastAsia="Calibri"/>
                <w:b/>
                <w:sz w:val="22"/>
              </w:rPr>
            </w:pPr>
            <w:r>
              <w:rPr>
                <w:rFonts w:eastAsia="Calibri" w:cs=""/>
                <w:b/>
                <w:kern w:val="0"/>
                <w:sz w:val="22"/>
                <w:szCs w:val="22"/>
                <w:lang w:val="ru-RU" w:eastAsia="en-US" w:bidi="ar-SA"/>
              </w:rPr>
            </w:r>
          </w:p>
        </w:tc>
        <w:tc>
          <w:tcPr>
            <w:tcW w:w="1416" w:type="dxa"/>
            <w:tcBorders/>
            <w:vAlign w:val="center"/>
          </w:tcPr>
          <w:p>
            <w:pPr>
              <w:pStyle w:val="Normal"/>
              <w:widowControl w:val="false"/>
              <w:suppressAutoHyphens w:val="true"/>
              <w:spacing w:before="0" w:after="0"/>
              <w:jc w:val="center"/>
              <w:rPr>
                <w:rFonts w:eastAsia="Calibri"/>
                <w:b/>
                <w:sz w:val="22"/>
              </w:rPr>
            </w:pPr>
            <w:r>
              <w:rPr>
                <w:rFonts w:eastAsia="Calibri" w:cs=""/>
                <w:b/>
                <w:kern w:val="0"/>
                <w:sz w:val="22"/>
                <w:szCs w:val="22"/>
                <w:lang w:val="ru-RU" w:eastAsia="en-US" w:bidi="ar-SA"/>
              </w:rPr>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val="false"/>
              <w:suppressAutoHyphens w:val="true"/>
              <w:spacing w:before="0" w:after="0"/>
              <w:jc w:val="left"/>
              <w:rPr>
                <w:sz w:val="22"/>
              </w:rPr>
            </w:pPr>
            <w:r>
              <w:rPr>
                <w:rFonts w:eastAsia="Calibri" w:cs=""/>
                <w:kern w:val="0"/>
                <w:szCs w:val="22"/>
                <w:lang w:val="ru-RU" w:eastAsia="x-none" w:bidi="ar-SA"/>
              </w:rPr>
              <w:t>Комплекс охранный радиолокационный тепловизионный (90</w:t>
            </w:r>
            <w:r>
              <w:rPr>
                <w:rFonts w:eastAsia="Calibri" w:cs="" w:ascii="Cuprum" w:hAnsi="Cuprum"/>
                <w:color w:val="000000"/>
                <w:kern w:val="0"/>
                <w:sz w:val="21"/>
                <w:szCs w:val="21"/>
                <w:shd w:fill="FFFFFF" w:val="clear"/>
                <w:lang w:val="ru-RU" w:eastAsia="en-US" w:bidi="ar-SA"/>
              </w:rPr>
              <w:t>°</w:t>
            </w:r>
            <w:r>
              <w:rPr>
                <w:rFonts w:eastAsia="Calibri" w:cs=""/>
                <w:kern w:val="0"/>
                <w:szCs w:val="22"/>
                <w:lang w:val="ru-RU" w:eastAsia="x-none" w:bidi="ar-SA"/>
              </w:rPr>
              <w:t>)</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center"/>
              <w:rPr>
                <w:sz w:val="22"/>
              </w:rPr>
            </w:pPr>
            <w:r>
              <w:rPr>
                <w:rFonts w:eastAsia="Calibri" w:cs=""/>
                <w:kern w:val="0"/>
                <w:szCs w:val="22"/>
                <w:lang w:val="ru-RU" w:eastAsia="x-none" w:bidi="ar-SA"/>
              </w:rPr>
              <w:t>Комплекс охранный радиолокационный тепловизионный (180</w:t>
            </w:r>
            <w:r>
              <w:rPr>
                <w:rFonts w:eastAsia="Calibri" w:cs="" w:ascii="Cuprum" w:hAnsi="Cuprum"/>
                <w:color w:val="000000"/>
                <w:kern w:val="0"/>
                <w:sz w:val="21"/>
                <w:szCs w:val="21"/>
                <w:shd w:fill="FFFFFF" w:val="clear"/>
                <w:lang w:val="ru-RU" w:eastAsia="en-US" w:bidi="ar-SA"/>
              </w:rPr>
              <w:t>°</w:t>
            </w:r>
            <w:r>
              <w:rPr>
                <w:rFonts w:eastAsia="Calibri" w:cs=""/>
                <w:kern w:val="0"/>
                <w:szCs w:val="22"/>
                <w:lang w:val="ru-RU" w:eastAsia="x-none" w:bidi="ar-SA"/>
              </w:rPr>
              <w:t>)</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sz w:val="22"/>
              </w:rPr>
            </w:pPr>
            <w:r>
              <w:rPr>
                <w:rFonts w:eastAsia="Calibri" w:cs=""/>
                <w:kern w:val="0"/>
                <w:szCs w:val="22"/>
                <w:lang w:val="ru-RU" w:eastAsia="x-none" w:bidi="ar-SA"/>
              </w:rPr>
              <w:t>Сервер с установленным пакетом ПО</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val="en-US" w:eastAsia="x-none"/>
              </w:rPr>
            </w:pPr>
            <w:r>
              <w:rPr>
                <w:rFonts w:eastAsia="Calibri" w:cs=""/>
                <w:kern w:val="0"/>
                <w:szCs w:val="22"/>
                <w:highlight w:val="cyan"/>
                <w:lang w:val="ru-RU" w:eastAsia="x-none" w:bidi="ar-SA"/>
              </w:rPr>
              <w:t>Монитор 27</w:t>
            </w:r>
            <w:r>
              <w:rPr>
                <w:rFonts w:eastAsia="Calibri" w:cs=""/>
                <w:kern w:val="0"/>
                <w:szCs w:val="22"/>
                <w:highlight w:val="cyan"/>
                <w:lang w:val="en-US" w:eastAsia="x-none" w:bidi="ar-SA"/>
              </w:rPr>
              <w:t>”</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lang w:val="en-US"/>
              </w:rPr>
            </w:pPr>
            <w:r>
              <w:rPr>
                <w:rFonts w:eastAsia="Calibri" w:cs="" w:ascii="Calibri" w:hAnsi="Calibri"/>
                <w:kern w:val="0"/>
                <w:sz w:val="22"/>
                <w:szCs w:val="22"/>
                <w:highlight w:val="cyan"/>
                <w:lang w:val="en-US"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Шкаф электропитания и коммутации с креплением на опору и защитным козырьком</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val="en-US" w:eastAsia="x-none"/>
              </w:rPr>
            </w:pPr>
            <w:r>
              <w:rPr>
                <w:rFonts w:eastAsia="Calibri" w:cs=""/>
                <w:kern w:val="0"/>
                <w:szCs w:val="22"/>
                <w:highlight w:val="cyan"/>
                <w:lang w:val="en-US" w:eastAsia="x-none" w:bidi="ar-SA"/>
              </w:rPr>
              <w:t>Мачта телескопическая</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KVM-консоль</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KVM-удлинитель</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Медиаконвертер</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2</w:t>
            </w:r>
          </w:p>
        </w:tc>
      </w:tr>
      <w:tr>
        <w:trPr>
          <w:trHeight w:val="20" w:hRule="atLeast"/>
        </w:trPr>
        <w:tc>
          <w:tcPr>
            <w:tcW w:w="703" w:type="dxa"/>
            <w:tcBorders/>
            <w:shd w:color="auto" w:fill="auto" w:val="clear"/>
            <w:vAlign w:val="center"/>
          </w:tcPr>
          <w:p>
            <w:pPr>
              <w:pStyle w:val="Normal"/>
              <w:widowControl w:val="false"/>
              <w:suppressAutoHyphens w:val="true"/>
              <w:spacing w:before="0" w:after="0"/>
              <w:ind w:left="502" w:hanging="0"/>
              <w:jc w:val="left"/>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center"/>
              <w:rPr>
                <w:sz w:val="22"/>
              </w:rPr>
            </w:pPr>
            <w:r>
              <w:rPr>
                <w:rFonts w:eastAsia="Calibri" w:cs=""/>
                <w:b/>
                <w:kern w:val="0"/>
                <w:szCs w:val="22"/>
                <w:lang w:val="ru-RU" w:eastAsia="en-US" w:bidi="ar-SA"/>
              </w:rPr>
              <w:t>Партия №2 (ВСП №2</w:t>
            </w:r>
            <w:r>
              <w:rPr>
                <w:rFonts w:eastAsia="Calibri" w:cs=""/>
                <w:kern w:val="0"/>
                <w:szCs w:val="22"/>
                <w:lang w:val="ru-RU" w:eastAsia="en-US" w:bidi="ar-SA"/>
              </w:rPr>
              <w:t xml:space="preserve"> </w:t>
            </w:r>
            <w:r>
              <w:rPr>
                <w:rFonts w:eastAsia="Calibri" w:cs=""/>
                <w:b/>
                <w:kern w:val="0"/>
                <w:szCs w:val="22"/>
                <w:lang w:val="ru-RU" w:eastAsia="en-US" w:bidi="ar-SA"/>
              </w:rPr>
              <w:t>Рыбинской ГЭС)</w:t>
            </w:r>
          </w:p>
        </w:tc>
        <w:tc>
          <w:tcPr>
            <w:tcW w:w="1277" w:type="dxa"/>
            <w:tcBorders/>
            <w:shd w:color="auto" w:fill="auto" w:val="clear"/>
            <w:vAlign w:val="center"/>
          </w:tcPr>
          <w:p>
            <w:pPr>
              <w:pStyle w:val="Normal"/>
              <w:widowControl/>
              <w:suppressAutoHyphens w:val="true"/>
              <w:spacing w:before="0" w:after="0"/>
              <w:jc w:val="center"/>
              <w:rPr>
                <w:rFonts w:eastAsia="Calibri" w:cs=""/>
                <w:kern w:val="0"/>
                <w:szCs w:val="22"/>
                <w:lang w:val="ru-RU" w:eastAsia="en-US" w:bidi="ar-SA"/>
              </w:rPr>
            </w:pPr>
            <w:r>
              <w:rPr>
                <w:rFonts w:eastAsia="Calibri" w:cs=""/>
                <w:kern w:val="0"/>
                <w:szCs w:val="22"/>
                <w:lang w:val="ru-RU" w:eastAsia="en-US" w:bidi="ar-SA"/>
              </w:rPr>
            </w:r>
          </w:p>
        </w:tc>
        <w:tc>
          <w:tcPr>
            <w:tcW w:w="1416" w:type="dxa"/>
            <w:tcBorders/>
            <w:shd w:color="auto" w:fill="auto" w:val="clear"/>
            <w:vAlign w:val="center"/>
          </w:tcPr>
          <w:p>
            <w:pPr>
              <w:pStyle w:val="Normal"/>
              <w:widowControl/>
              <w:suppressAutoHyphens w:val="true"/>
              <w:spacing w:before="0" w:after="0"/>
              <w:jc w:val="center"/>
              <w:rPr>
                <w:rFonts w:eastAsia="Calibri" w:cs=""/>
                <w:kern w:val="0"/>
                <w:szCs w:val="22"/>
                <w:lang w:val="ru-RU" w:eastAsia="en-US" w:bidi="ar-SA"/>
              </w:rPr>
            </w:pPr>
            <w:r>
              <w:rPr>
                <w:rFonts w:eastAsia="Calibri" w:cs=""/>
                <w:kern w:val="0"/>
                <w:szCs w:val="22"/>
                <w:lang w:val="ru-RU" w:eastAsia="en-US" w:bidi="ar-SA"/>
              </w:rPr>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center"/>
              <w:rPr>
                <w:sz w:val="22"/>
              </w:rPr>
            </w:pPr>
            <w:r>
              <w:rPr>
                <w:rFonts w:eastAsia="Calibri" w:cs=""/>
                <w:kern w:val="0"/>
                <w:szCs w:val="22"/>
                <w:lang w:val="ru-RU" w:eastAsia="x-none" w:bidi="ar-SA"/>
              </w:rPr>
              <w:t>Комплекс охранный радиолокационный тепловизионный (180</w:t>
            </w:r>
            <w:r>
              <w:rPr>
                <w:rFonts w:eastAsia="Calibri" w:cs="" w:ascii="Cuprum" w:hAnsi="Cuprum"/>
                <w:color w:val="000000"/>
                <w:kern w:val="0"/>
                <w:sz w:val="21"/>
                <w:szCs w:val="21"/>
                <w:shd w:fill="FFFFFF" w:val="clear"/>
                <w:lang w:val="ru-RU" w:eastAsia="en-US" w:bidi="ar-SA"/>
              </w:rPr>
              <w:t>°</w:t>
            </w:r>
            <w:r>
              <w:rPr>
                <w:rFonts w:eastAsia="Calibri" w:cs=""/>
                <w:kern w:val="0"/>
                <w:szCs w:val="22"/>
                <w:lang w:val="ru-RU" w:eastAsia="x-none" w:bidi="ar-SA"/>
              </w:rPr>
              <w:t>)</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b/>
                <w:lang w:eastAsia="x-none"/>
              </w:rPr>
            </w:pPr>
            <w:r>
              <w:rPr>
                <w:rFonts w:eastAsia="Calibri" w:cs=""/>
                <w:b/>
                <w:kern w:val="0"/>
                <w:szCs w:val="22"/>
                <w:lang w:val="ru-RU" w:eastAsia="x-none" w:bidi="ar-SA"/>
              </w:rPr>
            </w:r>
          </w:p>
        </w:tc>
        <w:tc>
          <w:tcPr>
            <w:tcW w:w="6804" w:type="dxa"/>
            <w:tcBorders/>
            <w:vAlign w:val="center"/>
          </w:tcPr>
          <w:p>
            <w:pPr>
              <w:pStyle w:val="Normal"/>
              <w:widowControl/>
              <w:suppressAutoHyphens w:val="true"/>
              <w:spacing w:before="0" w:after="0"/>
              <w:jc w:val="left"/>
              <w:rPr>
                <w:sz w:val="22"/>
              </w:rPr>
            </w:pPr>
            <w:r>
              <w:rPr>
                <w:rFonts w:eastAsia="Calibri" w:cs=""/>
                <w:kern w:val="0"/>
                <w:szCs w:val="22"/>
                <w:lang w:val="ru-RU" w:eastAsia="x-none" w:bidi="ar-SA"/>
              </w:rPr>
              <w:t>Сервер с установленным пакетом ПО</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b/>
                <w:lang w:eastAsia="x-none"/>
              </w:rPr>
            </w:pPr>
            <w:r>
              <w:rPr>
                <w:rFonts w:eastAsia="Calibri" w:cs=""/>
                <w:b/>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val="en-US" w:eastAsia="x-none"/>
              </w:rPr>
            </w:pPr>
            <w:r>
              <w:rPr>
                <w:rFonts w:eastAsia="Calibri" w:cs=""/>
                <w:kern w:val="0"/>
                <w:szCs w:val="22"/>
                <w:highlight w:val="cyan"/>
                <w:lang w:val="ru-RU" w:eastAsia="x-none" w:bidi="ar-SA"/>
              </w:rPr>
              <w:t>Монитор 27</w:t>
            </w:r>
            <w:r>
              <w:rPr>
                <w:rFonts w:eastAsia="Calibri" w:cs=""/>
                <w:kern w:val="0"/>
                <w:szCs w:val="22"/>
                <w:highlight w:val="cyan"/>
                <w:lang w:val="en-US" w:eastAsia="x-none" w:bidi="ar-SA"/>
              </w:rPr>
              <w:t>”</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lang w:val="en-US"/>
              </w:rPr>
            </w:pPr>
            <w:r>
              <w:rPr>
                <w:rFonts w:eastAsia="Calibri" w:cs="" w:ascii="Calibri" w:hAnsi="Calibri"/>
                <w:kern w:val="0"/>
                <w:sz w:val="22"/>
                <w:szCs w:val="22"/>
                <w:highlight w:val="cyan"/>
                <w:lang w:val="en-US"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b/>
                <w:lang w:eastAsia="x-none"/>
              </w:rPr>
            </w:pPr>
            <w:r>
              <w:rPr>
                <w:rFonts w:eastAsia="Calibri" w:cs=""/>
                <w:b/>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Шкаф электропитания и коммутации с креплением на опору и защитным козырьком</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b/>
                <w:lang w:eastAsia="x-none"/>
              </w:rPr>
            </w:pPr>
            <w:r>
              <w:rPr>
                <w:rFonts w:eastAsia="Calibri" w:cs=""/>
                <w:b/>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val="en-US" w:eastAsia="x-none"/>
              </w:rPr>
            </w:pPr>
            <w:r>
              <w:rPr>
                <w:rFonts w:eastAsia="Calibri" w:cs=""/>
                <w:kern w:val="0"/>
                <w:szCs w:val="22"/>
                <w:highlight w:val="cyan"/>
                <w:lang w:val="en-US" w:eastAsia="x-none" w:bidi="ar-SA"/>
              </w:rPr>
              <w:t>Мачта телескопическая</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KVM-консоль</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KVM-удлинитель</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Медиаконвертер</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2</w:t>
            </w:r>
          </w:p>
        </w:tc>
      </w:tr>
      <w:tr>
        <w:trPr>
          <w:trHeight w:val="20" w:hRule="atLeast"/>
        </w:trPr>
        <w:tc>
          <w:tcPr>
            <w:tcW w:w="703" w:type="dxa"/>
            <w:tcBorders/>
            <w:shd w:color="auto" w:fill="auto" w:val="clear"/>
            <w:vAlign w:val="center"/>
          </w:tcPr>
          <w:p>
            <w:pPr>
              <w:pStyle w:val="Normal"/>
              <w:widowControl w:val="false"/>
              <w:suppressAutoHyphens w:val="true"/>
              <w:spacing w:before="0" w:after="0"/>
              <w:ind w:left="502" w:hanging="0"/>
              <w:jc w:val="left"/>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center"/>
              <w:rPr>
                <w:rFonts w:eastAsia="Calibri"/>
                <w:lang w:eastAsia="x-none"/>
              </w:rPr>
            </w:pPr>
            <w:r>
              <w:rPr>
                <w:rFonts w:eastAsia="Calibri" w:cs=""/>
                <w:b/>
                <w:kern w:val="0"/>
                <w:szCs w:val="22"/>
                <w:lang w:val="en-US" w:eastAsia="en-US" w:bidi="ar-SA"/>
              </w:rPr>
              <w:t>Партия №3 (</w:t>
            </w:r>
            <w:r>
              <w:rPr>
                <w:rFonts w:eastAsia="Calibri" w:cs=""/>
                <w:b/>
                <w:kern w:val="0"/>
                <w:szCs w:val="22"/>
                <w:lang w:val="ru-RU" w:eastAsia="en-US" w:bidi="ar-SA"/>
              </w:rPr>
              <w:t>Угличская ГЭС</w:t>
            </w:r>
            <w:r>
              <w:rPr>
                <w:rFonts w:eastAsia="Calibri" w:cs=""/>
                <w:b/>
                <w:kern w:val="0"/>
                <w:szCs w:val="22"/>
                <w:lang w:val="en-US" w:eastAsia="en-US" w:bidi="ar-SA"/>
              </w:rPr>
              <w:t>)</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val="false"/>
              <w:suppressAutoHyphens w:val="true"/>
              <w:spacing w:before="0" w:after="0"/>
              <w:jc w:val="left"/>
              <w:rPr>
                <w:sz w:val="22"/>
              </w:rPr>
            </w:pPr>
            <w:r>
              <w:rPr>
                <w:rFonts w:eastAsia="Calibri" w:cs=""/>
                <w:kern w:val="0"/>
                <w:szCs w:val="22"/>
                <w:lang w:val="ru-RU" w:eastAsia="x-none" w:bidi="ar-SA"/>
              </w:rPr>
              <w:t>Комплекс охранный радиолокационный тепловизионный (90</w:t>
            </w:r>
            <w:r>
              <w:rPr>
                <w:rFonts w:eastAsia="Calibri" w:cs="" w:ascii="Cuprum" w:hAnsi="Cuprum"/>
                <w:color w:val="000000"/>
                <w:kern w:val="0"/>
                <w:sz w:val="21"/>
                <w:szCs w:val="21"/>
                <w:shd w:fill="FFFFFF" w:val="clear"/>
                <w:lang w:val="ru-RU" w:eastAsia="en-US" w:bidi="ar-SA"/>
              </w:rPr>
              <w:t>°</w:t>
            </w:r>
            <w:r>
              <w:rPr>
                <w:rFonts w:eastAsia="Calibri" w:cs=""/>
                <w:kern w:val="0"/>
                <w:szCs w:val="22"/>
                <w:lang w:val="ru-RU" w:eastAsia="x-none" w:bidi="ar-SA"/>
              </w:rPr>
              <w:t>)</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sz w:val="22"/>
              </w:rPr>
            </w:pPr>
            <w:r>
              <w:rPr>
                <w:rFonts w:eastAsia="Calibri" w:cs=""/>
                <w:kern w:val="0"/>
                <w:szCs w:val="22"/>
                <w:lang w:val="ru-RU" w:eastAsia="x-none" w:bidi="ar-SA"/>
              </w:rPr>
              <w:t>Сервер с установленным пакетом ПО</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val="en-US" w:eastAsia="x-none"/>
              </w:rPr>
            </w:pPr>
            <w:r>
              <w:rPr>
                <w:rFonts w:eastAsia="Calibri" w:cs=""/>
                <w:kern w:val="0"/>
                <w:szCs w:val="22"/>
                <w:highlight w:val="cyan"/>
                <w:lang w:val="ru-RU" w:eastAsia="x-none" w:bidi="ar-SA"/>
              </w:rPr>
              <w:t>Монитор 27</w:t>
            </w:r>
            <w:r>
              <w:rPr>
                <w:rFonts w:eastAsia="Calibri" w:cs=""/>
                <w:kern w:val="0"/>
                <w:szCs w:val="22"/>
                <w:highlight w:val="cyan"/>
                <w:lang w:val="en-US" w:eastAsia="x-none" w:bidi="ar-SA"/>
              </w:rPr>
              <w:t>”</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lang w:val="en-US"/>
              </w:rPr>
            </w:pPr>
            <w:r>
              <w:rPr>
                <w:rFonts w:eastAsia="Calibri" w:cs="" w:ascii="Calibri" w:hAnsi="Calibri"/>
                <w:kern w:val="0"/>
                <w:sz w:val="22"/>
                <w:szCs w:val="22"/>
                <w:highlight w:val="cyan"/>
                <w:lang w:val="en-US"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Шкаф электропитания и коммутации с креплением на опору и защитным козырьком</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val="en-US" w:eastAsia="x-none"/>
              </w:rPr>
            </w:pPr>
            <w:r>
              <w:rPr>
                <w:rFonts w:eastAsia="Calibri" w:cs=""/>
                <w:kern w:val="0"/>
                <w:szCs w:val="22"/>
                <w:highlight w:val="cyan"/>
                <w:lang w:val="en-US" w:eastAsia="x-none" w:bidi="ar-SA"/>
              </w:rPr>
              <w:t>Мачта телескопическая</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KVM-консоль</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KVM-удлинитель</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lang w:eastAsia="x-none"/>
              </w:rPr>
            </w:pPr>
            <w:r>
              <w:rPr>
                <w:rFonts w:eastAsia="Calibri" w:cs=""/>
                <w:kern w:val="0"/>
                <w:szCs w:val="22"/>
                <w:lang w:val="ru-RU" w:eastAsia="x-none" w:bidi="ar-SA"/>
              </w:rPr>
              <w:t>Медиаконвертер</w:t>
            </w:r>
          </w:p>
        </w:tc>
        <w:tc>
          <w:tcPr>
            <w:tcW w:w="1277" w:type="dxa"/>
            <w:tcBorders/>
            <w:shd w:color="auto" w:fill="auto" w:val="clear"/>
            <w:vAlign w:val="center"/>
          </w:tcPr>
          <w:p>
            <w:pPr>
              <w:pStyle w:val="Style42"/>
              <w:widowControl w:val="false"/>
              <w:suppressAutoHyphens w:val="true"/>
              <w:spacing w:before="0" w:after="0"/>
              <w:jc w:val="center"/>
              <w:rPr>
                <w:rFonts w:cs="Times New Roman"/>
              </w:rPr>
            </w:pPr>
            <w:r>
              <w:rPr>
                <w:rFonts w:eastAsia="Calibri" w:cs="Times New Roman" w:ascii="Calibri" w:hAnsi="Calibri"/>
                <w:kern w:val="0"/>
                <w:sz w:val="22"/>
                <w:szCs w:val="22"/>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2</w:t>
            </w:r>
          </w:p>
        </w:tc>
      </w:tr>
      <w:tr>
        <w:trPr>
          <w:trHeight w:val="20" w:hRule="atLeast"/>
        </w:trPr>
        <w:tc>
          <w:tcPr>
            <w:tcW w:w="703" w:type="dxa"/>
            <w:tcBorders/>
            <w:shd w:color="auto" w:fill="auto" w:val="clear"/>
            <w:vAlign w:val="center"/>
          </w:tcPr>
          <w:p>
            <w:pPr>
              <w:pStyle w:val="Normal"/>
              <w:widowControl w:val="false"/>
              <w:suppressAutoHyphens w:val="true"/>
              <w:spacing w:before="0" w:after="0"/>
              <w:ind w:left="502" w:hanging="0"/>
              <w:jc w:val="left"/>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val="false"/>
              <w:suppressAutoHyphens w:val="true"/>
              <w:spacing w:before="0" w:after="0"/>
              <w:jc w:val="center"/>
              <w:rPr>
                <w:rFonts w:eastAsia="Calibri"/>
                <w:b/>
                <w:sz w:val="22"/>
                <w:highlight w:val="cyan"/>
              </w:rPr>
            </w:pPr>
            <w:r>
              <w:rPr>
                <w:rFonts w:eastAsia="Calibri" w:cs=""/>
                <w:b/>
                <w:kern w:val="0"/>
                <w:szCs w:val="22"/>
                <w:highlight w:val="cyan"/>
                <w:lang w:val="ru-RU" w:eastAsia="en-US" w:bidi="ar-SA"/>
              </w:rPr>
              <w:t>Партия №4 (ЗИП)</w:t>
            </w:r>
          </w:p>
        </w:tc>
        <w:tc>
          <w:tcPr>
            <w:tcW w:w="1277" w:type="dxa"/>
            <w:tcBorders/>
            <w:shd w:color="auto" w:fill="auto" w:val="clear"/>
            <w:vAlign w:val="center"/>
          </w:tcPr>
          <w:p>
            <w:pPr>
              <w:pStyle w:val="Normal"/>
              <w:widowControl/>
              <w:suppressAutoHyphens w:val="true"/>
              <w:spacing w:before="0" w:after="0"/>
              <w:jc w:val="center"/>
              <w:rPr>
                <w:highlight w:val="cyan"/>
              </w:rPr>
            </w:pPr>
            <w:r>
              <w:rPr>
                <w:rFonts w:eastAsia="Calibri" w:cs=""/>
                <w:kern w:val="0"/>
                <w:szCs w:val="22"/>
                <w:highlight w:val="cyan"/>
                <w:lang w:val="ru-RU" w:eastAsia="en-US" w:bidi="ar-SA"/>
              </w:rPr>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val="false"/>
              <w:suppressAutoHyphens w:val="true"/>
              <w:spacing w:before="0" w:after="0"/>
              <w:jc w:val="left"/>
              <w:rPr>
                <w:sz w:val="22"/>
                <w:highlight w:val="cyan"/>
              </w:rPr>
            </w:pPr>
            <w:r>
              <w:rPr>
                <w:rFonts w:eastAsia="Calibri" w:cs=""/>
                <w:kern w:val="0"/>
                <w:szCs w:val="22"/>
                <w:highlight w:val="cyan"/>
                <w:lang w:val="ru-RU" w:eastAsia="x-none" w:bidi="ar-SA"/>
              </w:rPr>
              <w:t>Комплекс охранный радиолокационный тепловизионный (90</w:t>
            </w:r>
            <w:r>
              <w:rPr>
                <w:rFonts w:eastAsia="Calibri" w:cs="" w:ascii="Cuprum" w:hAnsi="Cuprum"/>
                <w:color w:val="000000"/>
                <w:kern w:val="0"/>
                <w:sz w:val="21"/>
                <w:szCs w:val="21"/>
                <w:highlight w:val="cyan"/>
                <w:shd w:fill="FFFFFF" w:val="clear"/>
                <w:lang w:val="ru-RU" w:eastAsia="en-US" w:bidi="ar-SA"/>
              </w:rPr>
              <w:t>°</w:t>
            </w:r>
            <w:r>
              <w:rPr>
                <w:rFonts w:eastAsia="Calibri" w:cs=""/>
                <w:kern w:val="0"/>
                <w:szCs w:val="22"/>
                <w:highlight w:val="cyan"/>
                <w:lang w:val="ru-RU" w:eastAsia="x-none" w:bidi="ar-SA"/>
              </w:rPr>
              <w:t>)</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eastAsia="x-none"/>
              </w:rPr>
            </w:pPr>
            <w:r>
              <w:rPr>
                <w:rFonts w:eastAsia="Calibri" w:cs=""/>
                <w:kern w:val="0"/>
                <w:szCs w:val="22"/>
                <w:highlight w:val="cyan"/>
                <w:lang w:val="ru-RU" w:eastAsia="x-none" w:bidi="ar-SA"/>
              </w:rPr>
              <w:t>KVM-консоль</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eastAsia="x-none"/>
              </w:rPr>
            </w:pPr>
            <w:r>
              <w:rPr>
                <w:rFonts w:eastAsia="Calibri" w:cs=""/>
                <w:kern w:val="0"/>
                <w:szCs w:val="22"/>
                <w:highlight w:val="cyan"/>
                <w:lang w:val="ru-RU" w:eastAsia="x-none" w:bidi="ar-SA"/>
              </w:rPr>
              <w:t>KVM-удлинитель</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компл.</w:t>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eastAsia="x-none"/>
              </w:rPr>
            </w:pPr>
            <w:r>
              <w:rPr>
                <w:rFonts w:eastAsia="Calibri" w:cs=""/>
                <w:kern w:val="0"/>
                <w:szCs w:val="22"/>
                <w:highlight w:val="cyan"/>
                <w:lang w:val="ru-RU" w:eastAsia="x-none" w:bidi="ar-SA"/>
              </w:rPr>
              <w:t>Медиаконвертер</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eastAsia="x-none"/>
              </w:rPr>
            </w:pPr>
            <w:r>
              <w:rPr>
                <w:rFonts w:eastAsia="Calibri" w:cs=""/>
                <w:kern w:val="0"/>
                <w:szCs w:val="22"/>
                <w:highlight w:val="cyan"/>
                <w:lang w:val="ru-RU" w:eastAsia="x-none" w:bidi="ar-SA"/>
              </w:rPr>
              <w:t>Промышленный коммутатор</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eastAsia="x-none"/>
              </w:rPr>
            </w:pPr>
            <w:r>
              <w:rPr>
                <w:rFonts w:eastAsia="Calibri" w:cs=""/>
                <w:kern w:val="0"/>
                <w:szCs w:val="22"/>
                <w:highlight w:val="cyan"/>
                <w:lang w:val="ru-RU" w:eastAsia="x-none" w:bidi="ar-SA"/>
              </w:rPr>
              <w:t>Промышленный источник питания</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t>1</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rFonts w:eastAsia="Calibri"/>
                <w:highlight w:val="cyan"/>
                <w:lang w:eastAsia="x-none"/>
              </w:rPr>
            </w:pPr>
            <w:r>
              <w:rPr>
                <w:rFonts w:eastAsia="Calibri" w:cs=""/>
                <w:kern w:val="0"/>
                <w:szCs w:val="22"/>
                <w:highlight w:val="cyan"/>
                <w:lang w:val="ru-RU" w:eastAsia="x-none" w:bidi="ar-SA"/>
              </w:rPr>
              <w:t>Источник питания</w:t>
            </w:r>
          </w:p>
        </w:tc>
        <w:tc>
          <w:tcPr>
            <w:tcW w:w="1277" w:type="dxa"/>
            <w:tcBorders/>
            <w:shd w:color="auto" w:fill="auto" w:val="clear"/>
            <w:vAlign w:val="center"/>
          </w:tcPr>
          <w:p>
            <w:pPr>
              <w:pStyle w:val="Style42"/>
              <w:widowControl w:val="false"/>
              <w:suppressAutoHyphens w:val="true"/>
              <w:spacing w:before="0" w:after="0"/>
              <w:jc w:val="center"/>
              <w:rPr>
                <w:rFonts w:cs="Times New Roman"/>
                <w:highlight w:val="cyan"/>
              </w:rPr>
            </w:pPr>
            <w:r>
              <w:rPr>
                <w:rFonts w:eastAsia="Calibri" w:cs="Times New Roman" w:ascii="Calibri" w:hAnsi="Calibri"/>
                <w:kern w:val="0"/>
                <w:sz w:val="22"/>
                <w:szCs w:val="22"/>
                <w:highlight w:val="cyan"/>
                <w:lang w:val="ru-RU" w:eastAsia="en-US" w:bidi="ar-SA"/>
              </w:rPr>
              <w:t>шт.</w:t>
            </w:r>
          </w:p>
        </w:tc>
        <w:tc>
          <w:tcPr>
            <w:tcW w:w="1416" w:type="dxa"/>
            <w:tcBorders/>
            <w:shd w:color="auto" w:fill="auto" w:val="clear"/>
            <w:vAlign w:val="center"/>
          </w:tcPr>
          <w:p>
            <w:pPr>
              <w:pStyle w:val="Style42"/>
              <w:widowControl w:val="false"/>
              <w:suppressAutoHyphens w:val="true"/>
              <w:spacing w:before="0" w:after="0"/>
              <w:jc w:val="center"/>
              <w:rPr>
                <w:highlight w:val="cyan"/>
              </w:rPr>
            </w:pPr>
            <w:r>
              <w:rPr>
                <w:rFonts w:eastAsia="Calibri" w:cs="" w:ascii="Calibri" w:hAnsi="Calibri"/>
                <w:kern w:val="0"/>
                <w:sz w:val="22"/>
                <w:szCs w:val="22"/>
                <w:highlight w:val="cyan"/>
                <w:lang w:val="ru-RU" w:eastAsia="en-US" w:bidi="ar-SA"/>
              </w:rPr>
              <w:t>2</w:t>
            </w:r>
          </w:p>
        </w:tc>
      </w:tr>
      <w:tr>
        <w:trPr>
          <w:trHeight w:val="20" w:hRule="atLeast"/>
        </w:trPr>
        <w:tc>
          <w:tcPr>
            <w:tcW w:w="703" w:type="dxa"/>
            <w:tcBorders/>
            <w:shd w:color="auto" w:fill="auto" w:val="clear"/>
            <w:vAlign w:val="center"/>
          </w:tcPr>
          <w:p>
            <w:pPr>
              <w:pStyle w:val="Normal"/>
              <w:widowControl w:val="false"/>
              <w:numPr>
                <w:ilvl w:val="0"/>
                <w:numId w:val="7"/>
              </w:numPr>
              <w:suppressAutoHyphens w:val="true"/>
              <w:spacing w:before="0" w:after="0"/>
              <w:jc w:val="center"/>
              <w:rPr>
                <w:rFonts w:eastAsia="Calibri"/>
                <w:lang w:eastAsia="x-none"/>
              </w:rPr>
            </w:pPr>
            <w:r>
              <w:rPr>
                <w:rFonts w:eastAsia="Calibri" w:cs=""/>
                <w:kern w:val="0"/>
                <w:szCs w:val="22"/>
                <w:lang w:val="ru-RU" w:eastAsia="x-none" w:bidi="ar-SA"/>
              </w:rPr>
            </w:r>
          </w:p>
        </w:tc>
        <w:tc>
          <w:tcPr>
            <w:tcW w:w="6804" w:type="dxa"/>
            <w:tcBorders/>
            <w:vAlign w:val="center"/>
          </w:tcPr>
          <w:p>
            <w:pPr>
              <w:pStyle w:val="Normal"/>
              <w:widowControl/>
              <w:suppressAutoHyphens w:val="true"/>
              <w:spacing w:before="0" w:after="0"/>
              <w:jc w:val="left"/>
              <w:rPr>
                <w:sz w:val="22"/>
              </w:rPr>
            </w:pPr>
            <w:r>
              <w:rPr>
                <w:rFonts w:eastAsia="Calibri" w:cs=""/>
                <w:kern w:val="0"/>
                <w:szCs w:val="22"/>
                <w:lang w:val="ru-RU" w:eastAsia="x-none" w:bidi="ar-SA"/>
              </w:rPr>
              <w:t>Комплект ПО на физическом носителе</w:t>
            </w:r>
          </w:p>
        </w:tc>
        <w:tc>
          <w:tcPr>
            <w:tcW w:w="1277" w:type="dxa"/>
            <w:tcBorders/>
            <w:shd w:color="auto" w:fill="auto" w:val="clear"/>
            <w:vAlign w:val="center"/>
          </w:tcPr>
          <w:p>
            <w:pPr>
              <w:pStyle w:val="Normal"/>
              <w:widowControl/>
              <w:suppressAutoHyphens w:val="true"/>
              <w:spacing w:before="0" w:after="0"/>
              <w:jc w:val="center"/>
              <w:rPr>
                <w:rFonts w:eastAsia="Calibri"/>
                <w:kern w:val="0"/>
                <w:szCs w:val="22"/>
                <w:lang w:val="ru-RU" w:eastAsia="en-US" w:bidi="ar-SA"/>
              </w:rPr>
            </w:pPr>
            <w:r>
              <w:rPr>
                <w:rFonts w:eastAsia="Calibri" w:cs="Times New Roman"/>
                <w:kern w:val="0"/>
                <w:szCs w:val="22"/>
                <w:lang w:val="ru-RU" w:eastAsia="en-US" w:bidi="ar-SA"/>
              </w:rPr>
              <w:t>шт.</w:t>
            </w:r>
            <w:bookmarkStart w:id="14" w:name="_GoBack"/>
            <w:bookmarkEnd w:id="14"/>
          </w:p>
        </w:tc>
        <w:tc>
          <w:tcPr>
            <w:tcW w:w="1416" w:type="dxa"/>
            <w:tcBorders/>
            <w:shd w:color="auto" w:fill="auto" w:val="clear"/>
            <w:vAlign w:val="center"/>
          </w:tcPr>
          <w:p>
            <w:pPr>
              <w:pStyle w:val="Style42"/>
              <w:widowControl w:val="false"/>
              <w:suppressAutoHyphens w:val="true"/>
              <w:spacing w:before="0" w:after="0"/>
              <w:jc w:val="center"/>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t>3</w:t>
            </w:r>
          </w:p>
        </w:tc>
      </w:tr>
    </w:tbl>
    <w:p>
      <w:pPr>
        <w:pStyle w:val="Normal"/>
        <w:rPr>
          <w:rFonts w:eastAsia="Calibri"/>
          <w:szCs w:val="24"/>
          <w:lang w:eastAsia="x-none"/>
        </w:rPr>
      </w:pPr>
      <w:r>
        <w:rPr>
          <w:rFonts w:eastAsia="Calibri"/>
          <w:szCs w:val="24"/>
          <w:lang w:eastAsia="x-none"/>
        </w:rPr>
      </w:r>
      <w:bookmarkStart w:id="15" w:name="_Toc75446578"/>
      <w:bookmarkStart w:id="16" w:name="_Toc75446578"/>
      <w:bookmarkEnd w:id="16"/>
    </w:p>
    <w:p>
      <w:pPr>
        <w:pStyle w:val="Normal"/>
        <w:jc w:val="both"/>
        <w:rPr>
          <w:szCs w:val="24"/>
        </w:rPr>
      </w:pPr>
      <w:r>
        <w:rPr>
          <w:szCs w:val="24"/>
        </w:rPr>
      </w:r>
    </w:p>
    <w:p>
      <w:pPr>
        <w:pStyle w:val="Normal"/>
        <w:jc w:val="both"/>
        <w:rPr>
          <w:szCs w:val="24"/>
        </w:rPr>
      </w:pPr>
      <w:r>
        <w:rPr>
          <w:szCs w:val="24"/>
        </w:rPr>
        <w:t>Таблица 1.2 Перечень и объем закупаемых сопутствующих услуг Рыбинской и Угличской ГЭС Каскада Верхневолжских ГЭС</w:t>
      </w:r>
    </w:p>
    <w:tbl>
      <w:tblPr>
        <w:tblStyle w:val="afffff"/>
        <w:tblW w:w="10207"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709"/>
        <w:gridCol w:w="6805"/>
        <w:gridCol w:w="1276"/>
        <w:gridCol w:w="1416"/>
      </w:tblGrid>
      <w:tr>
        <w:trPr/>
        <w:tc>
          <w:tcPr>
            <w:tcW w:w="709" w:type="dxa"/>
            <w:tcBorders/>
            <w:vAlign w:val="center"/>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 xml:space="preserve">№ </w:t>
            </w:r>
            <w:r>
              <w:rPr>
                <w:rFonts w:eastAsia="Calibri" w:cs=""/>
                <w:kern w:val="0"/>
                <w:sz w:val="22"/>
                <w:szCs w:val="22"/>
                <w:lang w:val="ru-RU" w:eastAsia="x-none" w:bidi="ar-SA"/>
              </w:rPr>
              <w:t>п/п</w:t>
            </w:r>
          </w:p>
        </w:tc>
        <w:tc>
          <w:tcPr>
            <w:tcW w:w="6805" w:type="dxa"/>
            <w:tcBorders/>
            <w:vAlign w:val="center"/>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Наименование услуг</w:t>
            </w:r>
          </w:p>
        </w:tc>
        <w:tc>
          <w:tcPr>
            <w:tcW w:w="1276" w:type="dxa"/>
            <w:tcBorders/>
            <w:vAlign w:val="center"/>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Единица измерения</w:t>
            </w:r>
          </w:p>
        </w:tc>
        <w:tc>
          <w:tcPr>
            <w:tcW w:w="1416" w:type="dxa"/>
            <w:tcBorders/>
            <w:vAlign w:val="center"/>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Количество</w:t>
            </w:r>
          </w:p>
        </w:tc>
      </w:tr>
      <w:tr>
        <w:trPr/>
        <w:tc>
          <w:tcPr>
            <w:tcW w:w="709" w:type="dxa"/>
            <w:tcBorders/>
          </w:tcPr>
          <w:p>
            <w:pPr>
              <w:pStyle w:val="Normal"/>
              <w:widowControl/>
              <w:suppressAutoHyphens w:val="true"/>
              <w:spacing w:before="0" w:after="0"/>
              <w:jc w:val="center"/>
              <w:rPr>
                <w:b/>
                <w:sz w:val="22"/>
                <w:lang w:eastAsia="x-none"/>
              </w:rPr>
            </w:pPr>
            <w:r>
              <w:rPr>
                <w:rFonts w:eastAsia="Calibri" w:cs=""/>
                <w:b/>
                <w:kern w:val="0"/>
                <w:sz w:val="22"/>
                <w:szCs w:val="22"/>
                <w:lang w:val="ru-RU" w:eastAsia="x-none" w:bidi="ar-SA"/>
              </w:rPr>
              <w:t>1</w:t>
            </w:r>
          </w:p>
        </w:tc>
        <w:tc>
          <w:tcPr>
            <w:tcW w:w="6805" w:type="dxa"/>
            <w:tcBorders/>
          </w:tcPr>
          <w:p>
            <w:pPr>
              <w:pStyle w:val="Normal"/>
              <w:widowControl/>
              <w:suppressAutoHyphens w:val="true"/>
              <w:spacing w:before="0" w:after="0"/>
              <w:jc w:val="center"/>
              <w:rPr>
                <w:b/>
                <w:sz w:val="22"/>
                <w:lang w:eastAsia="x-none"/>
              </w:rPr>
            </w:pPr>
            <w:r>
              <w:rPr>
                <w:rFonts w:eastAsia="Calibri" w:cs=""/>
                <w:b/>
                <w:kern w:val="0"/>
                <w:sz w:val="22"/>
                <w:szCs w:val="22"/>
                <w:lang w:val="ru-RU" w:eastAsia="x-none" w:bidi="ar-SA"/>
              </w:rPr>
              <w:t>2</w:t>
            </w:r>
          </w:p>
        </w:tc>
        <w:tc>
          <w:tcPr>
            <w:tcW w:w="1276" w:type="dxa"/>
            <w:tcBorders/>
          </w:tcPr>
          <w:p>
            <w:pPr>
              <w:pStyle w:val="Normal"/>
              <w:widowControl/>
              <w:suppressAutoHyphens w:val="true"/>
              <w:spacing w:before="0" w:after="0"/>
              <w:jc w:val="center"/>
              <w:rPr>
                <w:b/>
                <w:sz w:val="22"/>
                <w:lang w:eastAsia="x-none"/>
              </w:rPr>
            </w:pPr>
            <w:r>
              <w:rPr>
                <w:rFonts w:eastAsia="Calibri" w:cs=""/>
                <w:b/>
                <w:kern w:val="0"/>
                <w:sz w:val="22"/>
                <w:szCs w:val="22"/>
                <w:lang w:val="ru-RU" w:eastAsia="x-none" w:bidi="ar-SA"/>
              </w:rPr>
              <w:t>3</w:t>
            </w:r>
          </w:p>
        </w:tc>
        <w:tc>
          <w:tcPr>
            <w:tcW w:w="1416" w:type="dxa"/>
            <w:tcBorders/>
          </w:tcPr>
          <w:p>
            <w:pPr>
              <w:pStyle w:val="Normal"/>
              <w:widowControl/>
              <w:suppressAutoHyphens w:val="true"/>
              <w:spacing w:before="0" w:after="0"/>
              <w:jc w:val="center"/>
              <w:rPr>
                <w:b/>
                <w:sz w:val="22"/>
                <w:lang w:eastAsia="x-none"/>
              </w:rPr>
            </w:pPr>
            <w:r>
              <w:rPr>
                <w:rFonts w:eastAsia="Calibri" w:cs=""/>
                <w:b/>
                <w:kern w:val="0"/>
                <w:sz w:val="22"/>
                <w:szCs w:val="22"/>
                <w:lang w:val="ru-RU" w:eastAsia="x-none" w:bidi="ar-SA"/>
              </w:rPr>
              <w:t>4</w:t>
            </w:r>
          </w:p>
        </w:tc>
      </w:tr>
      <w:tr>
        <w:trPr>
          <w:trHeight w:val="307" w:hRule="atLeast"/>
        </w:trPr>
        <w:tc>
          <w:tcPr>
            <w:tcW w:w="709" w:type="dxa"/>
            <w:tcBorders/>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1</w:t>
            </w:r>
          </w:p>
        </w:tc>
        <w:tc>
          <w:tcPr>
            <w:tcW w:w="6805" w:type="dxa"/>
            <w:tcBorders/>
          </w:tcPr>
          <w:p>
            <w:pPr>
              <w:pStyle w:val="Normal"/>
              <w:widowControl/>
              <w:suppressAutoHyphens w:val="true"/>
              <w:spacing w:before="0" w:after="0"/>
              <w:jc w:val="left"/>
              <w:rPr>
                <w:sz w:val="22"/>
                <w:lang w:eastAsia="x-none"/>
              </w:rPr>
            </w:pPr>
            <w:r>
              <w:rPr>
                <w:rFonts w:eastAsia="Calibri" w:cs=""/>
                <w:kern w:val="0"/>
                <w:sz w:val="22"/>
                <w:szCs w:val="22"/>
                <w:lang w:val="ru-RU" w:eastAsia="x-none" w:bidi="ar-SA"/>
              </w:rPr>
              <w:t xml:space="preserve">Услуга шефмонтажа оборудования </w:t>
            </w:r>
            <w:r>
              <w:rPr>
                <w:rFonts w:eastAsia="Calibri" w:cs=""/>
                <w:kern w:val="0"/>
                <w:szCs w:val="22"/>
                <w:lang w:val="ru-RU" w:eastAsia="x-none" w:bidi="ar-SA"/>
              </w:rPr>
              <w:t>Рыбинской ГЭС</w:t>
            </w:r>
          </w:p>
        </w:tc>
        <w:tc>
          <w:tcPr>
            <w:tcW w:w="1276" w:type="dxa"/>
            <w:tcBorders/>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усл. ед.</w:t>
            </w:r>
          </w:p>
        </w:tc>
        <w:tc>
          <w:tcPr>
            <w:tcW w:w="1416" w:type="dxa"/>
            <w:tcBorders/>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1</w:t>
            </w:r>
          </w:p>
        </w:tc>
      </w:tr>
      <w:tr>
        <w:trPr/>
        <w:tc>
          <w:tcPr>
            <w:tcW w:w="709" w:type="dxa"/>
            <w:tcBorders/>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2</w:t>
            </w:r>
          </w:p>
        </w:tc>
        <w:tc>
          <w:tcPr>
            <w:tcW w:w="6805" w:type="dxa"/>
            <w:tcBorders/>
          </w:tcPr>
          <w:p>
            <w:pPr>
              <w:pStyle w:val="Normal"/>
              <w:widowControl/>
              <w:suppressAutoHyphens w:val="true"/>
              <w:spacing w:before="0" w:after="0"/>
              <w:jc w:val="left"/>
              <w:rPr>
                <w:sz w:val="22"/>
                <w:lang w:eastAsia="x-none"/>
              </w:rPr>
            </w:pPr>
            <w:r>
              <w:rPr>
                <w:rFonts w:eastAsia="Calibri" w:cs=""/>
                <w:kern w:val="0"/>
                <w:sz w:val="22"/>
                <w:szCs w:val="22"/>
                <w:lang w:val="ru-RU" w:eastAsia="x-none" w:bidi="ar-SA"/>
              </w:rPr>
              <w:t xml:space="preserve">Услуга шефналадки оборудования </w:t>
            </w:r>
            <w:r>
              <w:rPr>
                <w:rFonts w:eastAsia="Calibri" w:cs=""/>
                <w:kern w:val="0"/>
                <w:szCs w:val="22"/>
                <w:lang w:val="ru-RU" w:eastAsia="x-none" w:bidi="ar-SA"/>
              </w:rPr>
              <w:t>Рыбинской ГЭС</w:t>
            </w:r>
          </w:p>
        </w:tc>
        <w:tc>
          <w:tcPr>
            <w:tcW w:w="1276" w:type="dxa"/>
            <w:tcBorders/>
          </w:tcPr>
          <w:p>
            <w:pPr>
              <w:pStyle w:val="Normal"/>
              <w:widowControl/>
              <w:suppressAutoHyphens w:val="true"/>
              <w:spacing w:before="0" w:after="0"/>
              <w:jc w:val="center"/>
              <w:rPr>
                <w:sz w:val="22"/>
                <w:lang w:val="x-none" w:eastAsia="x-none"/>
              </w:rPr>
            </w:pPr>
            <w:r>
              <w:rPr>
                <w:rFonts w:eastAsia="Calibri" w:cs=""/>
                <w:kern w:val="0"/>
                <w:sz w:val="22"/>
                <w:szCs w:val="22"/>
                <w:lang w:val="ru-RU" w:eastAsia="x-none" w:bidi="ar-SA"/>
              </w:rPr>
              <w:t xml:space="preserve">усл. </w:t>
            </w:r>
            <w:r>
              <w:rPr>
                <w:rFonts w:eastAsia="Calibri" w:cs=""/>
                <w:kern w:val="0"/>
                <w:sz w:val="22"/>
                <w:szCs w:val="22"/>
                <w:lang w:val="en-US" w:eastAsia="x-none" w:bidi="ar-SA"/>
              </w:rPr>
              <w:t>ед.</w:t>
            </w:r>
          </w:p>
        </w:tc>
        <w:tc>
          <w:tcPr>
            <w:tcW w:w="1416" w:type="dxa"/>
            <w:tcBorders/>
          </w:tcPr>
          <w:p>
            <w:pPr>
              <w:pStyle w:val="Normal"/>
              <w:widowControl/>
              <w:suppressAutoHyphens w:val="true"/>
              <w:spacing w:before="0" w:after="0"/>
              <w:jc w:val="center"/>
              <w:rPr>
                <w:sz w:val="22"/>
                <w:lang w:val="en-US" w:eastAsia="x-none"/>
              </w:rPr>
            </w:pPr>
            <w:r>
              <w:rPr>
                <w:rFonts w:eastAsia="Calibri" w:cs=""/>
                <w:kern w:val="0"/>
                <w:sz w:val="22"/>
                <w:szCs w:val="22"/>
                <w:lang w:val="en-US" w:eastAsia="x-none" w:bidi="ar-SA"/>
              </w:rPr>
              <w:t>1</w:t>
            </w:r>
          </w:p>
        </w:tc>
      </w:tr>
      <w:tr>
        <w:trPr/>
        <w:tc>
          <w:tcPr>
            <w:tcW w:w="709" w:type="dxa"/>
            <w:tcBorders/>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3</w:t>
            </w:r>
          </w:p>
        </w:tc>
        <w:tc>
          <w:tcPr>
            <w:tcW w:w="6805" w:type="dxa"/>
            <w:tcBorders/>
            <w:vAlign w:val="center"/>
          </w:tcPr>
          <w:p>
            <w:pPr>
              <w:pStyle w:val="Normal"/>
              <w:widowControl/>
              <w:suppressAutoHyphens w:val="true"/>
              <w:spacing w:before="0" w:after="0"/>
              <w:jc w:val="left"/>
              <w:rPr>
                <w:rFonts w:eastAsia="Calibri"/>
                <w:sz w:val="22"/>
              </w:rPr>
            </w:pPr>
            <w:r>
              <w:rPr>
                <w:rFonts w:eastAsia="Calibri" w:cs=""/>
                <w:kern w:val="0"/>
                <w:sz w:val="22"/>
                <w:szCs w:val="22"/>
                <w:lang w:val="ru-RU" w:eastAsia="en-US" w:bidi="ar-SA"/>
              </w:rPr>
              <w:t>Услуга шефмонтажа оборудования ВСП №2 Рыбинской ГЭС</w:t>
            </w:r>
          </w:p>
        </w:tc>
        <w:tc>
          <w:tcPr>
            <w:tcW w:w="1276" w:type="dxa"/>
            <w:tcBorders/>
          </w:tcPr>
          <w:p>
            <w:pPr>
              <w:pStyle w:val="Normal"/>
              <w:widowControl/>
              <w:suppressAutoHyphens w:val="true"/>
              <w:spacing w:before="0" w:after="0"/>
              <w:jc w:val="center"/>
              <w:rPr>
                <w:sz w:val="22"/>
                <w:lang w:val="x-none" w:eastAsia="x-none"/>
              </w:rPr>
            </w:pPr>
            <w:r>
              <w:rPr>
                <w:rFonts w:eastAsia="Calibri" w:cs=""/>
                <w:kern w:val="0"/>
                <w:sz w:val="22"/>
                <w:szCs w:val="22"/>
                <w:lang w:val="ru-RU" w:eastAsia="x-none" w:bidi="ar-SA"/>
              </w:rPr>
              <w:t xml:space="preserve">усл. </w:t>
            </w:r>
            <w:r>
              <w:rPr>
                <w:rFonts w:eastAsia="Calibri" w:cs=""/>
                <w:kern w:val="0"/>
                <w:sz w:val="22"/>
                <w:szCs w:val="22"/>
                <w:lang w:val="en-US" w:eastAsia="x-none" w:bidi="ar-SA"/>
              </w:rPr>
              <w:t>ед.</w:t>
            </w:r>
          </w:p>
        </w:tc>
        <w:tc>
          <w:tcPr>
            <w:tcW w:w="1416" w:type="dxa"/>
            <w:tcBorders/>
          </w:tcPr>
          <w:p>
            <w:pPr>
              <w:pStyle w:val="Normal"/>
              <w:widowControl/>
              <w:suppressAutoHyphens w:val="true"/>
              <w:spacing w:before="0" w:after="0"/>
              <w:jc w:val="center"/>
              <w:rPr>
                <w:sz w:val="22"/>
                <w:lang w:val="en-US" w:eastAsia="x-none"/>
              </w:rPr>
            </w:pPr>
            <w:r>
              <w:rPr>
                <w:rFonts w:eastAsia="Calibri" w:cs=""/>
                <w:kern w:val="0"/>
                <w:sz w:val="22"/>
                <w:szCs w:val="22"/>
                <w:lang w:val="en-US" w:eastAsia="x-none" w:bidi="ar-SA"/>
              </w:rPr>
              <w:t>1</w:t>
            </w:r>
          </w:p>
        </w:tc>
      </w:tr>
      <w:tr>
        <w:trPr/>
        <w:tc>
          <w:tcPr>
            <w:tcW w:w="709" w:type="dxa"/>
            <w:tcBorders/>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4</w:t>
            </w:r>
          </w:p>
        </w:tc>
        <w:tc>
          <w:tcPr>
            <w:tcW w:w="6805" w:type="dxa"/>
            <w:tcBorders/>
            <w:vAlign w:val="center"/>
          </w:tcPr>
          <w:p>
            <w:pPr>
              <w:pStyle w:val="Normal"/>
              <w:widowControl/>
              <w:suppressAutoHyphens w:val="true"/>
              <w:spacing w:before="0" w:after="0"/>
              <w:jc w:val="left"/>
              <w:rPr>
                <w:rFonts w:eastAsia="Calibri"/>
                <w:sz w:val="22"/>
              </w:rPr>
            </w:pPr>
            <w:r>
              <w:rPr>
                <w:rFonts w:eastAsia="Calibri" w:cs=""/>
                <w:kern w:val="0"/>
                <w:sz w:val="22"/>
                <w:szCs w:val="22"/>
                <w:lang w:val="ru-RU" w:eastAsia="en-US" w:bidi="ar-SA"/>
              </w:rPr>
              <w:t>Услуга шефналадки оборудования ВСП №2 Рыбинской ГЭС</w:t>
            </w:r>
          </w:p>
        </w:tc>
        <w:tc>
          <w:tcPr>
            <w:tcW w:w="1276" w:type="dxa"/>
            <w:tcBorders/>
          </w:tcPr>
          <w:p>
            <w:pPr>
              <w:pStyle w:val="Normal"/>
              <w:widowControl/>
              <w:suppressAutoHyphens w:val="true"/>
              <w:spacing w:before="0" w:after="0"/>
              <w:jc w:val="center"/>
              <w:rPr>
                <w:sz w:val="22"/>
                <w:lang w:val="x-none" w:eastAsia="x-none"/>
              </w:rPr>
            </w:pPr>
            <w:r>
              <w:rPr>
                <w:rFonts w:eastAsia="Calibri" w:cs=""/>
                <w:kern w:val="0"/>
                <w:sz w:val="22"/>
                <w:szCs w:val="22"/>
                <w:lang w:val="ru-RU" w:eastAsia="x-none" w:bidi="ar-SA"/>
              </w:rPr>
              <w:t xml:space="preserve">усл. </w:t>
            </w:r>
            <w:r>
              <w:rPr>
                <w:rFonts w:eastAsia="Calibri" w:cs=""/>
                <w:kern w:val="0"/>
                <w:sz w:val="22"/>
                <w:szCs w:val="22"/>
                <w:lang w:val="en-US" w:eastAsia="x-none" w:bidi="ar-SA"/>
              </w:rPr>
              <w:t>ед.</w:t>
            </w:r>
          </w:p>
        </w:tc>
        <w:tc>
          <w:tcPr>
            <w:tcW w:w="1416" w:type="dxa"/>
            <w:tcBorders/>
          </w:tcPr>
          <w:p>
            <w:pPr>
              <w:pStyle w:val="Normal"/>
              <w:widowControl/>
              <w:suppressAutoHyphens w:val="true"/>
              <w:spacing w:before="0" w:after="0"/>
              <w:jc w:val="center"/>
              <w:rPr>
                <w:sz w:val="22"/>
                <w:lang w:val="en-US" w:eastAsia="x-none"/>
              </w:rPr>
            </w:pPr>
            <w:r>
              <w:rPr>
                <w:rFonts w:eastAsia="Calibri" w:cs=""/>
                <w:kern w:val="0"/>
                <w:sz w:val="22"/>
                <w:szCs w:val="22"/>
                <w:lang w:val="en-US" w:eastAsia="x-none" w:bidi="ar-SA"/>
              </w:rPr>
              <w:t>1</w:t>
            </w:r>
          </w:p>
        </w:tc>
      </w:tr>
      <w:tr>
        <w:trPr/>
        <w:tc>
          <w:tcPr>
            <w:tcW w:w="709" w:type="dxa"/>
            <w:tcBorders/>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5</w:t>
            </w:r>
          </w:p>
        </w:tc>
        <w:tc>
          <w:tcPr>
            <w:tcW w:w="6805" w:type="dxa"/>
            <w:tcBorders/>
          </w:tcPr>
          <w:p>
            <w:pPr>
              <w:pStyle w:val="Normal"/>
              <w:widowControl/>
              <w:suppressAutoHyphens w:val="true"/>
              <w:spacing w:before="0" w:after="0"/>
              <w:jc w:val="left"/>
              <w:rPr>
                <w:sz w:val="22"/>
                <w:lang w:eastAsia="x-none"/>
              </w:rPr>
            </w:pPr>
            <w:r>
              <w:rPr>
                <w:rFonts w:eastAsia="Calibri" w:cs=""/>
                <w:kern w:val="0"/>
                <w:sz w:val="22"/>
                <w:szCs w:val="22"/>
                <w:lang w:val="ru-RU" w:eastAsia="en-US" w:bidi="ar-SA"/>
              </w:rPr>
              <w:t>Услуга шефмонтажа оборудования Угличской ГЭС</w:t>
            </w:r>
          </w:p>
        </w:tc>
        <w:tc>
          <w:tcPr>
            <w:tcW w:w="1276" w:type="dxa"/>
            <w:tcBorders/>
          </w:tcPr>
          <w:p>
            <w:pPr>
              <w:pStyle w:val="Normal"/>
              <w:widowControl/>
              <w:suppressAutoHyphens w:val="true"/>
              <w:spacing w:before="0" w:after="0"/>
              <w:jc w:val="center"/>
              <w:rPr>
                <w:sz w:val="22"/>
                <w:lang w:val="x-none" w:eastAsia="x-none"/>
              </w:rPr>
            </w:pPr>
            <w:r>
              <w:rPr>
                <w:rFonts w:eastAsia="Calibri" w:cs=""/>
                <w:kern w:val="0"/>
                <w:sz w:val="22"/>
                <w:szCs w:val="22"/>
                <w:lang w:val="ru-RU" w:eastAsia="x-none" w:bidi="ar-SA"/>
              </w:rPr>
              <w:t xml:space="preserve">усл. </w:t>
            </w:r>
            <w:r>
              <w:rPr>
                <w:rFonts w:eastAsia="Calibri" w:cs=""/>
                <w:kern w:val="0"/>
                <w:sz w:val="22"/>
                <w:szCs w:val="22"/>
                <w:lang w:val="en-US" w:eastAsia="x-none" w:bidi="ar-SA"/>
              </w:rPr>
              <w:t>ед.</w:t>
            </w:r>
          </w:p>
        </w:tc>
        <w:tc>
          <w:tcPr>
            <w:tcW w:w="1416" w:type="dxa"/>
            <w:tcBorders/>
          </w:tcPr>
          <w:p>
            <w:pPr>
              <w:pStyle w:val="Normal"/>
              <w:widowControl/>
              <w:suppressAutoHyphens w:val="true"/>
              <w:spacing w:before="0" w:after="0"/>
              <w:jc w:val="center"/>
              <w:rPr>
                <w:sz w:val="22"/>
                <w:lang w:val="en-US" w:eastAsia="x-none"/>
              </w:rPr>
            </w:pPr>
            <w:r>
              <w:rPr>
                <w:rFonts w:eastAsia="Calibri" w:cs=""/>
                <w:kern w:val="0"/>
                <w:sz w:val="22"/>
                <w:szCs w:val="22"/>
                <w:lang w:val="en-US" w:eastAsia="x-none" w:bidi="ar-SA"/>
              </w:rPr>
              <w:t>1</w:t>
            </w:r>
          </w:p>
        </w:tc>
      </w:tr>
      <w:tr>
        <w:trPr/>
        <w:tc>
          <w:tcPr>
            <w:tcW w:w="709" w:type="dxa"/>
            <w:tcBorders/>
          </w:tcPr>
          <w:p>
            <w:pPr>
              <w:pStyle w:val="Normal"/>
              <w:widowControl/>
              <w:suppressAutoHyphens w:val="true"/>
              <w:spacing w:before="0" w:after="0"/>
              <w:jc w:val="center"/>
              <w:rPr>
                <w:sz w:val="22"/>
                <w:lang w:eastAsia="x-none"/>
              </w:rPr>
            </w:pPr>
            <w:r>
              <w:rPr>
                <w:rFonts w:eastAsia="Calibri" w:cs=""/>
                <w:kern w:val="0"/>
                <w:sz w:val="22"/>
                <w:szCs w:val="22"/>
                <w:lang w:val="ru-RU" w:eastAsia="x-none" w:bidi="ar-SA"/>
              </w:rPr>
              <w:t>6</w:t>
            </w:r>
          </w:p>
        </w:tc>
        <w:tc>
          <w:tcPr>
            <w:tcW w:w="6805" w:type="dxa"/>
            <w:tcBorders/>
          </w:tcPr>
          <w:p>
            <w:pPr>
              <w:pStyle w:val="Normal"/>
              <w:widowControl/>
              <w:suppressAutoHyphens w:val="true"/>
              <w:spacing w:before="0" w:after="0"/>
              <w:jc w:val="left"/>
              <w:rPr>
                <w:sz w:val="22"/>
                <w:lang w:eastAsia="x-none"/>
              </w:rPr>
            </w:pPr>
            <w:r>
              <w:rPr>
                <w:rFonts w:eastAsia="Calibri" w:cs=""/>
                <w:kern w:val="0"/>
                <w:sz w:val="22"/>
                <w:szCs w:val="22"/>
                <w:lang w:val="ru-RU" w:eastAsia="en-US" w:bidi="ar-SA"/>
              </w:rPr>
              <w:t>Услуга шефналадки оборудования Угличской ГЭС</w:t>
            </w:r>
          </w:p>
        </w:tc>
        <w:tc>
          <w:tcPr>
            <w:tcW w:w="1276" w:type="dxa"/>
            <w:tcBorders/>
          </w:tcPr>
          <w:p>
            <w:pPr>
              <w:pStyle w:val="Normal"/>
              <w:widowControl/>
              <w:suppressAutoHyphens w:val="true"/>
              <w:spacing w:before="0" w:after="0"/>
              <w:jc w:val="center"/>
              <w:rPr>
                <w:sz w:val="22"/>
                <w:lang w:val="x-none" w:eastAsia="x-none"/>
              </w:rPr>
            </w:pPr>
            <w:r>
              <w:rPr>
                <w:rFonts w:eastAsia="Calibri" w:cs=""/>
                <w:kern w:val="0"/>
                <w:sz w:val="22"/>
                <w:szCs w:val="22"/>
                <w:lang w:val="ru-RU" w:eastAsia="x-none" w:bidi="ar-SA"/>
              </w:rPr>
              <w:t xml:space="preserve">усл. </w:t>
            </w:r>
            <w:r>
              <w:rPr>
                <w:rFonts w:eastAsia="Calibri" w:cs=""/>
                <w:kern w:val="0"/>
                <w:sz w:val="22"/>
                <w:szCs w:val="22"/>
                <w:lang w:val="en-US" w:eastAsia="x-none" w:bidi="ar-SA"/>
              </w:rPr>
              <w:t>ед.</w:t>
            </w:r>
          </w:p>
        </w:tc>
        <w:tc>
          <w:tcPr>
            <w:tcW w:w="1416" w:type="dxa"/>
            <w:tcBorders/>
          </w:tcPr>
          <w:p>
            <w:pPr>
              <w:pStyle w:val="Normal"/>
              <w:widowControl/>
              <w:suppressAutoHyphens w:val="true"/>
              <w:spacing w:before="0" w:after="0"/>
              <w:jc w:val="center"/>
              <w:rPr>
                <w:sz w:val="22"/>
                <w:lang w:val="en-US" w:eastAsia="x-none"/>
              </w:rPr>
            </w:pPr>
            <w:r>
              <w:rPr>
                <w:rFonts w:eastAsia="Calibri" w:cs=""/>
                <w:kern w:val="0"/>
                <w:sz w:val="22"/>
                <w:szCs w:val="22"/>
                <w:lang w:val="en-US" w:eastAsia="x-none" w:bidi="ar-SA"/>
              </w:rPr>
              <w:t>1</w:t>
            </w:r>
          </w:p>
        </w:tc>
      </w:tr>
    </w:tbl>
    <w:p>
      <w:pPr>
        <w:pStyle w:val="Normal"/>
        <w:rPr>
          <w:rFonts w:eastAsia="Calibri"/>
          <w:szCs w:val="24"/>
          <w:lang w:eastAsia="x-none"/>
        </w:rPr>
      </w:pPr>
      <w:r>
        <w:rPr>
          <w:rFonts w:eastAsia="Calibri"/>
          <w:szCs w:val="24"/>
          <w:lang w:eastAsia="x-none"/>
        </w:rPr>
      </w:r>
    </w:p>
    <w:p>
      <w:pPr>
        <w:pStyle w:val="Heading3"/>
        <w:numPr>
          <w:ilvl w:val="2"/>
          <w:numId w:val="1"/>
        </w:numPr>
        <w:ind w:left="0" w:hanging="0"/>
        <w:rPr/>
      </w:pPr>
      <w:bookmarkStart w:id="17" w:name="_Toc141728501"/>
      <w:r>
        <w:rPr/>
        <w:t>Требования к срокам поставки продукции</w:t>
      </w:r>
      <w:r>
        <w:rPr>
          <w:lang w:val="ru-RU"/>
        </w:rPr>
        <w:t xml:space="preserve"> и оказания сопутствующих услуг</w:t>
      </w:r>
      <w:r>
        <w:rPr/>
        <w:t xml:space="preserve"> </w:t>
      </w:r>
      <w:bookmarkEnd w:id="17"/>
    </w:p>
    <w:p>
      <w:pPr>
        <w:pStyle w:val="Normal"/>
        <w:rPr>
          <w:rFonts w:eastAsia="Calibri"/>
          <w:szCs w:val="24"/>
          <w:lang w:eastAsia="x-none"/>
        </w:rPr>
      </w:pPr>
      <w:r>
        <w:rPr>
          <w:rFonts w:eastAsia="Calibri"/>
          <w:szCs w:val="24"/>
          <w:lang w:eastAsia="x-none"/>
        </w:rPr>
      </w:r>
    </w:p>
    <w:p>
      <w:pPr>
        <w:pStyle w:val="Normal"/>
        <w:rPr>
          <w:rFonts w:eastAsia="Calibri"/>
          <w:szCs w:val="24"/>
          <w:lang w:eastAsia="x-none"/>
        </w:rPr>
      </w:pPr>
      <w:r>
        <w:rPr>
          <w:rFonts w:eastAsia="Calibri"/>
          <w:szCs w:val="24"/>
          <w:lang w:eastAsia="x-none"/>
        </w:rPr>
        <w:t xml:space="preserve">Таблица 2.1 </w:t>
      </w:r>
      <w:bookmarkStart w:id="18" w:name="_Hlk50465284"/>
      <w:r>
        <w:rPr>
          <w:rFonts w:eastAsia="Calibri"/>
          <w:szCs w:val="24"/>
          <w:lang w:eastAsia="x-none"/>
        </w:rPr>
        <w:t xml:space="preserve">Требования по срокам </w:t>
      </w:r>
      <w:bookmarkEnd w:id="18"/>
      <w:r>
        <w:rPr>
          <w:rFonts w:eastAsia="Calibri"/>
          <w:szCs w:val="24"/>
          <w:lang w:eastAsia="x-none"/>
        </w:rPr>
        <w:t xml:space="preserve">поставки продукции </w:t>
      </w:r>
    </w:p>
    <w:tbl>
      <w:tblPr>
        <w:tblW w:w="10207"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709"/>
        <w:gridCol w:w="3686"/>
        <w:gridCol w:w="2976"/>
        <w:gridCol w:w="2835"/>
      </w:tblGrid>
      <w:tr>
        <w:trPr/>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rPr>
            </w:pPr>
            <w:r>
              <w:rPr>
                <w:sz w:val="22"/>
              </w:rPr>
              <w:t xml:space="preserve">№ </w:t>
            </w:r>
            <w:r>
              <w:rPr>
                <w:sz w:val="22"/>
              </w:rPr>
              <w:t>п/п</w:t>
            </w:r>
          </w:p>
        </w:tc>
        <w:tc>
          <w:tcPr>
            <w:tcW w:w="3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rPr>
            </w:pPr>
            <w:r>
              <w:rPr>
                <w:sz w:val="22"/>
              </w:rPr>
              <w:t>Наименование продукции / партии продукции</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t>Требования к началу срока поставки продукции</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Требования к окончанию срока поставки продукции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22"/>
              </w:rPr>
            </w:pPr>
            <w:r>
              <w:rPr>
                <w:b/>
                <w:sz w:val="22"/>
              </w:rPr>
              <w:t>1</w:t>
            </w:r>
          </w:p>
        </w:tc>
        <w:tc>
          <w:tcPr>
            <w:tcW w:w="3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22"/>
              </w:rPr>
            </w:pPr>
            <w:r>
              <w:rPr>
                <w:b/>
                <w:sz w:val="22"/>
              </w:rPr>
              <w:t>2</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rPr>
            </w:pPr>
            <w:r>
              <w:rPr>
                <w:b/>
                <w:sz w:val="22"/>
              </w:rPr>
              <w:t>3</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rPr>
            </w:pPr>
            <w:r>
              <w:rPr>
                <w:b/>
                <w:sz w:val="22"/>
              </w:rPr>
              <w:t>4</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rPr>
            </w:pPr>
            <w:r>
              <w:rPr>
                <w:sz w:val="22"/>
              </w:rPr>
              <w:t>1</w:t>
            </w:r>
          </w:p>
        </w:tc>
        <w:tc>
          <w:tcPr>
            <w:tcW w:w="3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rPr>
            </w:pPr>
            <w:r>
              <w:rPr>
                <w:rFonts w:eastAsia="Times New Roman" w:cs="Times New Roman"/>
                <w:bCs/>
                <w:spacing w:val="-6"/>
                <w:sz w:val="22"/>
                <w:szCs w:val="24"/>
              </w:rPr>
              <w:t>Партия №1 (Рыбинская ГЭС)</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С даты подписания договора</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Не позднее 18.12.2026 г.</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rPr>
            </w:pPr>
            <w:r>
              <w:rPr>
                <w:sz w:val="22"/>
              </w:rPr>
              <w:t>2</w:t>
            </w:r>
          </w:p>
        </w:tc>
        <w:tc>
          <w:tcPr>
            <w:tcW w:w="3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both"/>
              <w:rPr>
                <w:rFonts w:eastAsia="Times New Roman" w:cs="Times New Roman"/>
                <w:bCs/>
                <w:spacing w:val="-6"/>
                <w:sz w:val="22"/>
                <w:szCs w:val="24"/>
              </w:rPr>
            </w:pPr>
            <w:r>
              <w:rPr>
                <w:rFonts w:eastAsia="Times New Roman" w:cs="Times New Roman"/>
                <w:bCs/>
                <w:spacing w:val="-6"/>
                <w:sz w:val="22"/>
                <w:szCs w:val="24"/>
              </w:rPr>
              <w:t>Партия №2 (ВСП №2 Рыбинской ГЭС)</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С даты подписания договора</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Не позднее 18.12.2026 г.</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rPr>
            </w:pPr>
            <w:r>
              <w:rPr>
                <w:sz w:val="22"/>
              </w:rPr>
              <w:t>3</w:t>
            </w:r>
          </w:p>
        </w:tc>
        <w:tc>
          <w:tcPr>
            <w:tcW w:w="3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both"/>
              <w:rPr>
                <w:rFonts w:eastAsia="Times New Roman" w:cs="Times New Roman"/>
                <w:bCs/>
                <w:spacing w:val="-6"/>
                <w:sz w:val="22"/>
                <w:szCs w:val="24"/>
              </w:rPr>
            </w:pPr>
            <w:r>
              <w:rPr>
                <w:rFonts w:eastAsia="Times New Roman" w:cs="Times New Roman"/>
                <w:bCs/>
                <w:spacing w:val="-6"/>
                <w:sz w:val="22"/>
                <w:szCs w:val="24"/>
              </w:rPr>
              <w:t>Партия №3 (Угличская ГЭС)</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С даты подписания договора</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Не позднее 18.12.2026 г.</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rPr>
            </w:pPr>
            <w:r>
              <w:rPr>
                <w:sz w:val="22"/>
              </w:rPr>
              <w:t>4</w:t>
            </w:r>
          </w:p>
        </w:tc>
        <w:tc>
          <w:tcPr>
            <w:tcW w:w="3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rPr>
            </w:pPr>
            <w:r>
              <w:rPr>
                <w:rFonts w:eastAsia="Times New Roman" w:cs="Times New Roman"/>
                <w:bCs/>
                <w:spacing w:val="-6"/>
                <w:sz w:val="22"/>
                <w:szCs w:val="24"/>
              </w:rPr>
              <w:t>Партия №4 (ЗИП)</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С даты подписания договора</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Не позднее 18.12.2026 г.</w:t>
            </w:r>
          </w:p>
        </w:tc>
      </w:tr>
    </w:tbl>
    <w:p>
      <w:pPr>
        <w:pStyle w:val="Normal"/>
        <w:rPr>
          <w:rFonts w:eastAsia="Calibri"/>
          <w:szCs w:val="24"/>
          <w:lang w:eastAsia="x-none"/>
        </w:rPr>
      </w:pPr>
      <w:r>
        <w:rPr>
          <w:rFonts w:eastAsia="Calibri"/>
          <w:szCs w:val="24"/>
          <w:lang w:eastAsia="x-none"/>
        </w:rPr>
      </w:r>
    </w:p>
    <w:p>
      <w:pPr>
        <w:pStyle w:val="Normal"/>
        <w:rPr>
          <w:rFonts w:eastAsia="Calibri"/>
          <w:szCs w:val="24"/>
          <w:lang w:eastAsia="x-none"/>
        </w:rPr>
      </w:pPr>
      <w:r>
        <w:rPr>
          <w:rFonts w:eastAsia="Calibri"/>
          <w:szCs w:val="24"/>
          <w:lang w:eastAsia="x-none"/>
        </w:rPr>
      </w:r>
    </w:p>
    <w:p>
      <w:pPr>
        <w:pStyle w:val="Normal"/>
        <w:rPr>
          <w:rFonts w:eastAsia="Calibri"/>
          <w:szCs w:val="24"/>
          <w:lang w:eastAsia="x-none"/>
        </w:rPr>
      </w:pPr>
      <w:r>
        <w:rPr>
          <w:rFonts w:eastAsia="Calibri"/>
          <w:szCs w:val="24"/>
          <w:lang w:eastAsia="x-none"/>
        </w:rPr>
        <w:t>Таблица 2.2 Требования по срокам оказания сопутствующих услуг</w:t>
      </w:r>
    </w:p>
    <w:tbl>
      <w:tblPr>
        <w:tblStyle w:val="afffff"/>
        <w:tblW w:w="10207"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709"/>
        <w:gridCol w:w="2269"/>
        <w:gridCol w:w="3115"/>
        <w:gridCol w:w="4113"/>
      </w:tblGrid>
      <w:tr>
        <w:trPr/>
        <w:tc>
          <w:tcPr>
            <w:tcW w:w="709" w:type="dxa"/>
            <w:tcBorders/>
            <w:vAlign w:val="center"/>
          </w:tcPr>
          <w:p>
            <w:pPr>
              <w:pStyle w:val="Normal"/>
              <w:widowControl/>
              <w:suppressAutoHyphens w:val="true"/>
              <w:spacing w:before="0" w:after="0"/>
              <w:jc w:val="center"/>
              <w:rPr>
                <w:sz w:val="22"/>
              </w:rPr>
            </w:pPr>
            <w:r>
              <w:rPr>
                <w:rFonts w:eastAsia="Calibri" w:cs=""/>
                <w:kern w:val="0"/>
                <w:sz w:val="22"/>
                <w:szCs w:val="22"/>
                <w:lang w:val="ru-RU" w:eastAsia="en-US" w:bidi="ar-SA"/>
              </w:rPr>
              <w:t xml:space="preserve">№ </w:t>
            </w:r>
            <w:r>
              <w:rPr>
                <w:rFonts w:eastAsia="Calibri" w:cs=""/>
                <w:kern w:val="0"/>
                <w:sz w:val="22"/>
                <w:szCs w:val="22"/>
                <w:lang w:val="ru-RU" w:eastAsia="en-US" w:bidi="ar-SA"/>
              </w:rPr>
              <w:t>п/п</w:t>
            </w:r>
          </w:p>
        </w:tc>
        <w:tc>
          <w:tcPr>
            <w:tcW w:w="2269" w:type="dxa"/>
            <w:tcBorders/>
            <w:vAlign w:val="center"/>
          </w:tcPr>
          <w:p>
            <w:pPr>
              <w:pStyle w:val="Normal"/>
              <w:widowControl/>
              <w:suppressAutoHyphens w:val="true"/>
              <w:spacing w:before="0" w:after="0"/>
              <w:jc w:val="center"/>
              <w:rPr>
                <w:sz w:val="22"/>
              </w:rPr>
            </w:pPr>
            <w:r>
              <w:rPr>
                <w:rFonts w:eastAsia="Calibri" w:cs=""/>
                <w:kern w:val="0"/>
                <w:sz w:val="22"/>
                <w:szCs w:val="22"/>
                <w:lang w:val="ru-RU" w:eastAsia="en-US" w:bidi="ar-SA"/>
              </w:rPr>
              <w:t>Наименование услуг</w:t>
            </w:r>
          </w:p>
        </w:tc>
        <w:tc>
          <w:tcPr>
            <w:tcW w:w="3115" w:type="dxa"/>
            <w:tcBorders/>
            <w:vAlign w:val="center"/>
          </w:tcPr>
          <w:p>
            <w:pPr>
              <w:pStyle w:val="Normal"/>
              <w:widowControl/>
              <w:suppressAutoHyphens w:val="true"/>
              <w:spacing w:before="0" w:after="0"/>
              <w:jc w:val="center"/>
              <w:rPr>
                <w:sz w:val="22"/>
              </w:rPr>
            </w:pPr>
            <w:r>
              <w:rPr>
                <w:rFonts w:eastAsia="Calibri" w:cs=""/>
                <w:kern w:val="0"/>
                <w:sz w:val="22"/>
                <w:szCs w:val="22"/>
                <w:lang w:val="ru-RU" w:eastAsia="en-US" w:bidi="ar-SA"/>
              </w:rPr>
              <w:t>Требования к началу срока оказания услуг</w:t>
            </w:r>
          </w:p>
        </w:tc>
        <w:tc>
          <w:tcPr>
            <w:tcW w:w="4113" w:type="dxa"/>
            <w:tcBorders/>
            <w:vAlign w:val="center"/>
          </w:tcPr>
          <w:p>
            <w:pPr>
              <w:pStyle w:val="Normal"/>
              <w:widowControl/>
              <w:suppressAutoHyphens w:val="true"/>
              <w:spacing w:before="0" w:after="0"/>
              <w:jc w:val="center"/>
              <w:rPr>
                <w:sz w:val="22"/>
              </w:rPr>
            </w:pPr>
            <w:r>
              <w:rPr>
                <w:rFonts w:eastAsia="Calibri" w:cs=""/>
                <w:kern w:val="0"/>
                <w:sz w:val="22"/>
                <w:szCs w:val="22"/>
                <w:lang w:val="ru-RU" w:eastAsia="en-US" w:bidi="ar-SA"/>
              </w:rPr>
              <w:t>Требования к окончанию срока оказания услуг</w:t>
            </w:r>
          </w:p>
        </w:tc>
      </w:tr>
      <w:tr>
        <w:trPr/>
        <w:tc>
          <w:tcPr>
            <w:tcW w:w="709" w:type="dxa"/>
            <w:tcBorders/>
            <w:vAlign w:val="center"/>
          </w:tcPr>
          <w:p>
            <w:pPr>
              <w:pStyle w:val="Normal"/>
              <w:widowControl/>
              <w:suppressAutoHyphens w:val="true"/>
              <w:spacing w:before="0" w:after="0"/>
              <w:jc w:val="center"/>
              <w:rPr>
                <w:b/>
                <w:sz w:val="22"/>
              </w:rPr>
            </w:pPr>
            <w:r>
              <w:rPr>
                <w:rFonts w:eastAsia="Calibri" w:cs=""/>
                <w:b/>
                <w:kern w:val="0"/>
                <w:sz w:val="22"/>
                <w:szCs w:val="22"/>
                <w:lang w:val="ru-RU" w:eastAsia="en-US" w:bidi="ar-SA"/>
              </w:rPr>
              <w:t>1</w:t>
            </w:r>
          </w:p>
        </w:tc>
        <w:tc>
          <w:tcPr>
            <w:tcW w:w="2269" w:type="dxa"/>
            <w:tcBorders/>
            <w:vAlign w:val="center"/>
          </w:tcPr>
          <w:p>
            <w:pPr>
              <w:pStyle w:val="Normal"/>
              <w:widowControl/>
              <w:suppressAutoHyphens w:val="true"/>
              <w:spacing w:before="0" w:after="0"/>
              <w:jc w:val="center"/>
              <w:rPr>
                <w:b/>
                <w:sz w:val="22"/>
              </w:rPr>
            </w:pPr>
            <w:r>
              <w:rPr>
                <w:rFonts w:eastAsia="Calibri" w:cs=""/>
                <w:b/>
                <w:kern w:val="0"/>
                <w:sz w:val="22"/>
                <w:szCs w:val="22"/>
                <w:lang w:val="ru-RU" w:eastAsia="en-US" w:bidi="ar-SA"/>
              </w:rPr>
              <w:t>2</w:t>
            </w:r>
          </w:p>
        </w:tc>
        <w:tc>
          <w:tcPr>
            <w:tcW w:w="3115" w:type="dxa"/>
            <w:tcBorders/>
            <w:vAlign w:val="center"/>
          </w:tcPr>
          <w:p>
            <w:pPr>
              <w:pStyle w:val="Normal"/>
              <w:widowControl/>
              <w:suppressAutoHyphens w:val="true"/>
              <w:spacing w:before="0" w:after="0"/>
              <w:jc w:val="center"/>
              <w:rPr>
                <w:b/>
                <w:sz w:val="22"/>
              </w:rPr>
            </w:pPr>
            <w:r>
              <w:rPr>
                <w:rFonts w:eastAsia="Calibri" w:cs=""/>
                <w:b/>
                <w:kern w:val="0"/>
                <w:sz w:val="22"/>
                <w:szCs w:val="22"/>
                <w:lang w:val="ru-RU" w:eastAsia="en-US" w:bidi="ar-SA"/>
              </w:rPr>
              <w:t>3</w:t>
            </w:r>
          </w:p>
        </w:tc>
        <w:tc>
          <w:tcPr>
            <w:tcW w:w="4113" w:type="dxa"/>
            <w:tcBorders/>
            <w:vAlign w:val="center"/>
          </w:tcPr>
          <w:p>
            <w:pPr>
              <w:pStyle w:val="Normal"/>
              <w:widowControl/>
              <w:suppressAutoHyphens w:val="true"/>
              <w:spacing w:before="0" w:after="0"/>
              <w:jc w:val="center"/>
              <w:rPr>
                <w:b/>
                <w:sz w:val="22"/>
              </w:rPr>
            </w:pPr>
            <w:r>
              <w:rPr>
                <w:rFonts w:eastAsia="Calibri" w:cs=""/>
                <w:b/>
                <w:kern w:val="0"/>
                <w:sz w:val="22"/>
                <w:szCs w:val="22"/>
                <w:lang w:val="ru-RU" w:eastAsia="en-US" w:bidi="ar-SA"/>
              </w:rPr>
              <w:t>4</w:t>
            </w:r>
          </w:p>
        </w:tc>
      </w:tr>
      <w:tr>
        <w:trPr/>
        <w:tc>
          <w:tcPr>
            <w:tcW w:w="709" w:type="dxa"/>
            <w:tcBorders/>
            <w:vAlign w:val="center"/>
          </w:tcPr>
          <w:p>
            <w:pPr>
              <w:pStyle w:val="Normal"/>
              <w:widowControl/>
              <w:suppressAutoHyphens w:val="true"/>
              <w:spacing w:before="0" w:after="0"/>
              <w:jc w:val="center"/>
              <w:rPr>
                <w:sz w:val="22"/>
              </w:rPr>
            </w:pPr>
            <w:r>
              <w:rPr>
                <w:rFonts w:eastAsia="Calibri" w:cs=""/>
                <w:kern w:val="0"/>
                <w:sz w:val="22"/>
                <w:szCs w:val="22"/>
                <w:lang w:val="ru-RU" w:eastAsia="en-US" w:bidi="ar-SA"/>
              </w:rPr>
              <w:t>1</w:t>
            </w:r>
          </w:p>
        </w:tc>
        <w:tc>
          <w:tcPr>
            <w:tcW w:w="2269" w:type="dxa"/>
            <w:tcBorders/>
            <w:vAlign w:val="center"/>
          </w:tcPr>
          <w:p>
            <w:pPr>
              <w:pStyle w:val="Normal"/>
              <w:widowControl w:val="false"/>
              <w:suppressAutoHyphens w:val="true"/>
              <w:spacing w:before="0" w:after="0"/>
              <w:jc w:val="left"/>
              <w:rPr>
                <w:sz w:val="22"/>
              </w:rPr>
            </w:pPr>
            <w:r>
              <w:rPr>
                <w:rFonts w:eastAsia="Calibri" w:cs=""/>
                <w:kern w:val="0"/>
                <w:sz w:val="22"/>
                <w:szCs w:val="22"/>
                <w:lang w:val="ru-RU" w:eastAsia="en-US" w:bidi="ar-SA"/>
              </w:rPr>
              <w:t>Услуга шефмонтажа оборудования</w:t>
            </w:r>
          </w:p>
        </w:tc>
        <w:tc>
          <w:tcPr>
            <w:tcW w:w="3115" w:type="dxa"/>
            <w:tcBorders/>
            <w:vAlign w:val="center"/>
          </w:tcPr>
          <w:p>
            <w:pPr>
              <w:pStyle w:val="Normal"/>
              <w:widowControl w:val="false"/>
              <w:suppressAutoHyphens w:val="true"/>
              <w:spacing w:before="0" w:after="0"/>
              <w:jc w:val="center"/>
              <w:rPr>
                <w:sz w:val="22"/>
              </w:rPr>
            </w:pPr>
            <w:r>
              <w:rPr>
                <w:rFonts w:eastAsia="Calibri" w:cs=""/>
                <w:kern w:val="0"/>
                <w:sz w:val="22"/>
                <w:szCs w:val="22"/>
                <w:lang w:val="ru-RU" w:eastAsia="en-US" w:bidi="ar-SA"/>
              </w:rPr>
              <w:t>Не позднее 10 календарных дней с даты направления заявки</w:t>
            </w:r>
          </w:p>
        </w:tc>
        <w:tc>
          <w:tcPr>
            <w:tcW w:w="4113" w:type="dxa"/>
            <w:tcBorders/>
            <w:vAlign w:val="center"/>
          </w:tcPr>
          <w:p>
            <w:pPr>
              <w:pStyle w:val="Normal"/>
              <w:widowControl w:val="false"/>
              <w:suppressAutoHyphens w:val="true"/>
              <w:spacing w:before="0" w:after="0"/>
              <w:jc w:val="center"/>
              <w:rPr>
                <w:sz w:val="22"/>
              </w:rPr>
            </w:pPr>
            <w:r>
              <w:rPr>
                <w:rFonts w:eastAsia="Calibri" w:cs=""/>
                <w:kern w:val="0"/>
                <w:sz w:val="22"/>
                <w:szCs w:val="22"/>
                <w:lang w:val="ru-RU" w:eastAsia="en-US" w:bidi="ar-SA"/>
              </w:rPr>
              <w:t>Не позднее 30 календарных дней с даты направления заявки, но не позднее 30.03.2027 г.</w:t>
            </w:r>
          </w:p>
        </w:tc>
      </w:tr>
      <w:tr>
        <w:trPr/>
        <w:tc>
          <w:tcPr>
            <w:tcW w:w="709" w:type="dxa"/>
            <w:tcBorders/>
            <w:vAlign w:val="center"/>
          </w:tcPr>
          <w:p>
            <w:pPr>
              <w:pStyle w:val="Normal"/>
              <w:widowControl/>
              <w:suppressAutoHyphens w:val="true"/>
              <w:spacing w:before="0" w:after="0"/>
              <w:jc w:val="center"/>
              <w:rPr>
                <w:sz w:val="22"/>
              </w:rPr>
            </w:pPr>
            <w:r>
              <w:rPr>
                <w:rFonts w:eastAsia="Calibri" w:cs=""/>
                <w:kern w:val="0"/>
                <w:sz w:val="22"/>
                <w:szCs w:val="22"/>
                <w:lang w:val="ru-RU" w:eastAsia="en-US" w:bidi="ar-SA"/>
              </w:rPr>
              <w:t>2</w:t>
            </w:r>
          </w:p>
        </w:tc>
        <w:tc>
          <w:tcPr>
            <w:tcW w:w="2269" w:type="dxa"/>
            <w:tcBorders/>
            <w:vAlign w:val="center"/>
          </w:tcPr>
          <w:p>
            <w:pPr>
              <w:pStyle w:val="Normal"/>
              <w:widowControl w:val="false"/>
              <w:suppressAutoHyphens w:val="true"/>
              <w:spacing w:before="0" w:after="0"/>
              <w:jc w:val="left"/>
              <w:rPr>
                <w:sz w:val="22"/>
              </w:rPr>
            </w:pPr>
            <w:r>
              <w:rPr>
                <w:rFonts w:eastAsia="Calibri" w:cs=""/>
                <w:kern w:val="0"/>
                <w:sz w:val="22"/>
                <w:szCs w:val="22"/>
                <w:lang w:val="ru-RU" w:eastAsia="en-US" w:bidi="ar-SA"/>
              </w:rPr>
              <w:t>Услуга шефналадки оборудования</w:t>
            </w:r>
          </w:p>
        </w:tc>
        <w:tc>
          <w:tcPr>
            <w:tcW w:w="3115" w:type="dxa"/>
            <w:tcBorders/>
            <w:vAlign w:val="center"/>
          </w:tcPr>
          <w:p>
            <w:pPr>
              <w:pStyle w:val="Normal"/>
              <w:widowControl w:val="false"/>
              <w:suppressAutoHyphens w:val="true"/>
              <w:spacing w:before="0" w:after="0"/>
              <w:jc w:val="center"/>
              <w:rPr>
                <w:sz w:val="22"/>
              </w:rPr>
            </w:pPr>
            <w:r>
              <w:rPr>
                <w:rFonts w:eastAsia="Calibri" w:cs=""/>
                <w:kern w:val="0"/>
                <w:sz w:val="22"/>
                <w:szCs w:val="22"/>
                <w:lang w:val="ru-RU" w:eastAsia="en-US" w:bidi="ar-SA"/>
              </w:rPr>
              <w:t>Не позднее 10 календарных дней с даты направления заявки</w:t>
            </w:r>
          </w:p>
        </w:tc>
        <w:tc>
          <w:tcPr>
            <w:tcW w:w="4113" w:type="dxa"/>
            <w:tcBorders/>
            <w:vAlign w:val="center"/>
          </w:tcPr>
          <w:p>
            <w:pPr>
              <w:pStyle w:val="Normal"/>
              <w:widowControl w:val="false"/>
              <w:suppressAutoHyphens w:val="true"/>
              <w:spacing w:before="0" w:after="0"/>
              <w:jc w:val="center"/>
              <w:rPr>
                <w:sz w:val="22"/>
              </w:rPr>
            </w:pPr>
            <w:r>
              <w:rPr>
                <w:rFonts w:eastAsia="Calibri" w:cs=""/>
                <w:kern w:val="0"/>
                <w:sz w:val="22"/>
                <w:szCs w:val="22"/>
                <w:lang w:val="ru-RU" w:eastAsia="en-US" w:bidi="ar-SA"/>
              </w:rPr>
              <w:t>Не позднее 30 календарных дней с даты направления заявки, но не позднее 30.04.2027 г</w:t>
            </w:r>
          </w:p>
        </w:tc>
      </w:tr>
    </w:tbl>
    <w:p>
      <w:pPr>
        <w:sectPr>
          <w:footerReference w:type="default" r:id="rId2"/>
          <w:type w:val="nextPage"/>
          <w:pgSz w:w="11906" w:h="16838"/>
          <w:pgMar w:left="1418" w:right="1134" w:gutter="0" w:header="0" w:top="1134" w:footer="788" w:bottom="851"/>
          <w:pgNumType w:fmt="decimal"/>
          <w:formProt w:val="false"/>
          <w:textDirection w:val="lrTb"/>
          <w:docGrid w:type="default" w:linePitch="360" w:charSpace="0"/>
        </w:sectPr>
      </w:pPr>
    </w:p>
    <w:p>
      <w:pPr>
        <w:pStyle w:val="ListParagraph"/>
        <w:keepNext w:val="true"/>
        <w:numPr>
          <w:ilvl w:val="1"/>
          <w:numId w:val="1"/>
        </w:numPr>
        <w:tabs>
          <w:tab w:val="clear" w:pos="708"/>
          <w:tab w:val="left" w:pos="2552" w:leader="none"/>
          <w:tab w:val="left" w:pos="3261" w:leader="none"/>
        </w:tabs>
        <w:suppressAutoHyphens w:val="false"/>
        <w:spacing w:before="120" w:after="60"/>
        <w:contextualSpacing/>
        <w:outlineLvl w:val="3"/>
        <w:rPr>
          <w:b/>
          <w:bCs/>
          <w:lang w:val="x-none" w:eastAsia="x-none"/>
        </w:rPr>
      </w:pPr>
      <w:bookmarkStart w:id="19" w:name="_Toc141728503"/>
      <w:bookmarkStart w:id="20" w:name="_Toc46743511"/>
      <w:r>
        <w:rPr>
          <w:b/>
          <w:bCs/>
          <w:lang w:val="x-none" w:eastAsia="x-none"/>
        </w:rPr>
        <w:t xml:space="preserve">Требования к </w:t>
      </w:r>
      <w:bookmarkEnd w:id="20"/>
      <w:r>
        <w:rPr>
          <w:b/>
          <w:bCs/>
          <w:lang w:val="x-none" w:eastAsia="x-none"/>
        </w:rPr>
        <w:t>качеству продукции</w:t>
      </w:r>
      <w:bookmarkEnd w:id="19"/>
    </w:p>
    <w:p>
      <w:pPr>
        <w:pStyle w:val="Normal"/>
        <w:rPr>
          <w:rFonts w:eastAsia="Calibri"/>
          <w:szCs w:val="24"/>
          <w:lang w:eastAsia="x-none"/>
        </w:rPr>
      </w:pPr>
      <w:r>
        <w:rPr>
          <w:rFonts w:eastAsia="Calibri"/>
          <w:szCs w:val="24"/>
          <w:lang w:eastAsia="x-none"/>
        </w:rPr>
      </w:r>
    </w:p>
    <w:p>
      <w:pPr>
        <w:pStyle w:val="Normal"/>
        <w:rPr>
          <w:rFonts w:eastAsia="Calibri"/>
          <w:szCs w:val="24"/>
          <w:lang w:eastAsia="x-none"/>
        </w:rPr>
      </w:pPr>
      <w:r>
        <w:rPr>
          <w:rFonts w:eastAsia="Calibri"/>
          <w:szCs w:val="24"/>
          <w:lang w:eastAsia="x-none"/>
        </w:rPr>
        <w:t>Таблица 2.2. Требования к качеству продукции</w:t>
      </w:r>
    </w:p>
    <w:p>
      <w:pPr>
        <w:pStyle w:val="Normal"/>
        <w:jc w:val="both"/>
        <w:rPr>
          <w:rFonts w:eastAsia="Times New Roman" w:cs="Times New Roman"/>
          <w:bCs/>
          <w:spacing w:val="-6"/>
          <w:szCs w:val="24"/>
        </w:rPr>
      </w:pPr>
      <w:r>
        <w:rPr>
          <w:rFonts w:eastAsia="Times New Roman" w:cs="Times New Roman"/>
          <w:bCs/>
          <w:color w:val="000000"/>
          <w:spacing w:val="-6"/>
        </w:rPr>
        <w:t xml:space="preserve">Наименование продукции (позиции № 1-33 Таблицы 1.1): </w:t>
      </w:r>
      <w:r>
        <w:rPr>
          <w:rFonts w:eastAsia="Times New Roman" w:cs="Times New Roman"/>
          <w:bCs/>
          <w:spacing w:val="-6"/>
          <w:szCs w:val="24"/>
        </w:rPr>
        <w:t>ОКПД2</w:t>
      </w:r>
      <w:r>
        <w:rPr>
          <w:rFonts w:eastAsia="Times New Roman" w:cs="Times New Roman"/>
          <w:bCs/>
          <w:spacing w:val="-6"/>
          <w:szCs w:val="24"/>
          <w:highlight w:val="yellow"/>
        </w:rPr>
        <w:t>…</w:t>
      </w:r>
      <w:r>
        <w:rPr>
          <w:rFonts w:eastAsia="Times New Roman" w:cs="Times New Roman"/>
          <w:bCs/>
          <w:spacing w:val="-6"/>
          <w:szCs w:val="24"/>
        </w:rPr>
        <w:t xml:space="preserve"> </w:t>
      </w:r>
      <w:r>
        <w:rPr>
          <w:rFonts w:eastAsia="Times New Roman" w:cs="Times New Roman"/>
          <w:spacing w:val="-6"/>
          <w:szCs w:val="24"/>
        </w:rPr>
        <w:t xml:space="preserve">Поставка </w:t>
      </w:r>
      <w:r>
        <w:rPr>
          <w:rFonts w:eastAsia="Times New Roman"/>
          <w:spacing w:val="-6"/>
        </w:rPr>
        <w:t>комплекса охранного радиолокационного тепловизионного</w:t>
      </w:r>
      <w:r>
        <w:rPr>
          <w:rFonts w:eastAsia="Calibri"/>
          <w:lang w:eastAsia="x-none"/>
        </w:rPr>
        <w:t xml:space="preserve"> </w:t>
      </w:r>
      <w:r>
        <w:rPr>
          <w:rFonts w:eastAsia="Times New Roman" w:cs="Times New Roman"/>
          <w:bCs/>
          <w:spacing w:val="-6"/>
          <w:szCs w:val="24"/>
        </w:rPr>
        <w:t>для Рыбинской и Угличской ГЭС Каскада Верхневолжских ГЭС</w:t>
      </w:r>
    </w:p>
    <w:tbl>
      <w:tblPr>
        <w:tblpPr w:bottomFromText="0" w:horzAnchor="text" w:leftFromText="180" w:rightFromText="180" w:tblpX="0" w:tblpY="1" w:topFromText="0" w:vertAnchor="text"/>
        <w:tblW w:w="14879"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846"/>
        <w:gridCol w:w="2835"/>
        <w:gridCol w:w="34"/>
        <w:gridCol w:w="3792"/>
        <w:gridCol w:w="2268"/>
        <w:gridCol w:w="1844"/>
        <w:gridCol w:w="1559"/>
        <w:gridCol w:w="1700"/>
      </w:tblGrid>
      <w:tr>
        <w:trPr>
          <w:trHeight w:val="280" w:hRule="atLeast"/>
        </w:trPr>
        <w:tc>
          <w:tcPr>
            <w:tcW w:w="846" w:type="dxa"/>
            <w:vMerge w:val="restart"/>
            <w:tcBorders>
              <w:top w:val="single" w:sz="4"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pPr>
            <w:r>
              <w:rPr>
                <w:b/>
                <w:bCs/>
                <w:color w:val="000000"/>
                <w:sz w:val="22"/>
              </w:rPr>
              <w:t xml:space="preserve">№ </w:t>
            </w:r>
            <w:r>
              <w:rPr>
                <w:b/>
                <w:bCs/>
                <w:color w:val="000000"/>
                <w:sz w:val="22"/>
              </w:rPr>
              <w:t>п/п</w:t>
            </w:r>
          </w:p>
        </w:tc>
        <w:tc>
          <w:tcPr>
            <w:tcW w:w="6661" w:type="dxa"/>
            <w:gridSpan w:val="3"/>
            <w:vMerge w:val="restart"/>
            <w:tcBorders>
              <w:top w:val="single" w:sz="4"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pPr>
            <w:r>
              <w:rPr>
                <w:b/>
                <w:bCs/>
                <w:color w:val="000000"/>
                <w:sz w:val="22"/>
              </w:rPr>
              <w:t>Наименование параметра</w:t>
            </w:r>
          </w:p>
        </w:tc>
        <w:tc>
          <w:tcPr>
            <w:tcW w:w="2268" w:type="dxa"/>
            <w:vMerge w:val="restart"/>
            <w:tcBorders>
              <w:top w:val="single" w:sz="4"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Требование заказчика</w:t>
            </w:r>
          </w:p>
        </w:tc>
        <w:tc>
          <w:tcPr>
            <w:tcW w:w="5103" w:type="dxa"/>
            <w:gridSpan w:val="3"/>
            <w:tcBorders>
              <w:top w:val="single" w:sz="4"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
                <w:sz w:val="22"/>
              </w:rPr>
            </w:pPr>
            <w:r>
              <w:rPr>
                <w:b/>
                <w:sz w:val="22"/>
              </w:rPr>
              <w:t>Способ подтверждения участником соответствия требованиям</w:t>
            </w:r>
          </w:p>
        </w:tc>
      </w:tr>
      <w:tr>
        <w:trPr>
          <w:trHeight w:val="1224"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b/>
                <w:bCs/>
                <w:color w:val="000000"/>
                <w:sz w:val="22"/>
              </w:rPr>
            </w:pPr>
            <w:r>
              <w:rPr>
                <w:b/>
                <w:bCs/>
                <w:color w:val="000000"/>
                <w:sz w:val="22"/>
              </w:rPr>
            </w:r>
          </w:p>
        </w:tc>
        <w:tc>
          <w:tcPr>
            <w:tcW w:w="6661" w:type="dxa"/>
            <w:gridSpan w:val="3"/>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b/>
                <w:bCs/>
                <w:color w:val="000000"/>
                <w:sz w:val="22"/>
              </w:rPr>
            </w:pPr>
            <w:r>
              <w:rPr>
                <w:b/>
                <w:bCs/>
                <w:color w:val="000000"/>
                <w:sz w:val="22"/>
              </w:rPr>
            </w:r>
          </w:p>
        </w:tc>
        <w:tc>
          <w:tcPr>
            <w:tcW w:w="2268"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Согласие с требованием/ указание характеристик</w:t>
            </w:r>
          </w:p>
        </w:tc>
        <w:tc>
          <w:tcPr>
            <w:tcW w:w="155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 xml:space="preserve"> </w:t>
            </w:r>
            <w:r>
              <w:rPr>
                <w:b/>
                <w:sz w:val="22"/>
              </w:rPr>
              <w:t>Предоставление подтверждающего документа или иной способ подтверждения</w:t>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
                <w:sz w:val="22"/>
              </w:rPr>
            </w:pPr>
            <w:r>
              <w:rPr>
                <w:b/>
                <w:sz w:val="22"/>
              </w:rPr>
              <w:t>Предложение участника по характеристикам и параметрам</w:t>
            </w:r>
          </w:p>
        </w:tc>
      </w:tr>
      <w:tr>
        <w:trPr>
          <w:trHeight w:val="298"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b/>
                <w:bCs/>
                <w:color w:val="000000"/>
                <w:sz w:val="22"/>
              </w:rPr>
            </w:pPr>
            <w:r>
              <w:rPr>
                <w:b/>
                <w:bCs/>
                <w:color w:val="000000"/>
                <w:sz w:val="22"/>
              </w:rPr>
              <w:t>1</w:t>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b/>
                <w:bCs/>
                <w:color w:val="000000"/>
                <w:sz w:val="22"/>
              </w:rPr>
            </w:pPr>
            <w:r>
              <w:rPr>
                <w:b/>
                <w:bCs/>
                <w:color w:val="000000"/>
                <w:sz w:val="22"/>
              </w:rPr>
              <w:t>2</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3</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4</w:t>
            </w:r>
          </w:p>
        </w:tc>
        <w:tc>
          <w:tcPr>
            <w:tcW w:w="155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5</w:t>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
                <w:sz w:val="22"/>
              </w:rPr>
            </w:pPr>
            <w:r>
              <w:rPr>
                <w:b/>
                <w:sz w:val="22"/>
              </w:rPr>
              <w:t>6</w:t>
            </w:r>
          </w:p>
        </w:tc>
      </w:tr>
      <w:tr>
        <w:trPr>
          <w:trHeight w:val="252"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b/>
                <w:sz w:val="22"/>
              </w:rPr>
            </w:pPr>
            <w:r>
              <w:rPr>
                <w:b/>
                <w:sz w:val="22"/>
              </w:rPr>
              <w:t>Требования к техническим и функциональным характеристикам (включая гарантируемые показатели)</w:t>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b/>
                <w:sz w:val="22"/>
                <w:lang w:val="en-US"/>
              </w:rPr>
            </w:pPr>
            <w:r>
              <w:rPr>
                <w:b/>
                <w:sz w:val="22"/>
              </w:rPr>
              <w:t>1.1</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Calibri"/>
                <w:b/>
                <w:sz w:val="22"/>
                <w:lang w:eastAsia="x-none"/>
              </w:rPr>
              <w:t>Комплекс охранный радиолокационный тепловизионный (90</w:t>
            </w:r>
            <w:r>
              <w:rPr>
                <w:rFonts w:ascii="Cuprum" w:hAnsi="Cuprum"/>
                <w:b/>
                <w:color w:val="000000"/>
                <w:sz w:val="22"/>
                <w:shd w:fill="FFFFFF" w:val="clear"/>
              </w:rPr>
              <w:t>°</w:t>
            </w:r>
            <w:r>
              <w:rPr>
                <w:rFonts w:eastAsia="Calibri"/>
                <w:b/>
                <w:sz w:val="22"/>
                <w:lang w:eastAsia="x-none"/>
              </w:rPr>
              <w:t>)</w:t>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1.1.1</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Calibri"/>
                <w:b/>
                <w:sz w:val="22"/>
                <w:lang w:eastAsia="x-none"/>
              </w:rPr>
              <w:t>Тепловизионный комплекс в составе:</w:t>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1.1.1.1</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Calibri"/>
                <w:b/>
                <w:sz w:val="22"/>
                <w:lang w:eastAsia="x-none"/>
              </w:rPr>
              <w:t>Тепловизионная камера</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Тип детектора</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Неохлаждаемый микроболометр</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andard"/>
              <w:widowControl w:val="false"/>
              <w:jc w:val="center"/>
              <w:rPr>
                <w:sz w:val="22"/>
              </w:rPr>
            </w:pPr>
            <w:r>
              <w:rPr>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val="en-US" w:eastAsia="ru-RU"/>
              </w:rPr>
            </w:pPr>
            <w:r>
              <w:rPr>
                <w:rFonts w:eastAsia="" w:eastAsiaTheme="minorEastAsia"/>
                <w:color w:val="000000"/>
                <w:sz w:val="22"/>
                <w:lang w:eastAsia="ru-RU"/>
              </w:rPr>
              <w:t>Разрешение</w:t>
            </w:r>
            <w:r>
              <w:rPr>
                <w:rFonts w:eastAsia="" w:eastAsiaTheme="minorEastAsia"/>
                <w:color w:val="000000"/>
                <w:sz w:val="22"/>
                <w:lang w:val="en-US" w:eastAsia="ru-RU"/>
              </w:rPr>
              <w:t>,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640х512</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Размер чувствительного элемента, мкм, не хуже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17</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Спектральный диапазон, мкм,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8-14</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Температурная чувствительность, мК, не более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40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Фокусное расстояние объектива, мм,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60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Формат сжатия</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H.264; H.265; MJPEG</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Частота обновления кадров, кадров/с,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25</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1.1.1.2</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 w:eastAsiaTheme="minorEastAsia"/>
                <w:b/>
                <w:color w:val="000000"/>
                <w:sz w:val="22"/>
                <w:lang w:eastAsia="ru-RU"/>
              </w:rPr>
              <w:t>Видеокамера</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Разрешение матрицы,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1/2,8" Exmor CMOS</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Разрешение изображения,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1920х1080 Full HD</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sz w:val="22"/>
              </w:rPr>
            </w:pPr>
            <w:r>
              <w:rPr>
                <w:sz w:val="22"/>
              </w:rPr>
              <w:t>Оптический зум,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sz w:val="22"/>
              </w:rPr>
            </w:pPr>
            <w:r>
              <w:rPr>
                <w:sz w:val="22"/>
              </w:rPr>
              <w:t>40x</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sz w:val="22"/>
              </w:rPr>
            </w:pPr>
            <w:r>
              <w:rPr>
                <w:sz w:val="22"/>
              </w:rPr>
              <w:t>Фокусное расстояние объектива, мм,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sz w:val="22"/>
              </w:rPr>
            </w:pPr>
            <w:r>
              <w:rPr>
                <w:sz w:val="22"/>
              </w:rPr>
              <w:t>6,8-272</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sz w:val="22"/>
              </w:rPr>
            </w:pPr>
            <w:r>
              <w:rPr>
                <w:sz w:val="22"/>
              </w:rPr>
              <w:t>Автофокус</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sz w:val="22"/>
              </w:rPr>
            </w:pPr>
            <w:r>
              <w:rPr>
                <w:sz w:val="22"/>
              </w:rPr>
              <w:t>Да, следящий</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1.1.1.3</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 w:eastAsiaTheme="minorEastAsia"/>
                <w:b/>
                <w:color w:val="000000"/>
                <w:sz w:val="22"/>
                <w:lang w:eastAsia="ru-RU"/>
              </w:rPr>
              <w:t>Поворотная платформа</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Угол поворота по горизонтали, град</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непрерывное 360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Угол по вертикали, град,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±90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Скорость вращения по горизонтали, град/сек,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до 80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Скорость вращения по вертикали, град/сек,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до 60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Количество предустановок</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128 и более</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b/>
                <w:sz w:val="22"/>
                <w:lang w:eastAsia="x-none"/>
              </w:rPr>
              <w:t>1.1.1.4</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 w:eastAsiaTheme="minorEastAsia"/>
                <w:b/>
                <w:color w:val="000000"/>
                <w:sz w:val="22"/>
                <w:lang w:eastAsia="ru-RU"/>
              </w:rPr>
              <w:t>Системные характеристики:</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Интерфейс управления</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Ethernet</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sz w:val="22"/>
              </w:rPr>
            </w:pPr>
            <w:r>
              <w:rPr>
                <w:sz w:val="22"/>
              </w:rPr>
              <w:t>Сетевые протоколы</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sz w:val="22"/>
              </w:rPr>
            </w:pPr>
            <w:r>
              <w:rPr>
                <w:sz w:val="22"/>
              </w:rPr>
              <w:t>TCP/IP; UDP; HTTP; FTP; DDNS; DHCP; PPPoE; UPnP; RTSP; NTP; ONVIF; Pelco-DE</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1.1.2</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b/>
                <w:sz w:val="22"/>
              </w:rPr>
              <w:t>Радиолокационная станция</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lang w:eastAsia="x-none"/>
              </w:rPr>
            </w:pPr>
            <w:r>
              <w:rPr>
                <w:rFonts w:eastAsia="Calibri"/>
                <w:b/>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b/>
                <w:sz w:val="22"/>
              </w:rPr>
            </w:pPr>
            <w:r>
              <w:rPr>
                <w:sz w:val="22"/>
              </w:rPr>
              <w:t>Импульсная мощность излучения, Вт, не более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sz w:val="22"/>
              </w:rPr>
            </w:pPr>
            <w:r>
              <w:rPr>
                <w:sz w:val="22"/>
              </w:rPr>
              <w:t>0,006</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Максимальная инструментальная дальность, не менее,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500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Минимальная инструментальная дальность, не более,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16</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Ширина рабочего сектора по азимуту, не менее, град</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90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Ширина рабочего сектора по углу места, не менее, град</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15</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Максимальная дальность обнаружения человека (ЭПР не менее 0,5 м2), не менее,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500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Максимальная дальность обнаружения автомобиля (ЭПР не менее 3 м2), не менее,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500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lang w:eastAsia="x-none"/>
              </w:rPr>
            </w:pPr>
            <w:r>
              <w:rPr>
                <w:rFonts w:eastAsia="Calibri"/>
                <w:b/>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Разрешение по дальности, не более,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9</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lang w:eastAsia="x-none"/>
              </w:rPr>
            </w:pPr>
            <w:r>
              <w:rPr>
                <w:rFonts w:eastAsia="Calibri"/>
                <w:b/>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Инструментальный диапазон радиальных скоростей обнаруживаемых объектов, не хуже, км/ч</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от 0,5 до 120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389"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Точность определения дальности объекта, не хуже,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1,5</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Точность определения азимута объекта, не хуже, град</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61"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Максимальное количество одновременно вычисляемых траекторий,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256</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61"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Частота обновления выходной (траекторной) информации, не менее, Гц</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3</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61"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Время обнаружения траектории объекта, не более, с</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3</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Внешние интерфейсы</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Ethernet</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Степень защиты оболочки (IP), не ниже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54</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Степень механической прочности (IK), не ниже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7</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lang w:eastAsia="x-none"/>
              </w:rPr>
            </w:pPr>
            <w:r>
              <w:rPr>
                <w:rFonts w:eastAsia="Calibri"/>
                <w:b/>
                <w:lang w:eastAsia="x-none"/>
              </w:rPr>
              <w:t>1.2</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x-none"/>
              </w:rPr>
              <w:t>Комплекс охранный радиолокационный тепловизионный (180</w:t>
            </w:r>
            <w:r>
              <w:rPr>
                <w:rFonts w:ascii="Cuprum" w:hAnsi="Cuprum"/>
                <w:b/>
                <w:color w:val="000000"/>
                <w:sz w:val="22"/>
                <w:shd w:fill="FFFFFF" w:val="clear"/>
              </w:rPr>
              <w:t>°</w:t>
            </w:r>
            <w:r>
              <w:rPr>
                <w:rFonts w:eastAsia="Calibri"/>
                <w:b/>
                <w:sz w:val="22"/>
                <w:lang w:eastAsia="x-none"/>
              </w:rPr>
              <w:t>)</w:t>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1.2.1</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Calibri"/>
                <w:b/>
                <w:sz w:val="22"/>
                <w:lang w:eastAsia="x-none"/>
              </w:rPr>
              <w:t>Тепловизионный комплекс в составе:</w:t>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1.2.1.1</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Calibri"/>
                <w:b/>
                <w:sz w:val="22"/>
                <w:lang w:eastAsia="x-none"/>
              </w:rPr>
              <w:t>Тепловизионная камера</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Тип детектора</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Неохлаждаемый микроболометр</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Разрешение,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640х512</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Размер чувствительного элемента, мкм, не хуже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17</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Спектральный диапазон, мкм,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8-14</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Температурная чувствительность, мК, не более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40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Фокусное расстояние объектива, мм,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60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Формат сжатия</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H.264; H.265; MJPEG</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Частота обновления кадров, кадров/с,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25</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b/>
                <w:sz w:val="22"/>
              </w:rPr>
            </w:pPr>
            <w:r>
              <w:rPr>
                <w:b/>
                <w:sz w:val="22"/>
              </w:rPr>
              <w:t>1.2.1.2</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 w:eastAsiaTheme="minorEastAsia"/>
                <w:b/>
                <w:color w:val="000000"/>
                <w:sz w:val="22"/>
                <w:lang w:eastAsia="ru-RU"/>
              </w:rPr>
              <w:t>Видеокамера</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Разрешение матрицы,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1/2,8" Exmor CMOS</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Разрешение изображения,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1920х1080 Full HD</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sz w:val="22"/>
              </w:rPr>
            </w:pPr>
            <w:r>
              <w:rPr>
                <w:sz w:val="22"/>
              </w:rPr>
              <w:t>Оптический зум,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sz w:val="22"/>
              </w:rPr>
            </w:pPr>
            <w:r>
              <w:rPr>
                <w:sz w:val="22"/>
              </w:rPr>
              <w:t>40x</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sz w:val="22"/>
              </w:rPr>
            </w:pPr>
            <w:r>
              <w:rPr>
                <w:sz w:val="22"/>
              </w:rPr>
              <w:t>Фокусное расстояние объектива, мм,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sz w:val="22"/>
              </w:rPr>
            </w:pPr>
            <w:r>
              <w:rPr>
                <w:sz w:val="22"/>
              </w:rPr>
              <w:t>6,8-272</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sz w:val="22"/>
              </w:rPr>
            </w:pPr>
            <w:r>
              <w:rPr>
                <w:sz w:val="22"/>
              </w:rPr>
              <w:t>Автофокус</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sz w:val="22"/>
              </w:rPr>
            </w:pPr>
            <w:r>
              <w:rPr>
                <w:sz w:val="22"/>
              </w:rPr>
              <w:t>Да, следящий</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1.2.1.3</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 w:eastAsiaTheme="minorEastAsia"/>
                <w:b/>
                <w:color w:val="000000"/>
                <w:sz w:val="22"/>
                <w:lang w:eastAsia="ru-RU"/>
              </w:rPr>
              <w:t>Поворотная платформа</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Угол поворота по горизонтали, град,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непрерывное 360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Угол по вертикали, град,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±90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Скорость вращения по горизонтали, град/сек,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до 80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Скорость вращения по вертикали, град/сек,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до 60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Количество предустановок</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128 и более</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b/>
                <w:sz w:val="22"/>
                <w:lang w:eastAsia="x-none"/>
              </w:rPr>
              <w:t>1.2.1.4</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rFonts w:eastAsia="" w:eastAsiaTheme="minorEastAsia"/>
                <w:b/>
                <w:color w:val="000000"/>
                <w:sz w:val="22"/>
                <w:lang w:eastAsia="ru-RU"/>
              </w:rPr>
              <w:t>Системные характеристики:</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sz w:val="22"/>
              </w:rPr>
              <w:t>Интерфейс управления</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sz w:val="22"/>
              </w:rPr>
              <w:t>Ethernet</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sz w:val="22"/>
              </w:rPr>
            </w:pPr>
            <w:r>
              <w:rPr>
                <w:sz w:val="22"/>
              </w:rPr>
              <w:t>Сетевые протоколы</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sz w:val="22"/>
              </w:rPr>
            </w:pPr>
            <w:r>
              <w:rPr>
                <w:sz w:val="22"/>
              </w:rPr>
              <w:t>TCP/IP; UDP; HTTP; FTP; DDNS; DHCP; PPPoE; UPnP; RTSP; NTP; ONVIF; Pelco-DE</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1.2.2</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tcPr>
          <w:p>
            <w:pPr>
              <w:pStyle w:val="Normal"/>
              <w:widowControl w:val="false"/>
              <w:rPr>
                <w:sz w:val="22"/>
              </w:rPr>
            </w:pPr>
            <w:r>
              <w:rPr>
                <w:b/>
                <w:sz w:val="22"/>
              </w:rPr>
              <w:t>Радиолокационная станция</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b/>
                <w:sz w:val="22"/>
              </w:rPr>
            </w:pPr>
            <w:r>
              <w:rPr>
                <w:sz w:val="22"/>
              </w:rPr>
              <w:t>Импульсная мощность излучения, Вт, не более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2</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Максимальная инструментальная дальность, не менее,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500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Минимальная инструментальная дальность, не более,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20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Ширина рабочего сектора по азимуту, не менее, град</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180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Ширина рабочего сектора по углу места, не менее, град</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Максимальная дальность обнаружения человека (ЭПР не менее 0,5 м2), не менее,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500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Максимальная дальность обнаружения автомобиля (ЭПР не менее 3 м2), не менее,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500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Разрешение по дальности, не более,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9</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Инструментальный диапазон радиальных скоростей обнаруживаемых объектов, не хуже, км/ч</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от 0,5 до 120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Точность определения дальности объекта, не хуже,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1,5</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Точность определения азимута объекта, не хуже, град</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Максимальное количество одновременно вычисляемых траекторий,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256</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Частота обновления выходной (траекторной) информации, не менее, Гц</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3</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Время обнаружения траектории объекта, не более, с</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3</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Внешние интерфейсы</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Ethernet</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Степень защиты оболочки (IP), не ниже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54</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Style42"/>
              <w:widowControl w:val="false"/>
              <w:rPr>
                <w:rFonts w:eastAsia="" w:eastAsiaTheme="minorEastAsia"/>
                <w:color w:val="000000"/>
                <w:sz w:val="22"/>
                <w:lang w:eastAsia="ru-RU"/>
              </w:rPr>
            </w:pPr>
            <w:r>
              <w:rPr>
                <w:rFonts w:eastAsia="" w:eastAsiaTheme="minorEastAsia"/>
                <w:color w:val="000000"/>
                <w:sz w:val="22"/>
                <w:lang w:eastAsia="ru-RU"/>
              </w:rPr>
              <w:t>Степень механической прочности (IK), не ниже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7</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1.3</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x-none"/>
              </w:rPr>
              <w:t>Сервер с установленным специализированным пакетом ПО</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Исполнение корпуса:</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19"</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Блок питания, Вт,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sz w:val="22"/>
                <w:lang w:eastAsia="ru-RU"/>
              </w:rPr>
              <w:t>650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Корпусный вентилятор,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sz w:val="22"/>
                <w:lang w:eastAsia="ru-RU"/>
              </w:rPr>
              <w:t>80 мм, 2шт</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CPU (сервер), не хуже: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sz w:val="22"/>
                <w:lang w:eastAsia="ru-RU"/>
              </w:rPr>
              <w:t>Intel® Core i7-14700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Кол-во ядер/потоков,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20/28</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Базовая частота процессора, ГГц,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5,4</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ОЗУ, не менее: </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val="en-US" w:eastAsia="ru-RU"/>
              </w:rPr>
            </w:pPr>
            <w:r>
              <w:rPr>
                <w:rFonts w:eastAsia="" w:eastAsiaTheme="minorEastAsia"/>
                <w:sz w:val="22"/>
                <w:lang w:val="en-US" w:eastAsia="ru-RU"/>
              </w:rPr>
              <w:t>RAM DIMM DDR5 16GB 4800MHz</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Жесткий диск, не хуже: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sz w:val="22"/>
                <w:lang w:eastAsia="ru-RU"/>
              </w:rPr>
              <w:t>SSD 256 GB 2.5" SATA RU</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Материнская плата, не хуже: </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sz w:val="22"/>
                <w:lang w:eastAsia="ru-RU"/>
              </w:rPr>
              <w:t xml:space="preserve">с поддержкой </w:t>
            </w:r>
            <w:r>
              <w:rPr>
                <w:rFonts w:eastAsia="" w:eastAsiaTheme="minorEastAsia"/>
                <w:color w:val="000000"/>
                <w:sz w:val="22"/>
                <w:lang w:eastAsia="ru-RU"/>
              </w:rPr>
              <w:t>RAID 0,1,5,10, разъемы 2 x HDMI, 1 x DP, 1xVGA</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Видеокарта,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sz w:val="22"/>
                <w:lang w:val="en-US" w:eastAsia="ru-RU"/>
              </w:rPr>
            </w:pPr>
            <w:r>
              <w:rPr>
                <w:rFonts w:eastAsia="" w:eastAsiaTheme="minorEastAsia"/>
                <w:sz w:val="22"/>
                <w:lang w:val="en-US" w:eastAsia="ru-RU"/>
              </w:rPr>
              <w:t>GPU</w:t>
            </w:r>
            <w:r>
              <w:rPr>
                <w:rFonts w:eastAsia="" w:eastAsiaTheme="minorEastAsia"/>
                <w:color w:val="000000"/>
                <w:sz w:val="22"/>
                <w:lang w:val="en-US" w:eastAsia="ru-RU"/>
              </w:rPr>
              <w:t> NVIDIA RTX A1000 8GB</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Сетевой адаптер:</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sz w:val="22"/>
                <w:lang w:eastAsia="ru-RU"/>
              </w:rPr>
            </w:pPr>
            <w:r>
              <w:rPr>
                <w:rFonts w:eastAsia="" w:eastAsiaTheme="minorEastAsia"/>
                <w:sz w:val="22"/>
                <w:lang w:eastAsia="ru-RU"/>
              </w:rPr>
              <w:t>1 x RJ45 2.5 G</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Клавиатура USB, мышь USB</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в комплекте</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Операционная система:</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val="en-US" w:eastAsia="ru-RU"/>
              </w:rPr>
            </w:pPr>
            <w:r>
              <w:rPr>
                <w:rFonts w:eastAsia="" w:eastAsiaTheme="minorEastAsia"/>
                <w:color w:val="000000"/>
                <w:sz w:val="22"/>
                <w:lang w:val="en-US" w:eastAsia="ru-RU"/>
              </w:rPr>
              <w:t>Astra Linux Special Edition 1.7 (</w:t>
            </w:r>
            <w:r>
              <w:rPr>
                <w:rFonts w:eastAsia="" w:eastAsiaTheme="minorEastAsia"/>
                <w:color w:val="000000"/>
                <w:sz w:val="22"/>
                <w:lang w:eastAsia="ru-RU"/>
              </w:rPr>
              <w:t>Воронеж</w:t>
            </w:r>
            <w:r>
              <w:rPr>
                <w:rFonts w:eastAsia="" w:eastAsiaTheme="minorEastAsia"/>
                <w:color w:val="000000"/>
                <w:sz w:val="22"/>
                <w:lang w:val="en-US" w:eastAsia="ru-RU"/>
              </w:rPr>
              <w:t>)</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Наличие в Реестре российской промышленной продукции (Постановление Правительства Российской Федерации от 23.12.2024 N 1875)</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1.4</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x-none"/>
              </w:rPr>
              <w:t xml:space="preserve">Монитор </w:t>
            </w:r>
            <w:r>
              <w:rPr>
                <w:b/>
                <w:sz w:val="22"/>
              </w:rPr>
              <w:t>27"(с наличием встроенных колонок)</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rPr>
              <w:t>Диагональ экрана (дюйм),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27"</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lang w:val="en-US"/>
              </w:rPr>
              <w:t>Разрешение</w:t>
            </w:r>
            <w:r>
              <w:rPr>
                <w:sz w:val="22"/>
              </w:rPr>
              <w:t>, не менее</w:t>
            </w:r>
            <w:r>
              <w:rPr>
                <w:sz w:val="22"/>
                <w:lang w:val="en-US"/>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2560x1440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lang w:val="en-US"/>
              </w:rPr>
              <w:t>Тип подсветки матрицы:</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LСD</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lang w:val="en-US"/>
              </w:rPr>
              <w:t>Технология изготовления матрицы:</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IPS</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lang w:val="en-US"/>
              </w:rPr>
              <w:t>Соотношение сторон:</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16:9</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rPr>
              <w:t>Яркость, кд/м2,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250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lang w:val="en-US"/>
              </w:rPr>
              <w:t>Контрастность</w:t>
            </w:r>
            <w:r>
              <w:rPr>
                <w:sz w:val="22"/>
              </w:rPr>
              <w:t>, не менее</w:t>
            </w:r>
            <w:r>
              <w:rPr>
                <w:sz w:val="22"/>
                <w:lang w:val="en-US"/>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1000:1</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rPr>
              <w:t>Мах количество цветов, млн.,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16,7</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rPr>
              <w:t>Время отклика пикселей, мс., не более: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5</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rPr>
              <w:t>Мах частота обновления экрана, Гц,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75</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41"/>
              <w:widowControl w:val="false"/>
              <w:rPr>
                <w:sz w:val="22"/>
              </w:rPr>
            </w:pPr>
            <w:r>
              <w:rPr>
                <w:sz w:val="22"/>
                <w:lang w:val="en-US"/>
              </w:rPr>
              <w:t>Видеоразъемы:</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HDMI, DisplayPort, VGA</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Наличие в Реестре российской промышленной продукции (Постановление Правительства Российской Федерации от 23.12.2024 N 1875)</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Style42"/>
              <w:widowControl w:val="false"/>
              <w:jc w:val="center"/>
              <w:rPr>
                <w:rFonts w:eastAsia="" w:eastAsiaTheme="minorEastAsia"/>
                <w:color w:val="000000"/>
                <w:sz w:val="22"/>
                <w:lang w:eastAsia="ru-RU"/>
              </w:rPr>
            </w:pPr>
            <w:r>
              <w:rPr>
                <w:rFonts w:eastAsia="" w:eastAsiaTheme="minorEastAsia"/>
                <w:color w:val="000000"/>
                <w:sz w:val="22"/>
                <w:lang w:eastAsia="ru-RU"/>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1.5</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x-none"/>
              </w:rPr>
              <w:t>Шкаф электропитания и коммутации комплекса охранного радиолокационного тепловизионного с креплением на опору и защитным козырьком</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Cтeпeнь зaщиты oбoлoчки (</w:t>
            </w:r>
            <w:r>
              <w:rPr>
                <w:rFonts w:eastAsia="Times New Roman" w:cs="Times New Roman"/>
                <w:sz w:val="22"/>
                <w:lang w:val="en-US"/>
              </w:rPr>
              <w:t>IP</w:t>
            </w:r>
            <w:r>
              <w:rPr>
                <w:rFonts w:eastAsia="Times New Roman" w:cs="Times New Roman"/>
                <w:sz w:val="22"/>
              </w:rPr>
              <w:t>), не ниже: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IP66</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Teмпepaтypa экcплyaтaции, диапазон не уже: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w:t>
            </w:r>
            <w:r>
              <w:rPr>
                <w:sz w:val="22"/>
              </w:rPr>
              <w:t>35</w:t>
            </w:r>
            <w:r>
              <w:rPr>
                <w:sz w:val="22"/>
                <w:lang w:val="en-US"/>
              </w:rPr>
              <w:t>…+</w:t>
            </w:r>
            <w:r>
              <w:rPr>
                <w:sz w:val="22"/>
              </w:rPr>
              <w:t>4</w:t>
            </w:r>
            <w:r>
              <w:rPr>
                <w:sz w:val="22"/>
                <w:lang w:val="en-US"/>
              </w:rPr>
              <w:t>0 °C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Тип монтажа</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навесной</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1.6</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lang w:val="en-US"/>
              </w:rPr>
            </w:pPr>
            <w:r>
              <w:rPr>
                <w:rFonts w:eastAsia="Calibri"/>
                <w:b/>
                <w:sz w:val="22"/>
                <w:lang w:val="en-US" w:eastAsia="x-none"/>
              </w:rPr>
              <w:t>Мачта телескопическая</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Функционал - обеспечение подъёма оборудования на высоту</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highlight w:val="yellow"/>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uppressAutoHyphens w:val="false"/>
              <w:rPr>
                <w:rFonts w:eastAsia="Times New Roman" w:cs="Times New Roman"/>
                <w:sz w:val="22"/>
              </w:rPr>
            </w:pPr>
            <w:r>
              <w:rPr>
                <w:rFonts w:eastAsia="Times New Roman" w:cs="Times New Roman"/>
                <w:sz w:val="22"/>
              </w:rPr>
              <w:t>Мачта представляет собой типовую металлическую выдвижную</w:t>
            </w:r>
          </w:p>
          <w:p>
            <w:pPr>
              <w:pStyle w:val="Normal"/>
              <w:widowControl w:val="false"/>
              <w:suppressAutoHyphens w:val="false"/>
              <w:rPr>
                <w:rFonts w:eastAsia="Times New Roman" w:cs="Times New Roman"/>
                <w:sz w:val="22"/>
              </w:rPr>
            </w:pPr>
            <w:r>
              <w:rPr>
                <w:rFonts w:eastAsia="Times New Roman" w:cs="Times New Roman"/>
                <w:sz w:val="22"/>
              </w:rPr>
              <w:t>мачту квадратного сечения с элементами её крепления к основанию.</w:t>
            </w:r>
          </w:p>
          <w:p>
            <w:pPr>
              <w:pStyle w:val="Normal"/>
              <w:widowControl w:val="false"/>
              <w:suppressAutoHyphens w:val="false"/>
              <w:rPr>
                <w:rFonts w:eastAsia="Times New Roman" w:cs="Times New Roman"/>
                <w:sz w:val="22"/>
              </w:rPr>
            </w:pPr>
            <w:r>
              <w:rPr>
                <w:rFonts w:eastAsia="Times New Roman" w:cs="Times New Roman"/>
                <w:sz w:val="22"/>
              </w:rPr>
              <w:t>Конструкция: стационарный сварной каркас (станок) в виде прямоугольной фермы из стальных профилей, предназначен для</w:t>
            </w:r>
          </w:p>
          <w:p>
            <w:pPr>
              <w:pStyle w:val="Normal"/>
              <w:widowControl w:val="false"/>
              <w:suppressAutoHyphens w:val="false"/>
              <w:rPr>
                <w:rFonts w:eastAsia="Times New Roman" w:cs="Times New Roman"/>
                <w:sz w:val="22"/>
              </w:rPr>
            </w:pPr>
            <w:r>
              <w:rPr>
                <w:rFonts w:eastAsia="Times New Roman" w:cs="Times New Roman"/>
                <w:sz w:val="22"/>
              </w:rPr>
              <w:t xml:space="preserve">подъема (опускания) секций при монтаже мачты. Внутри каркаса при помощи троса редуктора перемещается каретка, на которую при подъеме устанавливается секция мачты. Вращение барабану передается электромотором. Ствол мачты состоит из ферм. Ферма представляет собой стальную четырехгранную сварную конструкцию квадратного сечения. Продольные образующие фермы выполнены из стального профиля. </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highlight w:val="yellow"/>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Высота мачты, 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4</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Times New Roman" w:cs="Times New Roman"/>
                <w:color w:val="000000"/>
                <w:sz w:val="22"/>
                <w:highlight w:val="yellow"/>
                <w:lang w:eastAsia="ru-RU"/>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Наличие в составе электролебёдки 220 В</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Наличие в составе стационарного подъёмника</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Наличие в составе комплекта оттяжек</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Наличие в составе комплекта такелажа и кольев для растяжки станка</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Верхняя секция с опорными площадками</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Температура эксплуатации, диапазон не уже: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-40…+60 °C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Возможность эксплуатации при скорости ветра до, м/с,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30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Times New Roman" w:cs="Times New Roman"/>
                <w:color w:val="000000"/>
                <w:sz w:val="22"/>
                <w:lang w:eastAsia="ru-RU"/>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Возможность эксплуатации при обледенении с толщиной слоя до, см,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1</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Times New Roman" w:cs="Times New Roman"/>
                <w:color w:val="000000"/>
                <w:sz w:val="22"/>
                <w:lang w:eastAsia="ru-RU"/>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Эксплуатация в ветровых районах по СНиП2.01.07-85</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t>I…III</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highlight w:val="yellow"/>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1.7</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x-none"/>
              </w:rPr>
              <w:t>KVM-консоль</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Тип</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Консоль для монтажа в 19' стойку</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Диагональ экрана</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19''</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Разрешение экрана,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1280 x 1024 (SXGA)</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Угол обзора (гор./верт.),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160°/160°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Количество KVM входов,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8</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Температура эксплуатации, °C, </w:t>
            </w:r>
            <w:r>
              <w:rPr>
                <w:rFonts w:eastAsia="Times New Roman" w:cs="Times New Roman"/>
                <w:sz w:val="22"/>
              </w:rPr>
              <w:t>диапазон не уже: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0…+50 °C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Влажность, </w:t>
            </w:r>
            <w:r>
              <w:rPr>
                <w:rFonts w:eastAsia="Times New Roman" w:cs="Times New Roman"/>
                <w:sz w:val="22"/>
              </w:rPr>
              <w:t>диапазон не уже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20 ~ 80 % ( без конденсата )</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Интерфейс подключения клавиатуры</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USB</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1.8</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x-none"/>
              </w:rPr>
              <w:t>KVM-удлинитель</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Рабочее расстояние, не менее, м</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300м</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Разъемы</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RJ-45, RS-232, USB  тип А, VGA, Гнездо аудио</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От устройства к устройству</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Категория 5 / Категория 5e / Категория 6</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Рабочая температура, </w:t>
            </w:r>
            <w:r>
              <w:rPr>
                <w:rFonts w:eastAsia="Times New Roman" w:cs="Times New Roman"/>
                <w:sz w:val="22"/>
              </w:rPr>
              <w:t>диапазон не уже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0…+40 °C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lang w:eastAsia="x-none"/>
              </w:rPr>
            </w:pPr>
            <w:r>
              <w:rPr>
                <w:rFonts w:eastAsia="Calibri"/>
                <w:sz w:val="22"/>
                <w:lang w:eastAsia="x-none"/>
              </w:rPr>
              <w:t>Видео,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Calibri"/>
                <w:sz w:val="22"/>
                <w:lang w:eastAsia="x-none"/>
              </w:rPr>
              <w:t>1920x1200 @ 60Hz (150 м);</w:t>
              <w:br/>
              <w:t>1280x1024 @ 60Hz (300 м)</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Влажность при эксплуатации</w:t>
            </w:r>
            <w:r>
              <w:rPr>
                <w:sz w:val="22"/>
              </w:rPr>
              <w:t xml:space="preserve">, </w:t>
            </w:r>
            <w:r>
              <w:rPr>
                <w:rFonts w:eastAsia="Times New Roman" w:cs="Times New Roman"/>
                <w:sz w:val="22"/>
              </w:rPr>
              <w:t>диапазон не уже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от 10% до 90% без конденсата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1.9</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x-none"/>
              </w:rPr>
              <w:t>Медиаконвертер</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Интерфейсы:</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eastAsia="Calibri"/>
                <w:sz w:val="22"/>
                <w:lang w:val="en-US" w:eastAsia="x-none"/>
              </w:rPr>
              <w:t>100BASE-T, 1000BASE-LX/LH, 1000BASE-T</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Сетевые протоколы и стандарты:</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802.3ab, 802.3i, 802.3u, 802.3z</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Среда передачи данных</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витая пара, оптоволокно</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Скорость передачи данных,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1 Гбит/с</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Управление потоком передачи данных:</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Full-duplex</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Порты,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ascii="Calibri" w:hAnsi="Calibri" w:asciiTheme="minorHAnsi" w:hAnsiTheme="minorHAnsi"/>
                <w:sz w:val="22"/>
              </w:rPr>
            </w:pPr>
            <w:r>
              <w:rPr>
                <w:sz w:val="22"/>
              </w:rPr>
              <w:t>1xRJ-45, 1xSC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Длина поддерживаемого кабеля витая пара,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100 м</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rFonts w:eastAsia="Times New Roman" w:cs="Times New Roman"/>
                <w:sz w:val="22"/>
              </w:rPr>
              <w:t>Длина поддерживаемого оптического кабеля,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20 км</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Рабочая температура, </w:t>
            </w:r>
            <w:r>
              <w:rPr>
                <w:rFonts w:eastAsia="Times New Roman" w:cs="Times New Roman"/>
                <w:sz w:val="22"/>
              </w:rPr>
              <w:t>диапазон не уже</w:t>
            </w:r>
            <w:r>
              <w:rPr>
                <w:sz w:val="22"/>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0…+40 °C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Влажность воздуха при эксплуатации, </w:t>
            </w:r>
            <w:r>
              <w:rPr>
                <w:rFonts w:eastAsia="Times New Roman" w:cs="Times New Roman"/>
                <w:sz w:val="22"/>
              </w:rPr>
              <w:t>диапазон не уже</w:t>
            </w:r>
            <w:r>
              <w:rPr>
                <w:sz w:val="22"/>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rFonts w:eastAsia="Times New Roman" w:cs="Times New Roman"/>
                <w:sz w:val="22"/>
              </w:rPr>
              <w:t>от 10% до 90% без конденсата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sz w:val="22"/>
                <w:lang w:eastAsia="x-none"/>
              </w:rPr>
            </w:pPr>
            <w:r>
              <w:rPr>
                <w:rFonts w:eastAsia="Calibri"/>
                <w:b/>
                <w:sz w:val="22"/>
                <w:lang w:eastAsia="x-none"/>
              </w:rPr>
              <w:t>1.10</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x-none"/>
              </w:rPr>
              <w:t>Промышленный коммутатор</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Интерфейсы:</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t>4</w:t>
            </w:r>
            <w:r>
              <w:rPr>
                <w:rFonts w:eastAsia="Calibri"/>
                <w:sz w:val="22"/>
                <w:lang w:eastAsia="x-none"/>
              </w:rPr>
              <w:t>х</w:t>
            </w:r>
            <w:r>
              <w:rPr>
                <w:rFonts w:eastAsia="Calibri"/>
                <w:sz w:val="22"/>
                <w:lang w:val="en-US" w:eastAsia="x-none"/>
              </w:rPr>
              <w:t>Ethernet 10/100/1000Base-T,</w:t>
            </w:r>
          </w:p>
          <w:p>
            <w:pPr>
              <w:pStyle w:val="Normal"/>
              <w:widowControl w:val="false"/>
              <w:jc w:val="center"/>
              <w:rPr>
                <w:sz w:val="22"/>
                <w:lang w:val="en-US"/>
              </w:rPr>
            </w:pPr>
            <w:r>
              <w:rPr>
                <w:sz w:val="22"/>
                <w:lang w:val="en-US"/>
              </w:rPr>
              <w:t>1</w:t>
            </w:r>
            <w:r>
              <w:rPr>
                <w:sz w:val="22"/>
              </w:rPr>
              <w:t>х</w:t>
            </w:r>
            <w:r>
              <w:rPr>
                <w:sz w:val="22"/>
                <w:lang w:val="en-US"/>
              </w:rPr>
              <w:t>Ethernet 100/1000Base-X,</w:t>
            </w:r>
          </w:p>
          <w:p>
            <w:pPr>
              <w:pStyle w:val="Normal"/>
              <w:widowControl w:val="false"/>
              <w:jc w:val="center"/>
              <w:rPr>
                <w:sz w:val="22"/>
                <w:lang w:val="en-US"/>
              </w:rPr>
            </w:pPr>
            <w:r>
              <w:rPr>
                <w:sz w:val="22"/>
                <w:lang w:val="en-US"/>
              </w:rPr>
              <w:t>1</w:t>
            </w:r>
            <w:r>
              <w:rPr>
                <w:sz w:val="22"/>
              </w:rPr>
              <w:t>х</w:t>
            </w:r>
            <w:r>
              <w:rPr>
                <w:sz w:val="22"/>
                <w:lang w:val="en-US"/>
              </w:rPr>
              <w:t>Ethernet Gigabit TP/SFP</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Порты,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ascii="Calibri" w:hAnsi="Calibri" w:asciiTheme="minorHAnsi" w:hAnsiTheme="minorHAnsi"/>
                <w:sz w:val="22"/>
              </w:rPr>
            </w:pPr>
            <w:r>
              <w:rPr>
                <w:sz w:val="22"/>
              </w:rPr>
              <w:t>4xRJ-45, 1xSFP, 1х</w:t>
            </w:r>
            <w:r>
              <w:rPr>
                <w:sz w:val="22"/>
                <w:lang w:val="en-US"/>
              </w:rPr>
              <w:t>Combo</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Сетевые протоколы и стандарты:</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t>802.3/802.3u/802.3ab/802.3z,</w:t>
            </w:r>
          </w:p>
          <w:p>
            <w:pPr>
              <w:pStyle w:val="Normal"/>
              <w:widowControl w:val="false"/>
              <w:jc w:val="center"/>
              <w:rPr>
                <w:rFonts w:eastAsia="Calibri"/>
                <w:sz w:val="22"/>
                <w:lang w:val="en-US" w:eastAsia="x-none"/>
              </w:rPr>
            </w:pPr>
            <w:r>
              <w:rPr>
                <w:rFonts w:eastAsia="Calibri"/>
                <w:sz w:val="22"/>
                <w:lang w:val="en-US" w:eastAsia="x-none"/>
              </w:rPr>
              <w:t xml:space="preserve">802.3x Flow Control </w:t>
            </w:r>
            <w:r>
              <w:rPr>
                <w:rFonts w:eastAsia="Calibri"/>
                <w:sz w:val="22"/>
                <w:lang w:eastAsia="x-none"/>
              </w:rPr>
              <w:t>в</w:t>
            </w:r>
            <w:r>
              <w:rPr>
                <w:rFonts w:eastAsia="Calibri"/>
                <w:sz w:val="22"/>
                <w:lang w:val="en-US" w:eastAsia="x-none"/>
              </w:rPr>
              <w:t xml:space="preserve"> </w:t>
            </w:r>
            <w:r>
              <w:rPr>
                <w:rFonts w:eastAsia="Calibri"/>
                <w:sz w:val="22"/>
                <w:lang w:eastAsia="x-none"/>
              </w:rPr>
              <w:t>режиме</w:t>
            </w:r>
            <w:r>
              <w:rPr>
                <w:rFonts w:eastAsia="Calibri"/>
                <w:sz w:val="22"/>
                <w:lang w:val="en-US" w:eastAsia="x-none"/>
              </w:rPr>
              <w:t xml:space="preserve"> Full duplex,</w:t>
            </w:r>
          </w:p>
          <w:p>
            <w:pPr>
              <w:pStyle w:val="Normal"/>
              <w:widowControl w:val="false"/>
              <w:jc w:val="center"/>
              <w:rPr>
                <w:rFonts w:eastAsia="Calibri"/>
                <w:sz w:val="22"/>
                <w:lang w:val="en-US" w:eastAsia="x-none"/>
              </w:rPr>
            </w:pPr>
            <w:r>
              <w:rPr>
                <w:rFonts w:eastAsia="Calibri"/>
                <w:sz w:val="22"/>
                <w:lang w:val="en-US" w:eastAsia="x-none"/>
              </w:rPr>
              <w:t>Back Pressure в режиме Half duplex,</w:t>
            </w:r>
          </w:p>
          <w:p>
            <w:pPr>
              <w:pStyle w:val="Normal"/>
              <w:widowControl w:val="false"/>
              <w:jc w:val="center"/>
              <w:rPr>
                <w:rFonts w:eastAsia="Calibri"/>
                <w:sz w:val="22"/>
                <w:lang w:val="en-US" w:eastAsia="x-none"/>
              </w:rPr>
            </w:pPr>
            <w:r>
              <w:rPr>
                <w:rFonts w:eastAsia="Calibri"/>
                <w:sz w:val="22"/>
                <w:lang w:val="en-US" w:eastAsia="x-none"/>
              </w:rPr>
              <w:t>Поддержка Autonegotiation &amp; Auto-MDIX</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Среда передачи данных:</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витая пара, оптоволокно</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eastAsia="x-none"/>
              </w:rPr>
            </w:pPr>
            <w:r>
              <w:rPr>
                <w:rFonts w:eastAsia="Calibri"/>
                <w:sz w:val="22"/>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Пропускная способность,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12 Гбит/с</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Напряжение питания,  диапазон не уже :</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highlight w:val="yellow"/>
                <w:lang w:eastAsia="x-none"/>
              </w:rPr>
            </w:pPr>
            <w:r>
              <w:rPr>
                <w:rFonts w:eastAsia="Calibri"/>
                <w:sz w:val="22"/>
                <w:lang w:eastAsia="x-none"/>
              </w:rPr>
              <w:t>12</w:t>
            </w:r>
            <w:r>
              <w:rPr>
                <w:sz w:val="22"/>
              </w:rPr>
              <w:t>…</w:t>
            </w:r>
            <w:r>
              <w:rPr>
                <w:rFonts w:eastAsia="Calibri"/>
                <w:sz w:val="22"/>
                <w:lang w:eastAsia="x-none"/>
              </w:rPr>
              <w:t>48 VDC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Рабочая температура, </w:t>
            </w:r>
            <w:r>
              <w:rPr>
                <w:rFonts w:eastAsia="Times New Roman" w:cs="Times New Roman"/>
                <w:sz w:val="22"/>
              </w:rPr>
              <w:t>диапазон не уже</w:t>
            </w:r>
            <w:r>
              <w:rPr>
                <w:sz w:val="22"/>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-40…+75 °C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Монтаж на DIN-рейку</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Cтeпeнь зaщиты корпуса (</w:t>
            </w:r>
            <w:r>
              <w:rPr>
                <w:rFonts w:eastAsia="Times New Roman" w:cs="Times New Roman"/>
                <w:sz w:val="22"/>
                <w:lang w:val="en-US"/>
              </w:rPr>
              <w:t>IP</w:t>
            </w:r>
            <w:r>
              <w:rPr>
                <w:rFonts w:eastAsia="Times New Roman" w:cs="Times New Roman"/>
                <w:sz w:val="22"/>
              </w:rPr>
              <w:t>), не ниже: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highlight w:val="yellow"/>
              </w:rPr>
            </w:pPr>
            <w:r>
              <w:rPr>
                <w:sz w:val="22"/>
              </w:rPr>
              <w:t>IP30</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lang w:eastAsia="x-none"/>
              </w:rPr>
            </w:pPr>
            <w:r>
              <w:rPr>
                <w:rFonts w:eastAsia="Calibri"/>
                <w:b/>
                <w:lang w:eastAsia="x-none"/>
              </w:rPr>
              <w:t>1.11</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x-none"/>
              </w:rPr>
              <w:t>Промышленный источник питания</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Входное напряжение,</w:t>
            </w:r>
            <w:r>
              <w:rPr>
                <w:rFonts w:eastAsia="Times New Roman" w:cs="Times New Roman"/>
                <w:sz w:val="22"/>
              </w:rPr>
              <w:t xml:space="preserve"> диапазон не уже</w:t>
            </w:r>
            <w:r>
              <w:rPr>
                <w:sz w:val="22"/>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eastAsia="Calibri"/>
                <w:sz w:val="22"/>
                <w:lang w:val="en-US" w:eastAsia="x-none"/>
              </w:rPr>
              <w:t>100-240</w:t>
            </w:r>
            <w:r>
              <w:rPr>
                <w:rFonts w:eastAsia="Calibri"/>
                <w:sz w:val="22"/>
                <w:lang w:eastAsia="x-none"/>
              </w:rPr>
              <w:t xml:space="preserve"> </w:t>
            </w:r>
            <w:r>
              <w:rPr>
                <w:rFonts w:eastAsia="Calibri"/>
                <w:sz w:val="22"/>
                <w:lang w:val="en-US" w:eastAsia="x-none"/>
              </w:rPr>
              <w:t>VAC</w:t>
            </w:r>
            <w:r>
              <w:rPr>
                <w:rFonts w:eastAsia="Calibri"/>
                <w:sz w:val="22"/>
                <w:lang w:eastAsia="x-none"/>
              </w:rPr>
              <w:t xml:space="preserve"> </w:t>
            </w:r>
            <w:r>
              <w:rPr>
                <w:rFonts w:eastAsia="Calibri"/>
                <w:sz w:val="22"/>
                <w:lang w:val="en-US" w:eastAsia="x-none"/>
              </w:rPr>
              <w:t>/</w:t>
            </w:r>
            <w:r>
              <w:rPr>
                <w:rFonts w:eastAsia="Calibri"/>
                <w:sz w:val="22"/>
                <w:lang w:eastAsia="x-none"/>
              </w:rPr>
              <w:t xml:space="preserve"> </w:t>
            </w:r>
            <w:r>
              <w:rPr>
                <w:rFonts w:eastAsia="Calibri"/>
                <w:sz w:val="22"/>
                <w:lang w:val="en-US" w:eastAsia="x-none"/>
              </w:rPr>
              <w:t>120-370</w:t>
            </w:r>
            <w:r>
              <w:rPr>
                <w:rFonts w:eastAsia="Calibri"/>
                <w:sz w:val="22"/>
                <w:lang w:eastAsia="x-none"/>
              </w:rPr>
              <w:t xml:space="preserve"> </w:t>
            </w:r>
            <w:r>
              <w:rPr>
                <w:rFonts w:eastAsia="Calibri"/>
                <w:sz w:val="22"/>
                <w:lang w:val="en-US" w:eastAsia="x-none"/>
              </w:rPr>
              <w:t>VDC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eastAsia="Times New Roman" w:cs="Times New Roman"/>
                <w:color w:val="000000"/>
                <w:sz w:val="22"/>
                <w:lang w:eastAsia="ru-RU"/>
              </w:rPr>
              <w:t>Указание характеристик</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val="en-US" w:eastAsia="x-none"/>
              </w:rPr>
            </w:pPr>
            <w:r>
              <w:rPr>
                <w:rFonts w:eastAsia="Calibri"/>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sz w:val="22"/>
              </w:rPr>
              <w:t>Выходное напряжение: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24V</w:t>
            </w:r>
            <w:r>
              <w:rPr>
                <w:rFonts w:eastAsia="Calibri"/>
                <w:sz w:val="22"/>
                <w:lang w:val="en-US" w:eastAsia="x-none"/>
              </w:rPr>
              <w:t>DC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val="en-US" w:eastAsia="x-none"/>
              </w:rPr>
            </w:pPr>
            <w:r>
              <w:rPr>
                <w:rFonts w:eastAsia="Calibri"/>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Пульсации выходного напряжения, не более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150 mV p-p</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sz w:val="22"/>
              </w:rPr>
              <w:t>Выходной ток,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1А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Тип клемм для подключения:</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винтовые</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Монтаж на DIN-рейку</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highlight w:val="yellow"/>
              </w:rPr>
            </w:pPr>
            <w:r>
              <w:rPr>
                <w:sz w:val="22"/>
              </w:rPr>
              <w:t>Защита от короткого замыкания, от перегрева и перенапряжения по выходным цепям</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highlight w:val="yellow"/>
              </w:rPr>
            </w:pPr>
            <w:r>
              <w:rPr>
                <w:rFonts w:eastAsia="Calibri"/>
                <w:sz w:val="22"/>
                <w:lang w:eastAsia="x-none"/>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Рабочая температура, </w:t>
            </w:r>
            <w:r>
              <w:rPr>
                <w:rFonts w:eastAsia="Times New Roman" w:cs="Times New Roman"/>
                <w:sz w:val="22"/>
              </w:rPr>
              <w:t>диапазон не уже</w:t>
            </w:r>
            <w:r>
              <w:rPr>
                <w:sz w:val="22"/>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-40…+70 °C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Влажность воздуха при эксплуатации, </w:t>
            </w:r>
            <w:r>
              <w:rPr>
                <w:rFonts w:eastAsia="Times New Roman" w:cs="Times New Roman"/>
                <w:sz w:val="22"/>
              </w:rPr>
              <w:t>диапазон не уже</w:t>
            </w:r>
            <w:r>
              <w:rPr>
                <w:sz w:val="22"/>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sz w:val="22"/>
              </w:rPr>
              <w:t>от 5% до 95% без конденсата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lang w:eastAsia="x-none"/>
              </w:rPr>
            </w:pPr>
            <w:r>
              <w:rPr>
                <w:rFonts w:eastAsia="Calibri"/>
                <w:b/>
                <w:lang w:eastAsia="x-none"/>
              </w:rPr>
              <w:t>1.12</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x-none"/>
              </w:rPr>
              <w:t>Источник питания</w:t>
            </w:r>
          </w:p>
        </w:tc>
      </w:tr>
      <w:tr>
        <w:trPr>
          <w:trHeight w:val="2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Входное напряжение,</w:t>
            </w:r>
            <w:r>
              <w:rPr>
                <w:rFonts w:eastAsia="Times New Roman" w:cs="Times New Roman"/>
                <w:sz w:val="22"/>
              </w:rPr>
              <w:t xml:space="preserve"> диапазон не уже</w:t>
            </w:r>
            <w:r>
              <w:rPr>
                <w:sz w:val="22"/>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eastAsia="Calibri"/>
                <w:sz w:val="22"/>
                <w:lang w:eastAsia="x-none"/>
              </w:rPr>
              <w:t>90</w:t>
            </w:r>
            <w:r>
              <w:rPr>
                <w:rFonts w:eastAsia="Calibri"/>
                <w:sz w:val="22"/>
                <w:lang w:val="en-US" w:eastAsia="x-none"/>
              </w:rPr>
              <w:t>-</w:t>
            </w:r>
            <w:r>
              <w:rPr>
                <w:rFonts w:eastAsia="Calibri"/>
                <w:sz w:val="22"/>
                <w:lang w:eastAsia="x-none"/>
              </w:rPr>
              <w:t xml:space="preserve">305 </w:t>
            </w:r>
            <w:r>
              <w:rPr>
                <w:rFonts w:eastAsia="Calibri"/>
                <w:sz w:val="22"/>
                <w:lang w:val="en-US" w:eastAsia="x-none"/>
              </w:rPr>
              <w:t>VAC</w:t>
            </w:r>
            <w:r>
              <w:rPr>
                <w:rFonts w:eastAsia="Calibri"/>
                <w:sz w:val="22"/>
                <w:lang w:eastAsia="x-none"/>
              </w:rPr>
              <w:t xml:space="preserve"> </w:t>
            </w:r>
            <w:r>
              <w:rPr>
                <w:rFonts w:eastAsia="Calibri"/>
                <w:sz w:val="22"/>
                <w:lang w:val="en-US" w:eastAsia="x-none"/>
              </w:rPr>
              <w:t>/</w:t>
            </w:r>
            <w:r>
              <w:rPr>
                <w:rFonts w:eastAsia="Calibri"/>
                <w:sz w:val="22"/>
                <w:lang w:eastAsia="x-none"/>
              </w:rPr>
              <w:t xml:space="preserve"> </w:t>
            </w:r>
            <w:r>
              <w:rPr>
                <w:rFonts w:eastAsia="Calibri"/>
                <w:sz w:val="22"/>
                <w:lang w:val="en-US" w:eastAsia="x-none"/>
              </w:rPr>
              <w:t>12</w:t>
            </w:r>
            <w:r>
              <w:rPr>
                <w:rFonts w:eastAsia="Calibri"/>
                <w:sz w:val="22"/>
                <w:lang w:eastAsia="x-none"/>
              </w:rPr>
              <w:t>7</w:t>
            </w:r>
            <w:r>
              <w:rPr>
                <w:rFonts w:eastAsia="Calibri"/>
                <w:sz w:val="22"/>
                <w:lang w:val="en-US" w:eastAsia="x-none"/>
              </w:rPr>
              <w:t>-</w:t>
            </w:r>
            <w:r>
              <w:rPr>
                <w:rFonts w:eastAsia="Calibri"/>
                <w:sz w:val="22"/>
                <w:lang w:eastAsia="x-none"/>
              </w:rPr>
              <w:t xml:space="preserve">431 </w:t>
            </w:r>
            <w:r>
              <w:rPr>
                <w:rFonts w:eastAsia="Calibri"/>
                <w:sz w:val="22"/>
                <w:lang w:val="en-US" w:eastAsia="x-none"/>
              </w:rPr>
              <w:t>VDC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eastAsia="Times New Roman" w:cs="Times New Roman"/>
                <w:color w:val="000000"/>
                <w:sz w:val="22"/>
                <w:lang w:eastAsia="ru-RU"/>
              </w:rPr>
              <w:t>Указание характеристик</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val="en-US" w:eastAsia="x-none"/>
              </w:rPr>
            </w:pPr>
            <w:r>
              <w:rPr>
                <w:rFonts w:eastAsia="Calibri"/>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sz w:val="22"/>
              </w:rPr>
              <w:t>Выходное напряжение: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24V</w:t>
            </w:r>
            <w:r>
              <w:rPr>
                <w:rFonts w:eastAsia="Calibri"/>
                <w:sz w:val="22"/>
                <w:lang w:val="en-US" w:eastAsia="x-none"/>
              </w:rPr>
              <w:t>DC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val="en-US" w:eastAsia="x-none"/>
              </w:rPr>
            </w:pPr>
            <w:r>
              <w:rPr>
                <w:rFonts w:eastAsia="Calibri"/>
                <w:lang w:val="en-US"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Пульсации выходного напряжения, не более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2400 mV p-p</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sz w:val="22"/>
              </w:rPr>
              <w:t>Выходной ток, не менее: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20А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Тип клемм для подключения:</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винтовые</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Times New Roman" w:cs="Times New Roman"/>
                <w:sz w:val="22"/>
              </w:rPr>
            </w:pPr>
            <w:r>
              <w:rPr>
                <w:rFonts w:eastAsia="Times New Roman" w:cs="Times New Roman"/>
                <w:sz w:val="22"/>
              </w:rPr>
              <w:t>Монтаж на DIN-рейку</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Защита от короткого замыкания, от перегрева и перенапряжения по выходным цепям</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Calibri"/>
                <w:sz w:val="22"/>
                <w:lang w:eastAsia="x-none"/>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Функция ИБП и зарядного устройства аккумулятора</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Встроенный интерфейс MODBus</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Встроенный релейный модуль, не менее шт</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eastAsia="x-none"/>
              </w:rPr>
            </w:pPr>
            <w:r>
              <w:rPr>
                <w:rFonts w:eastAsia="Calibri"/>
                <w:sz w:val="22"/>
                <w:lang w:eastAsia="x-none"/>
              </w:rPr>
              <w:t>4</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Регулировка тока заряда аккумулятора, </w:t>
            </w:r>
            <w:r>
              <w:rPr>
                <w:rFonts w:eastAsia="Times New Roman" w:cs="Times New Roman"/>
                <w:sz w:val="22"/>
              </w:rPr>
              <w:t>диапазон не уже</w:t>
            </w:r>
            <w:r>
              <w:rPr>
                <w:sz w:val="22"/>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20…100 %</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Выбор характеристики заряда аккумулятора DIP-переключателем</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Calibri"/>
                <w:sz w:val="22"/>
                <w:lang w:eastAsia="x-none"/>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Рабочая температура, </w:t>
            </w:r>
            <w:r>
              <w:rPr>
                <w:rFonts w:eastAsia="Times New Roman" w:cs="Times New Roman"/>
                <w:sz w:val="22"/>
              </w:rPr>
              <w:t>диапазон не уже</w:t>
            </w:r>
            <w:r>
              <w:rPr>
                <w:sz w:val="22"/>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t>-30…+70 °C</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Влажность воздуха при эксплуатации, </w:t>
            </w:r>
            <w:r>
              <w:rPr>
                <w:rFonts w:eastAsia="Times New Roman" w:cs="Times New Roman"/>
                <w:sz w:val="22"/>
              </w:rPr>
              <w:t>диапазон не уже</w:t>
            </w:r>
            <w:r>
              <w:rPr>
                <w:sz w:val="22"/>
              </w:rPr>
              <w:t>:</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sz w:val="22"/>
              </w:rPr>
              <w:t>от 20% до 90% без конденсата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eastAsia="Times New Roman" w:cs="Times New Roman"/>
                <w:color w:val="000000"/>
                <w:sz w:val="22"/>
                <w:lang w:eastAsia="ru-RU"/>
              </w:rPr>
              <w:t>Указание характеристик</w:t>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lang w:eastAsia="x-none"/>
              </w:rPr>
            </w:pPr>
            <w:r>
              <w:rPr>
                <w:rFonts w:eastAsia="Calibri"/>
                <w:b/>
                <w:lang w:eastAsia="x-none"/>
              </w:rPr>
              <w:t>1.13</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rFonts w:eastAsia="Calibri"/>
                <w:b/>
                <w:sz w:val="22"/>
                <w:lang w:eastAsia="x-none"/>
              </w:rPr>
            </w:pPr>
            <w:r>
              <w:rPr>
                <w:rFonts w:eastAsia="Calibri"/>
                <w:b/>
                <w:sz w:val="22"/>
                <w:lang w:eastAsia="x-none"/>
              </w:rPr>
              <w:t>Комплект ПО на физическом носителе</w:t>
            </w:r>
          </w:p>
        </w:tc>
      </w:tr>
      <w:tr>
        <w:trPr>
          <w:trHeight w:val="20"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lang w:eastAsia="x-none"/>
              </w:rPr>
            </w:pPr>
            <w:r>
              <w:rPr>
                <w:rFonts w:eastAsia="Calibri"/>
                <w:lang w:eastAsia="x-none"/>
              </w:rPr>
            </w:r>
          </w:p>
        </w:tc>
        <w:tc>
          <w:tcPr>
            <w:tcW w:w="6661"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sz w:val="22"/>
              </w:rPr>
              <w:t xml:space="preserve">Дистрибутив специализированного ПО с необходимыми для установки и развёртывания модулями на </w:t>
            </w:r>
            <w:r>
              <w:rPr>
                <w:sz w:val="22"/>
                <w:lang w:val="en-US"/>
              </w:rPr>
              <w:t>USB</w:t>
            </w:r>
            <w:r>
              <w:rPr>
                <w:sz w:val="22"/>
              </w:rPr>
              <w:t xml:space="preserve"> </w:t>
            </w:r>
            <w:r>
              <w:rPr>
                <w:sz w:val="22"/>
                <w:lang w:val="en-US"/>
              </w:rPr>
              <w:t>Flash</w:t>
            </w:r>
            <w:r>
              <w:rPr>
                <w:sz w:val="22"/>
              </w:rPr>
              <w:t>-диске</w:t>
            </w:r>
          </w:p>
        </w:tc>
        <w:tc>
          <w:tcPr>
            <w:tcW w:w="226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eastAsia="Calibri"/>
                <w:sz w:val="22"/>
                <w:lang w:eastAsia="x-none"/>
              </w:rPr>
              <w:t>да</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rFonts w:cs="Times New Roman"/>
                <w:sz w:val="22"/>
              </w:rPr>
              <w:t>Согласие с требованием</w:t>
            </w:r>
          </w:p>
        </w:tc>
        <w:tc>
          <w:tcPr>
            <w:tcW w:w="155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lang w:val="en-US"/>
              </w:rPr>
            </w:pPr>
            <w:r>
              <w:rPr>
                <w:sz w:val="22"/>
                <w:lang w:val="en-US"/>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lang w:val="en-US"/>
              </w:rPr>
            </w:pPr>
            <w:r>
              <w:rPr>
                <w:sz w:val="22"/>
                <w:lang w:val="en-US"/>
              </w:rPr>
            </w:r>
          </w:p>
        </w:tc>
      </w:tr>
      <w:tr>
        <w:trPr>
          <w:trHeight w:val="278"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b/>
                <w:lang w:eastAsia="x-none"/>
              </w:rPr>
            </w:pPr>
            <w:r>
              <w:rPr>
                <w:rFonts w:eastAsia="Calibri"/>
                <w:b/>
                <w:lang w:eastAsia="x-none"/>
              </w:rPr>
              <w:t>2.</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b/>
              </w:rPr>
            </w:pPr>
            <w:r>
              <w:rPr>
                <w:b/>
                <w:sz w:val="22"/>
              </w:rPr>
              <w:t>Требования к доставке, маркировке, упаковке, транспортировке, перемещению, условиям хранения, приемке и испытаниям</w:t>
            </w:r>
          </w:p>
        </w:tc>
      </w:tr>
      <w:tr>
        <w:trPr>
          <w:trHeight w:val="560" w:hRule="atLeast"/>
        </w:trPr>
        <w:tc>
          <w:tcPr>
            <w:tcW w:w="846" w:type="dxa"/>
            <w:vMerge w:val="restart"/>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pPr>
            <w:r>
              <w:rPr>
                <w:rFonts w:eastAsia="Calibri"/>
                <w:sz w:val="22"/>
              </w:rPr>
              <w:t>2.1</w:t>
            </w:r>
          </w:p>
        </w:tc>
        <w:tc>
          <w:tcPr>
            <w:tcW w:w="2869" w:type="dxa"/>
            <w:gridSpan w:val="2"/>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rFonts w:eastAsia="Calibri"/>
                <w:sz w:val="22"/>
              </w:rPr>
              <w:t>Место поставки</w:t>
            </w:r>
          </w:p>
        </w:tc>
        <w:tc>
          <w:tcPr>
            <w:tcW w:w="6060"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color w:val="FF0000"/>
                <w:sz w:val="22"/>
              </w:rPr>
            </w:pPr>
            <w:r>
              <w:rPr>
                <w:sz w:val="22"/>
              </w:rPr>
              <w:t>Партия №1 в соответствии с табл.1.1 - Рыбинская ГЭС – 152917, Российская Федерация, Ярославская область, г. Рыбинск, ул. Вяземского д.31</w:t>
            </w:r>
          </w:p>
        </w:tc>
        <w:tc>
          <w:tcPr>
            <w:tcW w:w="1844"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color w:val="FF0000"/>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color w:val="FF0000"/>
              </w:rPr>
            </w:pPr>
            <w:r>
              <w:rPr>
                <w:color w:val="FF0000"/>
              </w:rPr>
            </w:r>
          </w:p>
        </w:tc>
        <w:tc>
          <w:tcPr>
            <w:tcW w:w="1700" w:type="dxa"/>
            <w:vMerge w:val="restart"/>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both"/>
              <w:rPr>
                <w:color w:val="FF0000"/>
              </w:rPr>
            </w:pPr>
            <w:r>
              <w:rPr>
                <w:color w:val="FF0000"/>
              </w:rPr>
            </w:r>
          </w:p>
        </w:tc>
      </w:tr>
      <w:tr>
        <w:trPr>
          <w:trHeight w:val="56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rPr>
            </w:pPr>
            <w:r>
              <w:rPr>
                <w:rFonts w:eastAsia="Calibri"/>
                <w:sz w:val="22"/>
              </w:rPr>
            </w:r>
          </w:p>
        </w:tc>
        <w:tc>
          <w:tcPr>
            <w:tcW w:w="2869" w:type="dxa"/>
            <w:gridSpan w:val="2"/>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rPr>
            </w:pPr>
            <w:r>
              <w:rPr>
                <w:rFonts w:eastAsia="Calibri"/>
                <w:sz w:val="22"/>
              </w:rPr>
            </w:r>
          </w:p>
        </w:tc>
        <w:tc>
          <w:tcPr>
            <w:tcW w:w="6060"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rFonts w:eastAsia="Calibri"/>
                <w:sz w:val="22"/>
              </w:rPr>
            </w:pPr>
            <w:r>
              <w:rPr>
                <w:rFonts w:eastAsia="Calibri"/>
                <w:sz w:val="22"/>
              </w:rPr>
              <w:t xml:space="preserve">Партия №2 </w:t>
            </w:r>
            <w:r>
              <w:rPr>
                <w:sz w:val="22"/>
              </w:rPr>
              <w:t xml:space="preserve"> в соответствии с табл.1.1 -  ВСП №2 Рыбинской ГЭС – 152917, Российская Федерация, Ярославская область, г. Рыбинск, ул. Вяземского д.31</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both"/>
              <w:rPr>
                <w:sz w:val="22"/>
              </w:rPr>
            </w:pPr>
            <w:r>
              <w:rPr>
                <w:sz w:val="22"/>
              </w:rPr>
            </w:r>
          </w:p>
        </w:tc>
      </w:tr>
      <w:tr>
        <w:trPr>
          <w:trHeight w:val="56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rPr>
            </w:pPr>
            <w:r>
              <w:rPr>
                <w:rFonts w:eastAsia="Calibri"/>
                <w:sz w:val="22"/>
              </w:rPr>
            </w:r>
          </w:p>
        </w:tc>
        <w:tc>
          <w:tcPr>
            <w:tcW w:w="2869" w:type="dxa"/>
            <w:gridSpan w:val="2"/>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rPr>
            </w:pPr>
            <w:r>
              <w:rPr>
                <w:rFonts w:eastAsia="Calibri"/>
                <w:sz w:val="22"/>
              </w:rPr>
            </w:r>
          </w:p>
        </w:tc>
        <w:tc>
          <w:tcPr>
            <w:tcW w:w="6060"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sz w:val="22"/>
              </w:rPr>
            </w:pPr>
            <w:r>
              <w:rPr>
                <w:rFonts w:eastAsia="Calibri"/>
                <w:sz w:val="22"/>
              </w:rPr>
              <w:t>Партия №3 в соответствии с табл.1.1 - Угличская ГЭС – 152615, Российская Федерация, Ярославская область, г. Углич, ул. Спасская д. 33.</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both"/>
              <w:rPr>
                <w:sz w:val="22"/>
              </w:rPr>
            </w:pPr>
            <w:r>
              <w:rPr>
                <w:sz w:val="22"/>
              </w:rPr>
            </w:r>
          </w:p>
        </w:tc>
      </w:tr>
      <w:tr>
        <w:trPr>
          <w:trHeight w:val="560" w:hRule="atLeast"/>
        </w:trPr>
        <w:tc>
          <w:tcPr>
            <w:tcW w:w="846" w:type="dxa"/>
            <w:vMerge w:val="continue"/>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rPr>
            </w:pPr>
            <w:r>
              <w:rPr>
                <w:rFonts w:eastAsia="Calibri"/>
                <w:sz w:val="22"/>
              </w:rPr>
            </w:r>
          </w:p>
        </w:tc>
        <w:tc>
          <w:tcPr>
            <w:tcW w:w="2869" w:type="dxa"/>
            <w:gridSpan w:val="2"/>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rPr>
            </w:pPr>
            <w:r>
              <w:rPr>
                <w:rFonts w:eastAsia="Calibri"/>
                <w:sz w:val="22"/>
              </w:rPr>
            </w:r>
          </w:p>
        </w:tc>
        <w:tc>
          <w:tcPr>
            <w:tcW w:w="6060"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color w:val="FF0000"/>
                <w:sz w:val="22"/>
              </w:rPr>
            </w:pPr>
            <w:r>
              <w:rPr>
                <w:sz w:val="22"/>
              </w:rPr>
              <w:t>Партия №4 в соответствии с табл.1.1 - Рыбинская ГЭС – 152917, Российская Федерация, Ярославская область, г. Рыбинск, ул. Вяземского д.31</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both"/>
              <w:rPr>
                <w:sz w:val="22"/>
              </w:rPr>
            </w:pPr>
            <w:r>
              <w:rPr>
                <w:sz w:val="22"/>
              </w:rPr>
            </w:r>
          </w:p>
        </w:tc>
      </w:tr>
      <w:tr>
        <w:trPr>
          <w:trHeight w:val="276"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pPr>
            <w:r>
              <w:rPr>
                <w:rFonts w:eastAsia="Calibri"/>
                <w:sz w:val="22"/>
              </w:rPr>
              <w:t>2.2</w:t>
            </w:r>
          </w:p>
        </w:tc>
        <w:tc>
          <w:tcPr>
            <w:tcW w:w="2869"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rFonts w:eastAsia="Calibri"/>
                <w:sz w:val="22"/>
              </w:rPr>
              <w:t>Приемка продукции</w:t>
            </w:r>
          </w:p>
        </w:tc>
        <w:tc>
          <w:tcPr>
            <w:tcW w:w="6060"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rFonts w:eastAsia="Calibri"/>
                <w:sz w:val="22"/>
              </w:rPr>
            </w:pPr>
            <w:r>
              <w:rPr>
                <w:rFonts w:eastAsia="Calibri"/>
                <w:sz w:val="22"/>
              </w:rPr>
              <w:t>Приемка продукции осуществляется только в рабочие дни с 9-00 до 11-00 и с 13-00 до 16-00.</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pPr>
            <w:r>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pPr>
            <w:r>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both"/>
              <w:rPr/>
            </w:pPr>
            <w:r>
              <w:rPr/>
            </w:r>
          </w:p>
        </w:tc>
      </w:tr>
      <w:tr>
        <w:trPr>
          <w:trHeight w:val="276"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pPr>
            <w:r>
              <w:rPr>
                <w:rFonts w:eastAsia="Calibri"/>
                <w:sz w:val="22"/>
              </w:rPr>
              <w:t>2.3</w:t>
            </w:r>
          </w:p>
        </w:tc>
        <w:tc>
          <w:tcPr>
            <w:tcW w:w="8929" w:type="dxa"/>
            <w:gridSpan w:val="4"/>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rFonts w:eastAsia="Calibri"/>
                <w:sz w:val="22"/>
              </w:rPr>
            </w:pPr>
            <w:r>
              <w:rPr>
                <w:rFonts w:eastAsia="Calibri"/>
                <w:sz w:val="22"/>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r>
              <w:rPr>
                <w:rFonts w:eastAsia="Calibri"/>
                <w:b/>
                <w:sz w:val="22"/>
              </w:rPr>
              <w:t>.</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rFonts w:eastAsia="Calibri"/>
              </w:rPr>
            </w:pPr>
            <w:r>
              <w:rPr>
                <w:rFonts w:eastAsia="Calibri"/>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rFonts w:eastAsia="Calibri"/>
              </w:rPr>
            </w:pPr>
            <w:r>
              <w:rPr>
                <w:rFonts w:eastAsia="Calibri"/>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both"/>
              <w:rPr>
                <w:rFonts w:eastAsia="Calibri"/>
              </w:rPr>
            </w:pPr>
            <w:r>
              <w:rPr>
                <w:rFonts w:eastAsia="Calibri"/>
              </w:rPr>
            </w:r>
          </w:p>
        </w:tc>
      </w:tr>
      <w:tr>
        <w:trPr>
          <w:trHeight w:val="276"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pPr>
            <w:r>
              <w:rPr>
                <w:rFonts w:eastAsia="Calibri"/>
                <w:b/>
                <w:sz w:val="22"/>
              </w:rPr>
              <w:t>3.</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both"/>
              <w:rPr>
                <w:sz w:val="22"/>
              </w:rPr>
            </w:pPr>
            <w:r>
              <w:rPr>
                <w:b/>
                <w:sz w:val="22"/>
                <w:lang w:eastAsia="ru-RU"/>
              </w:rPr>
              <w:t>Требования к гарантиям, гарантийному и послегарантийному обслуживанию</w:t>
            </w:r>
          </w:p>
        </w:tc>
      </w:tr>
      <w:tr>
        <w:trPr>
          <w:trHeight w:val="276"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pPr>
            <w:r>
              <w:rPr>
                <w:rFonts w:eastAsia="Calibri"/>
                <w:sz w:val="22"/>
              </w:rPr>
              <w:t>3.1</w:t>
            </w:r>
          </w:p>
        </w:tc>
        <w:tc>
          <w:tcPr>
            <w:tcW w:w="2869"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rFonts w:eastAsia="Calibri"/>
                <w:sz w:val="22"/>
              </w:rPr>
              <w:t>Сроки гарантии</w:t>
            </w:r>
          </w:p>
        </w:tc>
        <w:tc>
          <w:tcPr>
            <w:tcW w:w="6060"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rFonts w:eastAsia="Calibri"/>
                <w:sz w:val="22"/>
              </w:rPr>
              <w:t>На Продукцию устанавливается гарантийный срок, равный 36 (тридцати шести) месяцам, исчисляемый с даты ввода Продукции в эксплуатацию, но не более 48 (сорока восьми) месяцев с даты подписания Сторонами товарной накладной по форме ТОРГ-12 или Универсального передаточного документа (УПД). Установленный в отношении Продукции Гарантийный срок распространяется на все составные части и комплектующие Продукции.</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pPr>
            <w:r>
              <w:rPr>
                <w:rFonts w:cs="Times New Roman"/>
                <w:sz w:val="22"/>
              </w:rPr>
              <w:t>Согласие с требованием</w:t>
            </w:r>
          </w:p>
        </w:tc>
        <w:tc>
          <w:tcPr>
            <w:tcW w:w="155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pPr>
            <w:r>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both"/>
              <w:rPr/>
            </w:pPr>
            <w:r>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lang w:val="en-US"/>
              </w:rPr>
            </w:pPr>
            <w:r>
              <w:rPr>
                <w:b/>
                <w:sz w:val="22"/>
                <w:lang w:val="en-US" w:eastAsia="ru-RU"/>
              </w:rPr>
              <w:t>4</w:t>
            </w:r>
            <w:r>
              <w:rPr>
                <w:b/>
                <w:sz w:val="22"/>
                <w:lang w:eastAsia="ru-RU"/>
              </w:rPr>
              <w:t>.</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b/>
                <w:sz w:val="22"/>
                <w:lang w:eastAsia="ru-RU"/>
              </w:rPr>
              <w:t>Требования к сопу</w:t>
            </w:r>
            <w:r>
              <w:rPr>
                <w:b/>
                <w:sz w:val="22"/>
                <w:lang w:val="en-US" w:eastAsia="ru-RU"/>
              </w:rPr>
              <w:t>т</w:t>
            </w:r>
            <w:r>
              <w:rPr>
                <w:b/>
                <w:sz w:val="22"/>
                <w:lang w:eastAsia="ru-RU"/>
              </w:rPr>
              <w:t>ствующим услугам:</w:t>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Standard"/>
              <w:widowControl w:val="false"/>
              <w:jc w:val="center"/>
              <w:rPr>
                <w:b/>
                <w:sz w:val="22"/>
                <w:lang w:eastAsia="ru-RU"/>
              </w:rPr>
            </w:pPr>
            <w:r>
              <w:rPr>
                <w:rFonts w:eastAsia="Calibri"/>
                <w:sz w:val="22"/>
                <w:lang w:val="en-US"/>
              </w:rPr>
              <w:t>4.1.</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val="en-US"/>
              </w:rPr>
              <w:t>Требования к шефмонтажу</w:t>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4.1.1.</w:t>
            </w:r>
          </w:p>
        </w:tc>
        <w:tc>
          <w:tcPr>
            <w:tcW w:w="8929" w:type="dxa"/>
            <w:gridSpan w:val="4"/>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b/>
                <w:sz w:val="22"/>
              </w:rPr>
            </w:pPr>
            <w:r>
              <w:rPr>
                <w:rFonts w:eastAsia="Calibri"/>
                <w:sz w:val="22"/>
              </w:rPr>
              <w:t>Стоимость сопутствующих услуг по шефмонтажу должна быть включена в стоимость оборудования.</w:t>
            </w:r>
          </w:p>
        </w:tc>
        <w:tc>
          <w:tcPr>
            <w:tcW w:w="1844"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restart"/>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4.1.2.</w:t>
            </w:r>
          </w:p>
        </w:tc>
        <w:tc>
          <w:tcPr>
            <w:tcW w:w="283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rPr>
            </w:pPr>
            <w:r>
              <w:rPr>
                <w:rFonts w:eastAsia="Calibri"/>
                <w:sz w:val="22"/>
              </w:rPr>
              <w:t>Место оказания услуг по шеф-монтажу</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rFonts w:eastAsia="Calibri"/>
                <w:sz w:val="22"/>
              </w:rPr>
            </w:pPr>
            <w:r>
              <w:rPr>
                <w:sz w:val="22"/>
              </w:rPr>
              <w:t xml:space="preserve">Партия №1 в соответствии с табл.1.1 - </w:t>
            </w:r>
            <w:r>
              <w:rPr>
                <w:rFonts w:eastAsia="Calibri"/>
                <w:sz w:val="22"/>
              </w:rPr>
              <w:t>Рыбинская ГЭС – 152917, Российская Федерация, Ярославская область, г. Рыбинск, ул. Вяземского д.31.</w:t>
            </w:r>
          </w:p>
          <w:p>
            <w:pPr>
              <w:pStyle w:val="Normal"/>
              <w:widowControl w:val="false"/>
              <w:jc w:val="both"/>
              <w:rPr>
                <w:rFonts w:eastAsia="Calibri"/>
                <w:sz w:val="22"/>
              </w:rPr>
            </w:pPr>
            <w:r>
              <w:rPr>
                <w:rFonts w:eastAsia="Calibri"/>
                <w:sz w:val="22"/>
              </w:rPr>
              <w:t xml:space="preserve">Партия №2 </w:t>
            </w:r>
            <w:r>
              <w:rPr>
                <w:sz w:val="22"/>
              </w:rPr>
              <w:t xml:space="preserve">в соответствии с табл.1.1 - </w:t>
            </w:r>
            <w:r>
              <w:rPr/>
              <w:t xml:space="preserve"> </w:t>
            </w:r>
            <w:r>
              <w:rPr>
                <w:sz w:val="22"/>
              </w:rPr>
              <w:t xml:space="preserve">ВСП №2 </w:t>
            </w:r>
            <w:r>
              <w:rPr>
                <w:rFonts w:eastAsia="Calibri"/>
                <w:sz w:val="22"/>
              </w:rPr>
              <w:t>Рыбинской ГЭС – 152917, Российская Федерация, Ярославская область, г. Рыбинск, ул. Вяземского д.31.</w:t>
            </w:r>
          </w:p>
          <w:p>
            <w:pPr>
              <w:pStyle w:val="Normal"/>
              <w:widowControl w:val="false"/>
              <w:rPr/>
            </w:pPr>
            <w:r>
              <w:rPr>
                <w:rFonts w:eastAsia="Calibri"/>
                <w:sz w:val="22"/>
              </w:rPr>
              <w:t>Партия №3 в соответствии с табл.1.1 - Угличская ГЭС – 152615, Российская Федерация, Ярославская область, г. Углич, ул. Спасская д. 33.</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4.1.3.</w:t>
            </w:r>
          </w:p>
        </w:tc>
        <w:tc>
          <w:tcPr>
            <w:tcW w:w="283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rPr>
            </w:pPr>
            <w:r>
              <w:rPr>
                <w:rFonts w:eastAsia="Calibri"/>
                <w:sz w:val="22"/>
              </w:rPr>
              <w:t>Соблюдение при оказании услуг норм и правил нормативно-технических документов</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ListParagraph"/>
              <w:widowControl w:val="false"/>
              <w:tabs>
                <w:tab w:val="clear" w:pos="708"/>
                <w:tab w:val="left" w:pos="475" w:leader="none"/>
                <w:tab w:val="left" w:pos="670" w:leader="none"/>
                <w:tab w:val="left" w:pos="8640" w:leader="none"/>
              </w:tabs>
              <w:ind w:left="295" w:hanging="0"/>
              <w:jc w:val="both"/>
              <w:rPr>
                <w:sz w:val="22"/>
                <w:szCs w:val="22"/>
              </w:rPr>
            </w:pPr>
            <w:r>
              <w:rPr>
                <w:sz w:val="22"/>
                <w:szCs w:val="22"/>
              </w:rPr>
              <w:t>Услуги выполняются в соответствии с документацией:</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Правила по охране труда при эксплуатации электроустановок, утвержденные приказом Минтруда России от 15.12.2020 № 903н;</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Правила по охране труда при работе на высоте, утвержденные Приказом Минтруда России №782н от 16.11.2020;</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Правила технической эксплуатации электрических станций и сетей Российской Федерации, утвержденные Приказом Минэнерго России №1070 от 04.10.2022;</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Правила устройства электроустановок, издание 7-е, утвержденные приказом Минэнерго России от 08.07.2002 № 204;</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Приказ Минтруда РФ от 28.10.2020 № 753н «Об утверждении Правил по охране труда при погрузочно-разгрузочных работах и размещении грузов»;</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 xml:space="preserve">РД 34.03.204 «Правила безопасности при работе с инструментом и приспособлениями»; </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РД-153-34.0-03.301-00 (ВППБ 01-02-95) Правила пожарной безопасности для энергетических предприятий;</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Положение о Технической политике ПАО «РусГидро»;</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Свод правил 76.13330.2016 «Электротехнические устройства»;</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Объемы и нормы испытаний электрооборудования СТО 34.01</w:t>
              <w:noBreakHyphen/>
              <w:t>23.1</w:t>
              <w:noBreakHyphen/>
              <w:t>001</w:t>
              <w:noBreakHyphen/>
              <w:t>2017;</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Федеральный закон № 89-ФЗ от 24.06.1998 «Об отходах производства и потребления»;</w:t>
            </w:r>
          </w:p>
          <w:p>
            <w:pPr>
              <w:pStyle w:val="Normal"/>
              <w:widowControl w:val="false"/>
              <w:numPr>
                <w:ilvl w:val="0"/>
                <w:numId w:val="9"/>
              </w:numPr>
              <w:ind w:left="0" w:hanging="0"/>
              <w:jc w:val="both"/>
              <w:rPr>
                <w:rFonts w:eastAsia="Calibri" w:cs="Times New Roman"/>
                <w:sz w:val="22"/>
                <w:lang w:eastAsia="ru-RU"/>
              </w:rPr>
            </w:pPr>
            <w:r>
              <w:rPr>
                <w:rFonts w:eastAsia="Calibri" w:cs="Times New Roman"/>
                <w:sz w:val="22"/>
                <w:lang w:eastAsia="ru-RU"/>
              </w:rPr>
              <w:t>Федеральный закон N 7-ФЗ от 10.01.2002 "Об охране окружающей среды";</w:t>
            </w:r>
          </w:p>
          <w:p>
            <w:pPr>
              <w:pStyle w:val="ListParagraph"/>
              <w:widowControl w:val="false"/>
              <w:numPr>
                <w:ilvl w:val="0"/>
                <w:numId w:val="10"/>
              </w:numPr>
              <w:ind w:left="37" w:hanging="0"/>
              <w:rPr>
                <w:sz w:val="22"/>
              </w:rPr>
            </w:pPr>
            <w:r>
              <w:rPr>
                <w:sz w:val="22"/>
              </w:rPr>
              <w:t>Приказ министерства природных ресурсов экологии РФ от 08.12.2020 №1026"О порядке проведения паспортизации отходов I - IV классов опасности" (вместе с "Правилами проведения паспортизации отходов I - IV классов опасности").</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4.1.4.</w:t>
            </w:r>
          </w:p>
        </w:tc>
        <w:tc>
          <w:tcPr>
            <w:tcW w:w="283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rPr>
            </w:pPr>
            <w:r>
              <w:rPr>
                <w:rFonts w:eastAsia="Calibri"/>
                <w:sz w:val="22"/>
              </w:rPr>
              <w:t>Требование к порядку оказания услуг</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ListParagraph"/>
              <w:widowControl w:val="false"/>
              <w:numPr>
                <w:ilvl w:val="3"/>
                <w:numId w:val="6"/>
              </w:numPr>
              <w:tabs>
                <w:tab w:val="clear" w:pos="708"/>
                <w:tab w:val="left" w:pos="475" w:leader="none"/>
                <w:tab w:val="left" w:pos="670" w:leader="none"/>
                <w:tab w:val="left" w:pos="8640" w:leader="none"/>
              </w:tabs>
              <w:ind w:left="12" w:hanging="0"/>
              <w:jc w:val="both"/>
              <w:rPr>
                <w:sz w:val="22"/>
                <w:szCs w:val="22"/>
              </w:rPr>
            </w:pPr>
            <w:r>
              <w:rPr>
                <w:sz w:val="22"/>
              </w:rPr>
              <w:t>Исполнитель услуг разрабатывает проект производства работ (ППР), согласовывает и утверждает его с Заказчиком. Исполнитель услуг предоставляет на согласование Заказчику ППР официальным письмом. Исполнитель услуг, получив замечания, в течение 3 рабочих дней устраняет замечания и направляет официальным письмом на повторное согласование.</w:t>
            </w:r>
          </w:p>
          <w:p>
            <w:pPr>
              <w:pStyle w:val="ListParagraph"/>
              <w:widowControl w:val="false"/>
              <w:numPr>
                <w:ilvl w:val="3"/>
                <w:numId w:val="6"/>
              </w:numPr>
              <w:tabs>
                <w:tab w:val="clear" w:pos="708"/>
                <w:tab w:val="left" w:pos="475" w:leader="none"/>
                <w:tab w:val="left" w:pos="670" w:leader="none"/>
                <w:tab w:val="left" w:pos="8640" w:leader="none"/>
              </w:tabs>
              <w:ind w:left="12" w:hanging="0"/>
              <w:jc w:val="both"/>
              <w:rPr>
                <w:sz w:val="22"/>
                <w:szCs w:val="22"/>
              </w:rPr>
            </w:pPr>
            <w:r>
              <w:rPr>
                <w:sz w:val="22"/>
                <w:szCs w:val="22"/>
              </w:rPr>
              <w:t>Все замечания, указания, предписания надзорных органов, предъявленные Заказчику по качеству выполнения услуг во время выполнения услуг, устраняются Исполнителем услуг в указанные сроки за счет собственных средств.</w:t>
            </w:r>
          </w:p>
          <w:p>
            <w:pPr>
              <w:pStyle w:val="ListParagraph"/>
              <w:widowControl w:val="false"/>
              <w:numPr>
                <w:ilvl w:val="3"/>
                <w:numId w:val="6"/>
              </w:numPr>
              <w:tabs>
                <w:tab w:val="clear" w:pos="708"/>
                <w:tab w:val="left" w:pos="475" w:leader="none"/>
                <w:tab w:val="left" w:pos="670" w:leader="none"/>
                <w:tab w:val="left" w:pos="8640" w:leader="none"/>
              </w:tabs>
              <w:ind w:left="12" w:hanging="0"/>
              <w:jc w:val="both"/>
              <w:rPr>
                <w:sz w:val="22"/>
                <w:szCs w:val="22"/>
              </w:rPr>
            </w:pPr>
            <w:r>
              <w:rPr>
                <w:sz w:val="22"/>
                <w:szCs w:val="22"/>
              </w:rPr>
              <w:t>При выполнении услуг Исполнителю услуг необходимо:</w:t>
            </w:r>
          </w:p>
          <w:p>
            <w:pPr>
              <w:pStyle w:val="ListParagraph"/>
              <w:widowControl w:val="false"/>
              <w:numPr>
                <w:ilvl w:val="0"/>
                <w:numId w:val="8"/>
              </w:numPr>
              <w:tabs>
                <w:tab w:val="clear" w:pos="708"/>
                <w:tab w:val="left" w:pos="475" w:leader="none"/>
                <w:tab w:val="left" w:pos="670" w:leader="none"/>
                <w:tab w:val="left" w:pos="8640" w:leader="none"/>
              </w:tabs>
              <w:jc w:val="both"/>
              <w:rPr>
                <w:sz w:val="22"/>
                <w:szCs w:val="22"/>
              </w:rPr>
            </w:pPr>
            <w:r>
              <w:rPr>
                <w:sz w:val="22"/>
                <w:szCs w:val="22"/>
              </w:rPr>
              <w:t>исключить падение монтируемых конструкций, оборудования;</w:t>
            </w:r>
          </w:p>
          <w:p>
            <w:pPr>
              <w:pStyle w:val="ListParagraph"/>
              <w:widowControl w:val="false"/>
              <w:numPr>
                <w:ilvl w:val="0"/>
                <w:numId w:val="8"/>
              </w:numPr>
              <w:tabs>
                <w:tab w:val="clear" w:pos="708"/>
                <w:tab w:val="left" w:pos="475" w:leader="none"/>
                <w:tab w:val="left" w:pos="670" w:leader="none"/>
                <w:tab w:val="left" w:pos="8640" w:leader="none"/>
              </w:tabs>
              <w:jc w:val="both"/>
              <w:rPr>
                <w:sz w:val="22"/>
                <w:szCs w:val="22"/>
              </w:rPr>
            </w:pPr>
            <w:r>
              <w:rPr>
                <w:sz w:val="22"/>
                <w:szCs w:val="22"/>
              </w:rPr>
              <w:t>обеспечить безопасность персонала Заказчика, собственного персонала, персонала подрядных организаций, находящегося в зоне выполнения работ в период производства работ;</w:t>
            </w:r>
          </w:p>
          <w:p>
            <w:pPr>
              <w:pStyle w:val="ListParagraph"/>
              <w:widowControl w:val="false"/>
              <w:numPr>
                <w:ilvl w:val="0"/>
                <w:numId w:val="8"/>
              </w:numPr>
              <w:tabs>
                <w:tab w:val="clear" w:pos="708"/>
                <w:tab w:val="left" w:pos="475" w:leader="none"/>
                <w:tab w:val="left" w:pos="670" w:leader="none"/>
                <w:tab w:val="left" w:pos="8640" w:leader="none"/>
              </w:tabs>
              <w:jc w:val="both"/>
              <w:rPr>
                <w:sz w:val="22"/>
                <w:szCs w:val="22"/>
              </w:rPr>
            </w:pPr>
            <w:r>
              <w:rPr>
                <w:sz w:val="22"/>
                <w:szCs w:val="22"/>
              </w:rPr>
              <w:t>нести ответственность за сохранность оборудования, механизмов, средств, систем, конструкций, сооружений и транспортных приспособлений Заказчика и подрядных организаций, находящихся в зоне выполнения работ в период производства работ.</w:t>
            </w:r>
          </w:p>
          <w:p>
            <w:pPr>
              <w:pStyle w:val="ListParagraph"/>
              <w:widowControl w:val="false"/>
              <w:numPr>
                <w:ilvl w:val="3"/>
                <w:numId w:val="6"/>
              </w:numPr>
              <w:tabs>
                <w:tab w:val="clear" w:pos="708"/>
                <w:tab w:val="left" w:pos="475" w:leader="none"/>
                <w:tab w:val="left" w:pos="670" w:leader="none"/>
                <w:tab w:val="left" w:pos="8640" w:leader="none"/>
              </w:tabs>
              <w:ind w:left="12" w:hanging="0"/>
              <w:jc w:val="both"/>
              <w:rPr>
                <w:sz w:val="22"/>
                <w:szCs w:val="22"/>
              </w:rPr>
            </w:pPr>
            <w:r>
              <w:rPr>
                <w:sz w:val="22"/>
                <w:szCs w:val="22"/>
              </w:rPr>
              <w:t xml:space="preserve">Исполнитель услуг самостоятельно обеспечивает наличие необходимого для выполнения услуг инструмента и приспособлений. Исполнитель услуг должен иметь в собственности или на правах аренды весь необходимый для производства услуг инструмент, оборудование, машины и механизмы. </w:t>
            </w:r>
          </w:p>
          <w:p>
            <w:pPr>
              <w:pStyle w:val="ListParagraph"/>
              <w:widowControl w:val="false"/>
              <w:numPr>
                <w:ilvl w:val="3"/>
                <w:numId w:val="6"/>
              </w:numPr>
              <w:tabs>
                <w:tab w:val="clear" w:pos="708"/>
                <w:tab w:val="left" w:pos="475" w:leader="none"/>
                <w:tab w:val="left" w:pos="670" w:leader="none"/>
                <w:tab w:val="left" w:pos="8640" w:leader="none"/>
              </w:tabs>
              <w:ind w:left="12" w:hanging="0"/>
              <w:jc w:val="both"/>
              <w:rPr>
                <w:sz w:val="22"/>
                <w:szCs w:val="22"/>
              </w:rPr>
            </w:pPr>
            <w:r>
              <w:rPr>
                <w:sz w:val="22"/>
                <w:szCs w:val="22"/>
              </w:rPr>
              <w:t xml:space="preserve"> </w:t>
            </w:r>
            <w:r>
              <w:rPr>
                <w:sz w:val="22"/>
                <w:szCs w:val="22"/>
              </w:rPr>
              <w:t>Исполнитель услуг обязан соблюдать установленные на предприятии Заказчика противопожарный и внутриобъектовый режимы.</w:t>
            </w:r>
          </w:p>
          <w:p>
            <w:pPr>
              <w:pStyle w:val="ListParagraph"/>
              <w:widowControl w:val="false"/>
              <w:numPr>
                <w:ilvl w:val="3"/>
                <w:numId w:val="6"/>
              </w:numPr>
              <w:tabs>
                <w:tab w:val="clear" w:pos="708"/>
                <w:tab w:val="left" w:pos="475" w:leader="none"/>
                <w:tab w:val="left" w:pos="670" w:leader="none"/>
                <w:tab w:val="left" w:pos="8640" w:leader="none"/>
              </w:tabs>
              <w:ind w:left="12" w:hanging="0"/>
              <w:jc w:val="both"/>
              <w:rPr>
                <w:sz w:val="22"/>
                <w:szCs w:val="22"/>
              </w:rPr>
            </w:pPr>
            <w:r>
              <w:rPr>
                <w:sz w:val="22"/>
                <w:szCs w:val="22"/>
              </w:rPr>
              <w:t xml:space="preserve">Допуск персонала Исполнителя услуг для выполнения услуг осуществляется после: </w:t>
            </w:r>
          </w:p>
          <w:p>
            <w:pPr>
              <w:pStyle w:val="ListParagraph"/>
              <w:widowControl w:val="false"/>
              <w:tabs>
                <w:tab w:val="clear" w:pos="708"/>
                <w:tab w:val="left" w:pos="475" w:leader="none"/>
                <w:tab w:val="left" w:pos="670" w:leader="none"/>
                <w:tab w:val="left" w:pos="8640" w:leader="none"/>
              </w:tabs>
              <w:ind w:left="12" w:hanging="0"/>
              <w:jc w:val="both"/>
              <w:rPr>
                <w:sz w:val="22"/>
                <w:szCs w:val="22"/>
              </w:rPr>
            </w:pPr>
            <w:r>
              <w:rPr>
                <w:sz w:val="22"/>
                <w:szCs w:val="22"/>
              </w:rPr>
              <w:t xml:space="preserve"> </w:t>
            </w:r>
            <w:r>
              <w:rPr>
                <w:sz w:val="22"/>
                <w:szCs w:val="22"/>
              </w:rPr>
              <w:t>- проведения вводного инструктажа в службе охраны труда и пожарного подразделения на территории Филиала (при проведении инструктажей в обязательном порядке наличие протоколов по проверке знаний для всего персонала, выкопировка из трудовых договоров с подтверждением о занимаемой должности и сроках трудоустройства);</w:t>
            </w:r>
          </w:p>
          <w:p>
            <w:pPr>
              <w:pStyle w:val="ListParagraph"/>
              <w:widowControl w:val="false"/>
              <w:tabs>
                <w:tab w:val="clear" w:pos="708"/>
                <w:tab w:val="left" w:pos="475" w:leader="none"/>
                <w:tab w:val="left" w:pos="670" w:leader="none"/>
                <w:tab w:val="left" w:pos="8640" w:leader="none"/>
              </w:tabs>
              <w:ind w:left="12" w:hanging="0"/>
              <w:jc w:val="both"/>
              <w:rPr>
                <w:sz w:val="22"/>
                <w:szCs w:val="22"/>
              </w:rPr>
            </w:pPr>
            <w:r>
              <w:rPr>
                <w:sz w:val="22"/>
                <w:szCs w:val="22"/>
              </w:rPr>
              <w:t xml:space="preserve"> </w:t>
            </w:r>
            <w:r>
              <w:rPr>
                <w:sz w:val="22"/>
                <w:szCs w:val="22"/>
              </w:rPr>
              <w:t>-  проведения первичного инструктажа на рабочем месте;</w:t>
            </w:r>
          </w:p>
          <w:p>
            <w:pPr>
              <w:pStyle w:val="Normal"/>
              <w:widowControl w:val="false"/>
              <w:rPr>
                <w:rFonts w:eastAsia="Calibri"/>
                <w:sz w:val="22"/>
              </w:rPr>
            </w:pPr>
            <w:r>
              <w:rPr>
                <w:rFonts w:eastAsia="Calibri" w:cs="Times New Roman"/>
                <w:sz w:val="22"/>
                <w:lang w:eastAsia="ru-RU"/>
              </w:rPr>
              <w:t>7. Проведение испытаний оборудования выполнить в соответствии с программой и с привлечением персонала Заказчика.</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4.1.5.</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cs="Times New Roman"/>
                <w:sz w:val="22"/>
                <w:lang w:eastAsia="ru-RU"/>
              </w:rPr>
              <w:t>Организационно-технические мероприятия по допуску персонала Исполнителя</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sz w:val="22"/>
              </w:rPr>
              <w:t>Допуск персонала Исполнителя для оказания услуг осуществляется в соответствии с Регламентом процесса «Допуск персонала подрядных организаций на объекты ПАО «РусГидро» (утв. приказом ОАО «РусГидро» №300 от 28.04.2023г.)» с обязательным оформлением необходимых нарядов-допусков.</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4.1.6.</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false"/>
              <w:rPr>
                <w:rFonts w:eastAsia="Calibri" w:cs="Times New Roman"/>
                <w:sz w:val="22"/>
                <w:lang w:eastAsia="ru-RU"/>
              </w:rPr>
            </w:pPr>
            <w:r>
              <w:rPr>
                <w:rFonts w:eastAsia="Calibri" w:cs="Times New Roman"/>
                <w:sz w:val="22"/>
                <w:lang w:eastAsia="ru-RU"/>
              </w:rPr>
              <w:t>Требование к информационной безопасности</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ListParagraph"/>
              <w:widowControl w:val="false"/>
              <w:tabs>
                <w:tab w:val="clear" w:pos="708"/>
                <w:tab w:val="left" w:pos="475" w:leader="none"/>
                <w:tab w:val="left" w:pos="670" w:leader="none"/>
                <w:tab w:val="left" w:pos="8640" w:leader="none"/>
              </w:tabs>
              <w:ind w:left="12" w:hanging="0"/>
              <w:jc w:val="both"/>
              <w:rPr>
                <w:rFonts w:cs="" w:cstheme="minorBidi"/>
                <w:sz w:val="22"/>
                <w:szCs w:val="22"/>
                <w:lang w:eastAsia="en-US"/>
              </w:rPr>
            </w:pPr>
            <w:r>
              <w:rPr>
                <w:sz w:val="22"/>
              </w:rPr>
              <w:t>При пересылке файлов не допускается использование открытых файлообменных сервисов.</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4.1.7.</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false"/>
              <w:rPr>
                <w:rFonts w:eastAsia="Calibri" w:cs="Times New Roman"/>
                <w:sz w:val="22"/>
                <w:lang w:eastAsia="ru-RU"/>
              </w:rPr>
            </w:pPr>
            <w:r>
              <w:rPr>
                <w:rFonts w:eastAsia="Calibri"/>
                <w:sz w:val="22"/>
              </w:rPr>
              <w:t>Требования к персоналу Исполнителя оказывающего услугу, непосредственно связанную с обеспечением безопасности объектов топливно-энергетического комплекса</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В соответствии с постановлением Правительства РФ от 09.11.2022 N 2011</w:t>
            </w:r>
          </w:p>
          <w:p>
            <w:pPr>
              <w:pStyle w:val="Normal"/>
              <w:widowControl w:val="false"/>
              <w:rPr>
                <w:rFonts w:eastAsia="Calibri"/>
                <w:sz w:val="22"/>
              </w:rPr>
            </w:pPr>
            <w:r>
              <w:rPr>
                <w:rFonts w:eastAsia="Calibri"/>
                <w:sz w:val="22"/>
              </w:rPr>
              <w:t>"Об утверждении Правил проверки субъектом топливно-энергетического комплекса сведений, указанных в статье 10 Федерального закона "О безопасности объектов топливно-энергетического комплекса", в отношении физических лиц, выполняющих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субъектом топливно-энергетического комплекса, и перечня сведений, указанных в статье 10 Федерального закона "О безопасности объектов топливно-энергетического комплекса", представляемых физическими лицами, выполняющими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субъектом топливно-энергетического комплекса.</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4.1.8.</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false"/>
              <w:rPr>
                <w:rFonts w:eastAsia="Calibri" w:cs="Times New Roman"/>
                <w:sz w:val="22"/>
                <w:lang w:eastAsia="ru-RU"/>
              </w:rPr>
            </w:pPr>
            <w:r>
              <w:rPr>
                <w:rFonts w:eastAsia="Calibri" w:cs="Times New Roman"/>
                <w:sz w:val="22"/>
                <w:lang w:eastAsia="ru-RU"/>
              </w:rPr>
              <w:t>Квалификация персонала исполнителя, привлекаемого к оказанию услуг</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До начала оказания услуг в рамках исполнения договора после его заключения исполнитель предоставляет список персонала с указанием сведений о квалификации персонала, группе по электробезопасности с приложением копий удостоверений на производство специальных видов работ и копий протокола по электробезопасности.</w:t>
            </w:r>
          </w:p>
          <w:p>
            <w:pPr>
              <w:pStyle w:val="Normal"/>
              <w:widowControl w:val="false"/>
              <w:rPr>
                <w:rFonts w:eastAsia="Calibri"/>
                <w:sz w:val="22"/>
              </w:rPr>
            </w:pPr>
            <w:r>
              <w:rPr>
                <w:rFonts w:eastAsia="Calibri"/>
                <w:sz w:val="22"/>
              </w:rPr>
              <w:t>При передаче персональных данных Поставщик обязуется передать Покупателю согласие данных лиц на обработку и передачу их персональных данных.</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4.1.9.</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false"/>
              <w:rPr>
                <w:rFonts w:eastAsia="Calibri" w:cs="Times New Roman"/>
                <w:sz w:val="22"/>
                <w:lang w:eastAsia="ru-RU"/>
              </w:rPr>
            </w:pPr>
            <w:r>
              <w:rPr>
                <w:rFonts w:eastAsia="Calibri" w:cs="Times New Roman"/>
                <w:sz w:val="22"/>
                <w:lang w:eastAsia="ru-RU"/>
              </w:rPr>
              <w:t>Результат оказания услуг</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Услуги шефмонтажа считаются выполненными с момента подписания акта сдачи-приемки оказанных услуг.</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4.1.10.</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false"/>
              <w:rPr>
                <w:rFonts w:eastAsia="Calibri" w:cs="Times New Roman"/>
                <w:sz w:val="22"/>
                <w:lang w:eastAsia="ru-RU"/>
              </w:rPr>
            </w:pPr>
            <w:r>
              <w:rPr>
                <w:rFonts w:eastAsia="Calibri" w:cs="Times New Roman"/>
                <w:sz w:val="22"/>
                <w:lang w:eastAsia="ru-RU"/>
              </w:rPr>
              <w:t>Документы, передаваемые заказчику по результатам оказанных услуг</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Исполнитель передает заказчику акт сдачи- приемки оказанных услуг в двух экземплярах.</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4.1.11.</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false"/>
              <w:rPr>
                <w:rFonts w:eastAsia="Calibri" w:cs="Times New Roman"/>
                <w:sz w:val="22"/>
                <w:lang w:eastAsia="ru-RU"/>
              </w:rPr>
            </w:pPr>
            <w:r>
              <w:rPr>
                <w:rFonts w:eastAsia="Calibri" w:cs="Times New Roman"/>
                <w:sz w:val="22"/>
                <w:lang w:eastAsia="ru-RU"/>
              </w:rPr>
              <w:t>Требования к ответственности и гарантиям исполнителя на услуги по шефмонтажу</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Гарантийный срок на результат услуг по шефмонтажу должен составлять 36 (тридцать шесть) месяцев с даты подписания акта сдачи-приемки оказанных услуг и ввода Продукции в эксплуатацию, но не более 48 (сорока восьми) месяцев с даты подписания Сторонами товарной накладной по форме ТОРГ-12 или Универсального передаточного документа (УПД). Установленный в отношении Продукции Гарантийный срок распространяется на все составные части и комплектующие Продукции.</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w:t>
            </w:r>
          </w:p>
        </w:tc>
        <w:tc>
          <w:tcPr>
            <w:tcW w:w="8929" w:type="dxa"/>
            <w:gridSpan w:val="4"/>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rPr>
            </w:pPr>
            <w:r>
              <w:rPr>
                <w:b/>
                <w:bCs/>
                <w:color w:val="000000"/>
                <w:sz w:val="22"/>
              </w:rPr>
              <w:t>Требования к шефналадке</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4.2.1.</w:t>
            </w:r>
          </w:p>
        </w:tc>
        <w:tc>
          <w:tcPr>
            <w:tcW w:w="8929" w:type="dxa"/>
            <w:gridSpan w:val="4"/>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rPr>
            </w:pPr>
            <w:r>
              <w:rPr>
                <w:rFonts w:eastAsia="Calibri"/>
                <w:sz w:val="22"/>
              </w:rPr>
              <w:t>Стоимость сопутствующих услуг по шефналадке должна быть включена в стоимость оборудования.</w:t>
            </w:r>
          </w:p>
        </w:tc>
        <w:tc>
          <w:tcPr>
            <w:tcW w:w="1844"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restart"/>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4.2.2.</w:t>
            </w:r>
          </w:p>
        </w:tc>
        <w:tc>
          <w:tcPr>
            <w:tcW w:w="283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rPr>
            </w:pPr>
            <w:r>
              <w:rPr>
                <w:rFonts w:eastAsia="Calibri"/>
                <w:sz w:val="22"/>
              </w:rPr>
              <w:t>Место оказания услуг по шеф-наладке</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rFonts w:eastAsia="Calibri"/>
                <w:sz w:val="22"/>
              </w:rPr>
            </w:pPr>
            <w:r>
              <w:rPr>
                <w:sz w:val="22"/>
              </w:rPr>
              <w:t xml:space="preserve">Партия №1 в соответствии с табл.1.1 - </w:t>
            </w:r>
            <w:r>
              <w:rPr>
                <w:rFonts w:eastAsia="Calibri"/>
                <w:sz w:val="22"/>
              </w:rPr>
              <w:t>Рыбинская ГЭС – 152917, Российская Федерация, Ярославская область, г. Рыбинск, ул. Вяземского д.31.</w:t>
            </w:r>
          </w:p>
          <w:p>
            <w:pPr>
              <w:pStyle w:val="Normal"/>
              <w:widowControl w:val="false"/>
              <w:jc w:val="both"/>
              <w:rPr>
                <w:rFonts w:eastAsia="Calibri"/>
                <w:sz w:val="22"/>
              </w:rPr>
            </w:pPr>
            <w:r>
              <w:rPr>
                <w:rFonts w:eastAsia="Calibri"/>
                <w:sz w:val="22"/>
              </w:rPr>
              <w:t xml:space="preserve">Партия №2 </w:t>
            </w:r>
            <w:r>
              <w:rPr>
                <w:sz w:val="22"/>
              </w:rPr>
              <w:t xml:space="preserve">в соответствии с табл.1.1 - </w:t>
            </w:r>
            <w:r>
              <w:rPr/>
              <w:t xml:space="preserve"> </w:t>
            </w:r>
            <w:r>
              <w:rPr>
                <w:sz w:val="22"/>
              </w:rPr>
              <w:t xml:space="preserve">ВСП №2 </w:t>
            </w:r>
            <w:r>
              <w:rPr>
                <w:rFonts w:eastAsia="Calibri"/>
                <w:sz w:val="22"/>
              </w:rPr>
              <w:t>Рыбинской ГЭС – 152917, Российская Федерация, Ярославская область, г. Рыбинск, ул. Вяземского д.31.</w:t>
            </w:r>
          </w:p>
          <w:p>
            <w:pPr>
              <w:pStyle w:val="Normal"/>
              <w:widowControl w:val="false"/>
              <w:jc w:val="both"/>
              <w:rPr>
                <w:rFonts w:eastAsia="Calibri"/>
                <w:sz w:val="22"/>
              </w:rPr>
            </w:pPr>
            <w:r>
              <w:rPr>
                <w:rFonts w:eastAsia="Calibri"/>
                <w:sz w:val="22"/>
              </w:rPr>
              <w:t>Партия №3 в соответствии с табл.1.1 - Угличская ГЭС – 152615, Российская Федерация, Ярославская область, г. Углич, ул. Спасская д. 33.</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4.2.3.</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Соблюдение при оказании услуг норм и правил нормативно-технических документов</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rFonts w:eastAsia="Calibri"/>
                <w:sz w:val="22"/>
              </w:rPr>
            </w:pPr>
            <w:r>
              <w:rPr>
                <w:rFonts w:eastAsia="Calibri"/>
                <w:sz w:val="22"/>
              </w:rPr>
              <w:t>При оказании услуг Исполнитель должен руководствоваться следующими национальными, отраслевыми и корпоративными нормативно-техническими документами (НТД):</w:t>
            </w:r>
          </w:p>
          <w:p>
            <w:pPr>
              <w:pStyle w:val="ListParagraph"/>
              <w:widowControl w:val="false"/>
              <w:numPr>
                <w:ilvl w:val="0"/>
                <w:numId w:val="11"/>
              </w:numPr>
              <w:rPr>
                <w:sz w:val="22"/>
              </w:rPr>
            </w:pPr>
            <w:r>
              <w:rPr>
                <w:sz w:val="22"/>
              </w:rPr>
              <w:t xml:space="preserve">Постановление Правительства РФ от 16.09.2020 №1479. "Правила противопожарного режима в Российской Федерации"; </w:t>
            </w:r>
          </w:p>
          <w:p>
            <w:pPr>
              <w:pStyle w:val="ListParagraph"/>
              <w:widowControl w:val="false"/>
              <w:numPr>
                <w:ilvl w:val="0"/>
                <w:numId w:val="11"/>
              </w:numPr>
              <w:rPr>
                <w:sz w:val="22"/>
              </w:rPr>
            </w:pPr>
            <w:r>
              <w:rPr>
                <w:sz w:val="22"/>
              </w:rPr>
              <w:t>СО 153-34.03.305-2003 «Инструкция о мерах пожарной безопасности при проведении огневых работ на энергетических предприятиях»;</w:t>
            </w:r>
          </w:p>
          <w:p>
            <w:pPr>
              <w:pStyle w:val="ListParagraph"/>
              <w:widowControl w:val="false"/>
              <w:numPr>
                <w:ilvl w:val="0"/>
                <w:numId w:val="11"/>
              </w:numPr>
              <w:rPr>
                <w:sz w:val="22"/>
              </w:rPr>
            </w:pPr>
            <w:r>
              <w:rPr>
                <w:sz w:val="22"/>
              </w:rPr>
              <w:t>Межотраслевые правила по охране труда при работе на высоте (Приказ от 16 ноября 2020 года №782н);</w:t>
            </w:r>
          </w:p>
          <w:p>
            <w:pPr>
              <w:pStyle w:val="ListParagraph"/>
              <w:widowControl w:val="false"/>
              <w:numPr>
                <w:ilvl w:val="0"/>
                <w:numId w:val="11"/>
              </w:numPr>
              <w:rPr>
                <w:sz w:val="22"/>
              </w:rPr>
            </w:pPr>
            <w:r>
              <w:rPr>
                <w:sz w:val="22"/>
              </w:rPr>
              <w:t>Приказ Минтруда и социальной защиты Российской Федерации от 15 декабря 2020 года N 903н об утверждении Правил по охране труда при эксплуатации электроустановок;</w:t>
            </w:r>
          </w:p>
          <w:p>
            <w:pPr>
              <w:pStyle w:val="ListParagraph"/>
              <w:widowControl w:val="false"/>
              <w:numPr>
                <w:ilvl w:val="0"/>
                <w:numId w:val="11"/>
              </w:numPr>
              <w:rPr>
                <w:sz w:val="22"/>
              </w:rPr>
            </w:pPr>
            <w:r>
              <w:rPr>
                <w:sz w:val="22"/>
              </w:rPr>
              <w:t xml:space="preserve">Приказ Минтруда России от 27.11.2020 N 833н "Об утверждении Правил по охране труда при размещении, монтаже, техническом обслуживании и ремонте технологического оборудования" (Зарегистрировано в Минюсте России 11.12.2020 N 61413); </w:t>
            </w:r>
          </w:p>
          <w:p>
            <w:pPr>
              <w:pStyle w:val="ListParagraph"/>
              <w:widowControl w:val="false"/>
              <w:numPr>
                <w:ilvl w:val="0"/>
                <w:numId w:val="11"/>
              </w:numPr>
              <w:rPr>
                <w:sz w:val="22"/>
              </w:rPr>
            </w:pPr>
            <w:r>
              <w:rPr>
                <w:sz w:val="22"/>
              </w:rPr>
              <w:t xml:space="preserve">Приказ Минтруда России от 27.11.2020 N 835н "Об утверждении Правил по охране труда при работе с инструментом и приспособлениями" (Зарегистрировано в Минюсте России 11.12.2020 N 61411); </w:t>
            </w:r>
          </w:p>
          <w:p>
            <w:pPr>
              <w:pStyle w:val="ListParagraph"/>
              <w:widowControl w:val="false"/>
              <w:numPr>
                <w:ilvl w:val="0"/>
                <w:numId w:val="11"/>
              </w:numPr>
              <w:rPr>
                <w:sz w:val="22"/>
              </w:rPr>
            </w:pPr>
            <w:r>
              <w:rPr>
                <w:sz w:val="22"/>
              </w:rPr>
              <w:t>Правила по охране труда при погрузочно-разгрузочных работах и размещении грузов, утвержденными приказом Минтруда РФ от 28.10.2020 № 753н;</w:t>
            </w:r>
          </w:p>
          <w:p>
            <w:pPr>
              <w:pStyle w:val="ListParagraph"/>
              <w:widowControl w:val="false"/>
              <w:numPr>
                <w:ilvl w:val="0"/>
                <w:numId w:val="11"/>
              </w:numPr>
              <w:rPr>
                <w:sz w:val="22"/>
              </w:rPr>
            </w:pPr>
            <w:r>
              <w:rPr>
                <w:sz w:val="22"/>
              </w:rPr>
              <w:t>Правила по охране труда при выполнении электросварочных и газосварочных работ, утвержденными приказом Минтруда РФ от      11 декабря 2020 г. № 884н;</w:t>
            </w:r>
          </w:p>
          <w:p>
            <w:pPr>
              <w:pStyle w:val="ListParagraph"/>
              <w:widowControl w:val="false"/>
              <w:numPr>
                <w:ilvl w:val="0"/>
                <w:numId w:val="11"/>
              </w:numPr>
              <w:rPr>
                <w:sz w:val="22"/>
              </w:rPr>
            </w:pPr>
            <w:r>
              <w:rPr>
                <w:sz w:val="22"/>
              </w:rPr>
              <w:t>Правила по охране труда при эксплуатации электроустановок, утвержденными приказом Минтруда РФ 15.12.2020 № 903н;</w:t>
            </w:r>
          </w:p>
          <w:p>
            <w:pPr>
              <w:pStyle w:val="ListParagraph"/>
              <w:widowControl w:val="false"/>
              <w:numPr>
                <w:ilvl w:val="0"/>
                <w:numId w:val="11"/>
              </w:numPr>
              <w:rPr>
                <w:sz w:val="22"/>
              </w:rPr>
            </w:pPr>
            <w:r>
              <w:rPr>
                <w:sz w:val="22"/>
              </w:rPr>
              <w:t>Правила по охране труда при размещении, монтаже, техническом обслуживании и ремонте технологического оборудования, утвержденными приказом Минтруда от 27.11.2020 № 833н.</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4.2.4.</w:t>
            </w:r>
          </w:p>
        </w:tc>
        <w:tc>
          <w:tcPr>
            <w:tcW w:w="283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sz w:val="22"/>
              </w:rPr>
            </w:pPr>
            <w:r>
              <w:rPr>
                <w:rFonts w:eastAsia="Calibri"/>
                <w:sz w:val="22"/>
              </w:rPr>
              <w:t>Требование к порядку оказания услуг</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tabs>
                <w:tab w:val="clear" w:pos="708"/>
                <w:tab w:val="left" w:pos="475" w:leader="none"/>
                <w:tab w:val="left" w:pos="670" w:leader="none"/>
                <w:tab w:val="left" w:pos="8640" w:leader="none"/>
              </w:tabs>
              <w:jc w:val="both"/>
              <w:rPr>
                <w:sz w:val="22"/>
              </w:rPr>
            </w:pPr>
            <w:r>
              <w:rPr>
                <w:sz w:val="22"/>
              </w:rPr>
              <w:t xml:space="preserve">Исполнитель услуг разрабатывает программу ПНР, согласовывает и утверждает её с Заказчиком. Исполнитель услуг предоставляет на согласование Заказчику программу официальным письмом. Исполнитель услуг, получив замечания, в течение 3 рабочих дней устраняет замечания и направляет официальным письмом на повторное согласование. </w:t>
            </w:r>
          </w:p>
          <w:p>
            <w:pPr>
              <w:pStyle w:val="Normal"/>
              <w:widowControl w:val="false"/>
              <w:jc w:val="both"/>
              <w:rPr>
                <w:rFonts w:eastAsia="Calibri" w:cs="Times New Roman"/>
                <w:sz w:val="22"/>
                <w:lang w:eastAsia="ru-RU"/>
              </w:rPr>
            </w:pPr>
            <w:r>
              <w:rPr>
                <w:rFonts w:eastAsia="Calibri" w:cs="Times New Roman"/>
                <w:sz w:val="22"/>
                <w:lang w:eastAsia="ru-RU"/>
              </w:rPr>
              <w:t>Шефналадочные услуги включают в себя:</w:t>
            </w:r>
          </w:p>
          <w:p>
            <w:pPr>
              <w:pStyle w:val="ListParagraph"/>
              <w:widowControl w:val="false"/>
              <w:numPr>
                <w:ilvl w:val="0"/>
                <w:numId w:val="8"/>
              </w:numPr>
              <w:jc w:val="both"/>
              <w:rPr>
                <w:sz w:val="22"/>
              </w:rPr>
            </w:pPr>
            <w:r>
              <w:rPr>
                <w:sz w:val="22"/>
              </w:rPr>
              <w:t>Техническое сопровождение на этапе наладки и пуска в эксплуатацию оборудования;</w:t>
            </w:r>
          </w:p>
          <w:p>
            <w:pPr>
              <w:pStyle w:val="Normal"/>
              <w:widowControl w:val="false"/>
              <w:jc w:val="both"/>
              <w:rPr>
                <w:rFonts w:eastAsia="Calibri" w:cs="Times New Roman"/>
                <w:sz w:val="22"/>
                <w:lang w:eastAsia="ru-RU"/>
              </w:rPr>
            </w:pPr>
            <w:r>
              <w:rPr>
                <w:rFonts w:eastAsia="Calibri" w:cs="Times New Roman"/>
                <w:sz w:val="22"/>
                <w:lang w:eastAsia="ru-RU"/>
              </w:rPr>
              <w:t>-    Осмотр, проверка и контроль подключения оборудования;</w:t>
            </w:r>
          </w:p>
          <w:p>
            <w:pPr>
              <w:pStyle w:val="Normal"/>
              <w:widowControl w:val="false"/>
              <w:jc w:val="both"/>
              <w:rPr>
                <w:rFonts w:eastAsia="Calibri" w:cs="Times New Roman"/>
                <w:sz w:val="22"/>
                <w:lang w:eastAsia="ru-RU"/>
              </w:rPr>
            </w:pPr>
            <w:r>
              <w:rPr>
                <w:rFonts w:eastAsia="Calibri" w:cs="Times New Roman"/>
                <w:sz w:val="22"/>
                <w:lang w:eastAsia="ru-RU"/>
              </w:rPr>
              <w:t>- Проверки, при необходимости настройка рабочих параметров оборудования согласно проектной и конструкторской документации;</w:t>
            </w:r>
          </w:p>
          <w:p>
            <w:pPr>
              <w:pStyle w:val="Normal"/>
              <w:widowControl w:val="false"/>
              <w:jc w:val="both"/>
              <w:rPr>
                <w:rFonts w:eastAsia="Calibri" w:cs="Times New Roman"/>
                <w:sz w:val="22"/>
                <w:lang w:eastAsia="ru-RU"/>
              </w:rPr>
            </w:pPr>
            <w:r>
              <w:rPr>
                <w:rFonts w:eastAsia="Calibri" w:cs="Times New Roman"/>
                <w:sz w:val="22"/>
                <w:lang w:eastAsia="ru-RU"/>
              </w:rPr>
              <w:t>- Устранение замечаний Заказчика;</w:t>
            </w:r>
          </w:p>
          <w:p>
            <w:pPr>
              <w:pStyle w:val="Normal"/>
              <w:widowControl w:val="false"/>
              <w:jc w:val="both"/>
              <w:rPr>
                <w:rFonts w:eastAsia="Calibri" w:cs="Times New Roman"/>
                <w:sz w:val="22"/>
                <w:lang w:eastAsia="ru-RU"/>
              </w:rPr>
            </w:pPr>
            <w:r>
              <w:rPr>
                <w:rFonts w:eastAsia="Calibri" w:cs="Times New Roman"/>
                <w:sz w:val="22"/>
                <w:lang w:eastAsia="ru-RU"/>
              </w:rPr>
              <w:t>-  Инструктаж персонала Заказчика по технике безопасности с безопасными методами обслуживания, параметрирования и эксплуатации оборудования.</w:t>
            </w:r>
          </w:p>
          <w:p>
            <w:pPr>
              <w:pStyle w:val="Normal"/>
              <w:widowControl w:val="false"/>
              <w:jc w:val="both"/>
              <w:rPr>
                <w:rFonts w:eastAsia="Calibri" w:cs="Times New Roman"/>
                <w:sz w:val="22"/>
                <w:lang w:eastAsia="ru-RU"/>
              </w:rPr>
            </w:pPr>
            <w:r>
              <w:rPr>
                <w:rFonts w:eastAsia="Calibri" w:cs="Times New Roman"/>
                <w:sz w:val="22"/>
                <w:lang w:eastAsia="ru-RU"/>
              </w:rPr>
              <w:t xml:space="preserve">   </w:t>
            </w:r>
            <w:r>
              <w:rPr>
                <w:rFonts w:eastAsia="Calibri" w:cs="Times New Roman"/>
                <w:sz w:val="22"/>
                <w:lang w:eastAsia="ru-RU"/>
              </w:rPr>
              <w:t>По завершению оказания услуг оборудование должно быть полностью готово к последующему вводу в эксплуатацию без дополнительных затрат со стороны Заказчика.</w:t>
            </w:r>
          </w:p>
          <w:p>
            <w:pPr>
              <w:pStyle w:val="Normal"/>
              <w:widowControl w:val="false"/>
              <w:rPr/>
            </w:pPr>
            <w:r>
              <w:rPr>
                <w:rFonts w:eastAsia="Calibri" w:cs="Times New Roman"/>
                <w:sz w:val="22"/>
                <w:lang w:eastAsia="ru-RU"/>
              </w:rPr>
              <w:t xml:space="preserve">  </w:t>
            </w:r>
            <w:r>
              <w:rPr>
                <w:rFonts w:eastAsia="Calibri" w:cs="Times New Roman"/>
                <w:sz w:val="22"/>
                <w:lang w:eastAsia="ru-RU"/>
              </w:rPr>
              <w:t>Оказание услуг подтверждается подписанием Сторонами Акта оказания сопутствующих услуг (с нулевой ценой).</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4.2.5.</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cs="Times New Roman"/>
                <w:sz w:val="22"/>
                <w:lang w:eastAsia="ru-RU"/>
              </w:rPr>
              <w:t>Организационно-технические мероприятия по допуску персонала Исполнителя</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both"/>
              <w:rPr>
                <w:rFonts w:eastAsia="Calibri" w:cs="Times New Roman"/>
                <w:szCs w:val="24"/>
                <w:lang w:eastAsia="ru-RU"/>
              </w:rPr>
            </w:pPr>
            <w:r>
              <w:rPr>
                <w:rFonts w:eastAsia="Calibri" w:cs="Times New Roman"/>
                <w:sz w:val="22"/>
                <w:lang w:eastAsia="ru-RU"/>
              </w:rPr>
              <w:t>Допуск персонала Исполнителя для оказания услуг осуществляется в соответствии с Регламентом процесса «Допуск персонала подрядных организаций на объекты ПАО «РусГидро» (утв. приказом ОАО «РусГидро» №300 от 28.04.2023г.)» с обязательным оформлением необходимых нарядов-допусков.</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4.2.6.</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jc w:val="both"/>
              <w:rPr>
                <w:rFonts w:eastAsia="Calibri" w:cs="Times New Roman"/>
                <w:sz w:val="22"/>
                <w:lang w:eastAsia="ru-RU"/>
              </w:rPr>
            </w:pPr>
            <w:r>
              <w:rPr>
                <w:rFonts w:eastAsia="Calibri"/>
                <w:sz w:val="22"/>
              </w:rPr>
              <w:t>Требование к информационной безопасности</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jc w:val="both"/>
              <w:rPr>
                <w:rFonts w:eastAsia="Calibri" w:cs="Times New Roman"/>
                <w:sz w:val="22"/>
                <w:lang w:eastAsia="ru-RU"/>
              </w:rPr>
            </w:pPr>
            <w:r>
              <w:rPr>
                <w:rFonts w:eastAsia="Calibri" w:cs="Times New Roman"/>
                <w:sz w:val="22"/>
                <w:lang w:eastAsia="ru-RU"/>
              </w:rPr>
              <w:t>При пересылке файлов не допускается использование открытых файлообменных сервисов.</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4.2.7.</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Требования к персоналу Исполнителя оказывающего услугу, непосредственно связанную с обеспечением безопасности объектов топливно-энергетического комплекса</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jc w:val="both"/>
              <w:rPr>
                <w:rFonts w:eastAsia="Calibri" w:cs="Times New Roman"/>
                <w:sz w:val="22"/>
                <w:lang w:eastAsia="ru-RU"/>
              </w:rPr>
            </w:pPr>
            <w:r>
              <w:rPr>
                <w:rFonts w:eastAsia="Calibri" w:cs="Times New Roman"/>
                <w:sz w:val="22"/>
                <w:lang w:eastAsia="ru-RU"/>
              </w:rPr>
              <w:t>В соответствии с постановлением Правительства РФ от 09.11.2022 N 2011</w:t>
            </w:r>
          </w:p>
          <w:p>
            <w:pPr>
              <w:pStyle w:val="Normal"/>
              <w:widowControl w:val="false"/>
              <w:jc w:val="both"/>
              <w:rPr>
                <w:sz w:val="14"/>
                <w:szCs w:val="14"/>
              </w:rPr>
            </w:pPr>
            <w:r>
              <w:rPr>
                <w:rFonts w:eastAsia="Calibri" w:cs="Times New Roman"/>
                <w:sz w:val="22"/>
                <w:lang w:eastAsia="ru-RU"/>
              </w:rPr>
              <w:t>"Об утверждении Правил проверки субъектом топливно-энергетического комплекса сведений, указанных в статье 10 Федерального закона "О безопасности объектов топливно-энергетического комплекса", в отношении физических лиц, выполняющих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субъектом топливно-энергетического комплекса, и перечня сведений, указанных в статье 10 Федерального закона "О безопасности объектов топливно-энергетического комплекса", представляемых физическими лицами, выполняющими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субъектом топливно-энергетического комплекса.</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4.2.8.</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Квалификация персонала исполнителя, привлекаемого к оказанию услуг</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jc w:val="both"/>
              <w:rPr>
                <w:rFonts w:eastAsia="Calibri" w:cs="Times New Roman"/>
                <w:sz w:val="22"/>
                <w:lang w:eastAsia="ru-RU"/>
              </w:rPr>
            </w:pPr>
            <w:r>
              <w:rPr>
                <w:rFonts w:eastAsia="Calibri" w:cs="Times New Roman"/>
                <w:sz w:val="22"/>
                <w:lang w:eastAsia="ru-RU"/>
              </w:rPr>
              <w:t>До начала оказания услуг в рамках исполнения договора после его заключения исполнитель предоставляет список персонала с указанием сведений о квалификации персонала, группе по электробезопасности с приложением копий удостоверений на производство специальных видов работ и копий протокола по электробезопасности.</w:t>
            </w:r>
          </w:p>
          <w:p>
            <w:pPr>
              <w:pStyle w:val="Normal"/>
              <w:widowControl w:val="false"/>
              <w:jc w:val="both"/>
              <w:rPr>
                <w:rFonts w:eastAsia="Calibri" w:cs="Times New Roman"/>
                <w:sz w:val="22"/>
                <w:lang w:eastAsia="ru-RU"/>
              </w:rPr>
            </w:pPr>
            <w:r>
              <w:rPr>
                <w:rFonts w:eastAsia="Calibri"/>
                <w:sz w:val="22"/>
              </w:rPr>
              <w:t>При передаче персональных данных Поставщик обязуется передать Покупателю согласие данных лиц на обработку и передачу их персональных данных.</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4.2.9.</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Результат оказания услуг</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false"/>
              <w:rPr>
                <w:rFonts w:eastAsia="Calibri" w:cs="Times New Roman"/>
                <w:sz w:val="22"/>
                <w:lang w:eastAsia="ru-RU"/>
              </w:rPr>
            </w:pPr>
            <w:r>
              <w:rPr>
                <w:rFonts w:eastAsia="Calibri"/>
                <w:sz w:val="22"/>
              </w:rPr>
              <w:t xml:space="preserve">Услуги шефналадки считаются выполненными с момента </w:t>
            </w:r>
            <w:r>
              <w:rPr>
                <w:rFonts w:eastAsia="Calibri" w:cs="Times New Roman"/>
                <w:sz w:val="22"/>
                <w:lang w:eastAsia="ru-RU"/>
              </w:rPr>
              <w:t xml:space="preserve">сдачи оборудования в эксплуатацию и </w:t>
            </w:r>
            <w:r>
              <w:rPr>
                <w:rFonts w:eastAsia="Calibri"/>
                <w:sz w:val="22"/>
              </w:rPr>
              <w:t>подписания акта сдачи-приемки оказанных услуг.</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4.2.10.</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Документы, передаваемые заказчику по результатам оказанных услуг</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false"/>
              <w:rPr>
                <w:rFonts w:eastAsia="Calibri" w:cs="Times New Roman"/>
                <w:sz w:val="22"/>
                <w:lang w:eastAsia="ru-RU"/>
              </w:rPr>
            </w:pPr>
            <w:r>
              <w:rPr>
                <w:rFonts w:eastAsia="Calibri" w:cs="Times New Roman"/>
                <w:sz w:val="22"/>
                <w:lang w:eastAsia="ru-RU"/>
              </w:rPr>
              <w:t xml:space="preserve">Исполнитель передает заказчику акт </w:t>
            </w:r>
            <w:r>
              <w:rPr>
                <w:rFonts w:eastAsia="Calibri"/>
                <w:sz w:val="22"/>
              </w:rPr>
              <w:t>сдачи-приемки оказанных услуг</w:t>
            </w:r>
            <w:r>
              <w:rPr>
                <w:rFonts w:eastAsia="Calibri" w:cs="Times New Roman"/>
                <w:sz w:val="22"/>
                <w:lang w:eastAsia="ru-RU"/>
              </w:rPr>
              <w:t xml:space="preserve"> в двух экземплярах.</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172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sz w:val="22"/>
                <w:lang w:val="en-US"/>
              </w:rPr>
              <w:t>4.2.11.</w:t>
            </w:r>
          </w:p>
        </w:tc>
        <w:tc>
          <w:tcPr>
            <w:tcW w:w="2835"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rFonts w:eastAsia="Calibri"/>
                <w:sz w:val="22"/>
              </w:rPr>
            </w:pPr>
            <w:r>
              <w:rPr>
                <w:rFonts w:eastAsia="Calibri"/>
                <w:sz w:val="22"/>
              </w:rPr>
              <w:t>Требования к ответственности и гарантиям исполнителя на услуги по шеф-наладке</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false"/>
              <w:rPr>
                <w:rFonts w:eastAsia="Calibri" w:cs="Times New Roman"/>
                <w:sz w:val="22"/>
                <w:lang w:eastAsia="ru-RU"/>
              </w:rPr>
            </w:pPr>
            <w:r>
              <w:rPr>
                <w:rFonts w:eastAsia="Calibri"/>
                <w:sz w:val="22"/>
              </w:rPr>
              <w:t>Гарантийный срок на результат услуг по шефналадке должен составлять 36 (тридцать шесть) месяцев с даты подписания акта сдачи-приемки оказанных услуг и ввода Продукции в эксплуатацию, но не более 48 (сорока восьми) месяцев с даты подписания Сторонами товарной накладной по форме ТОРГ-12 или Универсального передаточного документа (УПД). Установленный в отношении Продукции Гарантийный срок распространяется на все составные части и комплектующие Продукции.</w:t>
            </w:r>
          </w:p>
        </w:tc>
        <w:tc>
          <w:tcPr>
            <w:tcW w:w="184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559"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vMerge w:val="continue"/>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rFonts w:eastAsia="Calibri"/>
                <w:sz w:val="22"/>
                <w:lang w:val="en-US"/>
              </w:rPr>
            </w:pPr>
            <w:r>
              <w:rPr>
                <w:rFonts w:eastAsia="Calibri"/>
                <w:b/>
                <w:sz w:val="22"/>
              </w:rPr>
              <w:t>5.</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rPr>
              <w:t>Требования к комплектации и документам, поставляемым вместе с продукцией</w:t>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pPr>
            <w:r>
              <w:rPr>
                <w:rFonts w:eastAsia="Calibri"/>
                <w:sz w:val="22"/>
                <w:lang w:val="en-US"/>
              </w:rPr>
              <w:t>5</w:t>
            </w:r>
            <w:r>
              <w:rPr>
                <w:rFonts w:eastAsia="Calibri"/>
                <w:sz w:val="22"/>
              </w:rPr>
              <w:t>.1</w:t>
            </w:r>
            <w:r>
              <w:rPr>
                <w:rFonts w:eastAsia="Calibri"/>
                <w:sz w:val="22"/>
                <w:lang w:val="en-US"/>
              </w:rPr>
              <w:t>.</w:t>
            </w:r>
          </w:p>
        </w:tc>
        <w:tc>
          <w:tcPr>
            <w:tcW w:w="283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rPr/>
            </w:pPr>
            <w:r>
              <w:rPr>
                <w:rFonts w:eastAsia="Calibri"/>
                <w:sz w:val="22"/>
              </w:rPr>
              <w:t>Документы, передаваемые вместе с продукцией</w:t>
            </w:r>
          </w:p>
        </w:tc>
        <w:tc>
          <w:tcPr>
            <w:tcW w:w="6094" w:type="dxa"/>
            <w:gridSpan w:val="3"/>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hd w:val="clear" w:color="auto" w:fill="FFFFFF"/>
              <w:tabs>
                <w:tab w:val="clear" w:pos="708"/>
                <w:tab w:val="left" w:pos="900" w:leader="none"/>
                <w:tab w:val="left" w:pos="1134" w:leader="none"/>
                <w:tab w:val="left" w:pos="1276" w:leader="none"/>
              </w:tabs>
              <w:suppressAutoHyphens w:val="false"/>
              <w:jc w:val="both"/>
              <w:rPr>
                <w:rFonts w:eastAsia="Calibri"/>
                <w:sz w:val="22"/>
              </w:rPr>
            </w:pPr>
            <w:r>
              <w:rPr>
                <w:rFonts w:eastAsia="Calibri"/>
                <w:sz w:val="22"/>
              </w:rPr>
              <w:t>Поставщик обязан одновременно с передачей продукции передать Покупателю относящиеся к нему документы, оформленные надлежащим образом:</w:t>
            </w:r>
          </w:p>
          <w:p>
            <w:pPr>
              <w:pStyle w:val="Normal"/>
              <w:widowControl w:val="false"/>
              <w:numPr>
                <w:ilvl w:val="0"/>
                <w:numId w:val="12"/>
              </w:numPr>
              <w:shd w:val="clear" w:color="auto" w:fill="FFFFFF"/>
              <w:tabs>
                <w:tab w:val="clear" w:pos="708"/>
                <w:tab w:val="left" w:pos="0" w:leader="none"/>
                <w:tab w:val="left" w:pos="900" w:leader="none"/>
                <w:tab w:val="left" w:pos="1134" w:leader="none"/>
                <w:tab w:val="left" w:pos="1276" w:leader="none"/>
              </w:tabs>
              <w:suppressAutoHyphens w:val="false"/>
              <w:ind w:left="0" w:firstLine="567"/>
              <w:jc w:val="both"/>
              <w:rPr>
                <w:rFonts w:eastAsia="Calibri"/>
                <w:sz w:val="22"/>
              </w:rPr>
            </w:pPr>
            <w:r>
              <w:rPr>
                <w:rFonts w:eastAsia="Calibri"/>
                <w:sz w:val="22"/>
              </w:rPr>
              <w:t>Паспорт качества в 2 экз.;</w:t>
            </w:r>
          </w:p>
          <w:p>
            <w:pPr>
              <w:pStyle w:val="Normal"/>
              <w:widowControl w:val="false"/>
              <w:numPr>
                <w:ilvl w:val="0"/>
                <w:numId w:val="12"/>
              </w:numPr>
              <w:shd w:val="clear" w:color="auto" w:fill="FFFFFF"/>
              <w:tabs>
                <w:tab w:val="clear" w:pos="708"/>
                <w:tab w:val="left" w:pos="0" w:leader="none"/>
                <w:tab w:val="left" w:pos="900" w:leader="none"/>
                <w:tab w:val="left" w:pos="1134" w:leader="none"/>
                <w:tab w:val="left" w:pos="1276" w:leader="none"/>
              </w:tabs>
              <w:suppressAutoHyphens w:val="false"/>
              <w:ind w:left="0" w:firstLine="567"/>
              <w:jc w:val="both"/>
              <w:rPr>
                <w:rFonts w:eastAsia="Calibri"/>
                <w:sz w:val="22"/>
              </w:rPr>
            </w:pPr>
            <w:r>
              <w:rPr>
                <w:rFonts w:eastAsia="Calibri"/>
                <w:sz w:val="22"/>
              </w:rPr>
              <w:t>Сертификат соответствия (декларация соответствия) в 2 экз.;</w:t>
            </w:r>
          </w:p>
          <w:p>
            <w:pPr>
              <w:pStyle w:val="Normal"/>
              <w:widowControl w:val="false"/>
              <w:numPr>
                <w:ilvl w:val="0"/>
                <w:numId w:val="12"/>
              </w:numPr>
              <w:shd w:val="clear" w:color="auto" w:fill="FFFFFF"/>
              <w:tabs>
                <w:tab w:val="clear" w:pos="708"/>
                <w:tab w:val="left" w:pos="0" w:leader="none"/>
                <w:tab w:val="left" w:pos="900" w:leader="none"/>
                <w:tab w:val="left" w:pos="1134" w:leader="none"/>
                <w:tab w:val="left" w:pos="1276" w:leader="none"/>
              </w:tabs>
              <w:suppressAutoHyphens w:val="false"/>
              <w:ind w:left="0" w:firstLine="567"/>
              <w:jc w:val="both"/>
              <w:rPr>
                <w:rFonts w:eastAsia="Calibri"/>
                <w:sz w:val="22"/>
              </w:rPr>
            </w:pPr>
            <w:r>
              <w:rPr>
                <w:rFonts w:eastAsia="Calibri"/>
                <w:sz w:val="22"/>
              </w:rPr>
              <w:t>Технический паспорт на русском языке в 1 экз.;</w:t>
            </w:r>
          </w:p>
          <w:p>
            <w:pPr>
              <w:pStyle w:val="Normal"/>
              <w:widowControl w:val="false"/>
              <w:numPr>
                <w:ilvl w:val="0"/>
                <w:numId w:val="12"/>
              </w:numPr>
              <w:shd w:val="clear" w:color="auto" w:fill="FFFFFF"/>
              <w:tabs>
                <w:tab w:val="clear" w:pos="708"/>
                <w:tab w:val="left" w:pos="0" w:leader="none"/>
                <w:tab w:val="left" w:pos="900" w:leader="none"/>
                <w:tab w:val="left" w:pos="1134" w:leader="none"/>
                <w:tab w:val="left" w:pos="1276" w:leader="none"/>
              </w:tabs>
              <w:suppressAutoHyphens w:val="false"/>
              <w:ind w:left="0" w:firstLine="567"/>
              <w:jc w:val="both"/>
              <w:rPr>
                <w:rFonts w:eastAsia="Calibri"/>
                <w:sz w:val="22"/>
              </w:rPr>
            </w:pPr>
            <w:r>
              <w:rPr>
                <w:rFonts w:eastAsia="Calibri"/>
                <w:sz w:val="22"/>
              </w:rPr>
              <w:t>Инструкция по эксплуатации (монтажу и т.п.) на русском языке в 1 экз.;</w:t>
            </w:r>
          </w:p>
          <w:p>
            <w:pPr>
              <w:pStyle w:val="Normal"/>
              <w:widowControl w:val="false"/>
              <w:numPr>
                <w:ilvl w:val="0"/>
                <w:numId w:val="12"/>
              </w:numPr>
              <w:shd w:val="clear" w:color="auto" w:fill="FFFFFF"/>
              <w:tabs>
                <w:tab w:val="clear" w:pos="708"/>
                <w:tab w:val="left" w:pos="0" w:leader="none"/>
                <w:tab w:val="left" w:pos="900" w:leader="none"/>
                <w:tab w:val="left" w:pos="1134" w:leader="none"/>
                <w:tab w:val="left" w:pos="1276" w:leader="none"/>
              </w:tabs>
              <w:suppressAutoHyphens w:val="false"/>
              <w:ind w:left="0" w:firstLine="567"/>
              <w:jc w:val="both"/>
              <w:rPr>
                <w:rFonts w:eastAsia="Calibri"/>
                <w:sz w:val="22"/>
              </w:rPr>
            </w:pPr>
            <w:r>
              <w:rPr>
                <w:rFonts w:eastAsia="Calibri"/>
                <w:sz w:val="22"/>
              </w:rPr>
              <w:t>Упаковочный лист на Продукцию в 1 экз.;</w:t>
            </w:r>
          </w:p>
          <w:p>
            <w:pPr>
              <w:pStyle w:val="Normal"/>
              <w:widowControl w:val="false"/>
              <w:numPr>
                <w:ilvl w:val="0"/>
                <w:numId w:val="12"/>
              </w:numPr>
              <w:shd w:val="clear" w:color="auto" w:fill="FFFFFF"/>
              <w:tabs>
                <w:tab w:val="clear" w:pos="708"/>
                <w:tab w:val="left" w:pos="0" w:leader="none"/>
                <w:tab w:val="left" w:pos="900" w:leader="none"/>
                <w:tab w:val="left" w:pos="1134" w:leader="none"/>
                <w:tab w:val="left" w:pos="1276" w:leader="none"/>
              </w:tabs>
              <w:suppressAutoHyphens w:val="false"/>
              <w:ind w:left="0" w:firstLine="567"/>
              <w:jc w:val="both"/>
              <w:rPr>
                <w:rFonts w:eastAsia="Calibri"/>
                <w:sz w:val="22"/>
              </w:rPr>
            </w:pPr>
            <w:r>
              <w:rPr>
                <w:rFonts w:eastAsia="Calibri"/>
                <w:sz w:val="22"/>
              </w:rPr>
              <w:t>Сертификат о происхождении товара в 2 экз.;</w:t>
            </w:r>
          </w:p>
          <w:p>
            <w:pPr>
              <w:pStyle w:val="Normal"/>
              <w:widowControl w:val="false"/>
              <w:numPr>
                <w:ilvl w:val="0"/>
                <w:numId w:val="12"/>
              </w:numPr>
              <w:shd w:val="clear" w:color="auto" w:fill="FFFFFF"/>
              <w:tabs>
                <w:tab w:val="clear" w:pos="708"/>
                <w:tab w:val="left" w:pos="0" w:leader="none"/>
                <w:tab w:val="left" w:pos="900" w:leader="none"/>
                <w:tab w:val="left" w:pos="1134" w:leader="none"/>
                <w:tab w:val="left" w:pos="1276" w:leader="none"/>
              </w:tabs>
              <w:suppressAutoHyphens w:val="false"/>
              <w:ind w:left="0" w:firstLine="567"/>
              <w:jc w:val="both"/>
              <w:rPr>
                <w:rFonts w:eastAsia="Calibri"/>
                <w:sz w:val="22"/>
              </w:rPr>
            </w:pPr>
            <w:r>
              <w:rPr>
                <w:rFonts w:eastAsia="Calibri"/>
                <w:sz w:val="22"/>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12"/>
              </w:numPr>
              <w:shd w:val="clear" w:color="auto" w:fill="FFFFFF"/>
              <w:tabs>
                <w:tab w:val="clear" w:pos="708"/>
                <w:tab w:val="left" w:pos="851" w:leader="none"/>
                <w:tab w:val="left" w:pos="900" w:leader="none"/>
                <w:tab w:val="left" w:pos="1134" w:leader="none"/>
                <w:tab w:val="left" w:pos="1276" w:leader="none"/>
              </w:tabs>
              <w:suppressAutoHyphens w:val="false"/>
              <w:ind w:left="0" w:firstLine="567"/>
              <w:jc w:val="both"/>
              <w:rPr>
                <w:rFonts w:eastAsia="Calibri"/>
                <w:sz w:val="22"/>
              </w:rPr>
            </w:pPr>
            <w:r>
              <w:rPr>
                <w:rFonts w:eastAsia="Calibri"/>
                <w:sz w:val="22"/>
              </w:rPr>
              <w:t>Обязательные первичные документы:</w:t>
            </w:r>
          </w:p>
          <w:p>
            <w:pPr>
              <w:pStyle w:val="ListParagraph"/>
              <w:widowControl w:val="false"/>
              <w:numPr>
                <w:ilvl w:val="0"/>
                <w:numId w:val="11"/>
              </w:numPr>
              <w:shd w:val="clear" w:color="auto" w:fill="FFFFFF"/>
              <w:tabs>
                <w:tab w:val="clear" w:pos="708"/>
                <w:tab w:val="left" w:pos="720" w:leader="none"/>
                <w:tab w:val="left" w:pos="1134" w:leader="none"/>
                <w:tab w:val="left" w:pos="1276" w:leader="none"/>
              </w:tabs>
              <w:suppressAutoHyphens w:val="false"/>
              <w:ind w:left="0" w:firstLine="745"/>
              <w:jc w:val="both"/>
              <w:rPr>
                <w:sz w:val="22"/>
              </w:rPr>
            </w:pPr>
            <w:r>
              <w:rPr>
                <w:sz w:val="22"/>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ListParagraph"/>
              <w:widowControl w:val="false"/>
              <w:numPr>
                <w:ilvl w:val="0"/>
                <w:numId w:val="11"/>
              </w:numPr>
              <w:ind w:left="0" w:firstLine="745"/>
              <w:rPr/>
            </w:pPr>
            <w:r>
              <w:rPr>
                <w:sz w:val="22"/>
              </w:rPr>
              <w:t>Товарную накладную по форме ТОРГ-12 или Универсальный передаточный документ (УПД) в 2 экз.</w:t>
            </w:r>
          </w:p>
        </w:tc>
        <w:tc>
          <w:tcPr>
            <w:tcW w:w="184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sz w:val="22"/>
              </w:rPr>
            </w:pPr>
            <w:r>
              <w:rPr>
                <w:sz w:val="22"/>
              </w:rPr>
            </w:r>
          </w:p>
        </w:tc>
      </w:tr>
      <w:tr>
        <w:trPr>
          <w:trHeight w:val="273" w:hRule="atLeast"/>
        </w:trPr>
        <w:tc>
          <w:tcPr>
            <w:tcW w:w="846" w:type="dxa"/>
            <w:tcBorders>
              <w:top w:val="single" w:sz="6" w:space="0" w:color="000000"/>
              <w:left w:val="single" w:sz="4" w:space="0" w:color="000000"/>
              <w:bottom w:val="single" w:sz="6" w:space="0" w:color="000000"/>
              <w:right w:val="single" w:sz="6" w:space="0" w:color="000000"/>
            </w:tcBorders>
            <w:shd w:color="auto" w:fill="auto" w:val="clear"/>
            <w:vAlign w:val="center"/>
          </w:tcPr>
          <w:p>
            <w:pPr>
              <w:pStyle w:val="Normal"/>
              <w:widowControl w:val="false"/>
              <w:jc w:val="center"/>
              <w:rPr>
                <w:lang w:val="en-US"/>
              </w:rPr>
            </w:pPr>
            <w:r>
              <w:rPr>
                <w:rFonts w:eastAsia="Calibri"/>
                <w:b/>
                <w:sz w:val="22"/>
                <w:lang w:val="en-US"/>
              </w:rPr>
              <w:t>6</w:t>
            </w:r>
            <w:r>
              <w:rPr>
                <w:rFonts w:eastAsia="Calibri"/>
                <w:b/>
                <w:sz w:val="22"/>
              </w:rPr>
              <w:t>.</w:t>
            </w:r>
          </w:p>
        </w:tc>
        <w:tc>
          <w:tcPr>
            <w:tcW w:w="14032" w:type="dxa"/>
            <w:gridSpan w:val="7"/>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rPr>
                <w:sz w:val="22"/>
              </w:rPr>
            </w:pPr>
            <w:r>
              <w:rPr>
                <w:rFonts w:eastAsia="Calibri"/>
                <w:b/>
                <w:sz w:val="22"/>
                <w:lang w:eastAsia="ru-RU"/>
              </w:rPr>
              <w:t>Прочие (дополнительные) требования к продукции</w:t>
            </w:r>
          </w:p>
        </w:tc>
      </w:tr>
      <w:tr>
        <w:trPr>
          <w:trHeight w:val="273" w:hRule="atLeast"/>
        </w:trPr>
        <w:tc>
          <w:tcPr>
            <w:tcW w:w="846" w:type="dxa"/>
            <w:tcBorders>
              <w:top w:val="single" w:sz="6" w:space="0" w:color="000000"/>
              <w:left w:val="single" w:sz="4" w:space="0" w:color="000000"/>
              <w:bottom w:val="single" w:sz="4" w:space="0" w:color="000000"/>
              <w:right w:val="single" w:sz="6" w:space="0" w:color="000000"/>
            </w:tcBorders>
            <w:shd w:color="auto" w:fill="auto" w:val="clear"/>
            <w:vAlign w:val="center"/>
          </w:tcPr>
          <w:p>
            <w:pPr>
              <w:pStyle w:val="Normal"/>
              <w:widowControl w:val="false"/>
              <w:jc w:val="center"/>
              <w:rPr/>
            </w:pPr>
            <w:r>
              <w:rPr>
                <w:rFonts w:eastAsia="Calibri"/>
                <w:sz w:val="22"/>
                <w:lang w:val="en-US"/>
              </w:rPr>
              <w:t>6</w:t>
            </w:r>
            <w:r>
              <w:rPr>
                <w:rFonts w:eastAsia="Calibri"/>
                <w:sz w:val="22"/>
              </w:rPr>
              <w:t>.1</w:t>
            </w:r>
            <w:r>
              <w:rPr>
                <w:rFonts w:eastAsia="Calibri"/>
                <w:sz w:val="22"/>
                <w:lang w:val="en-US"/>
              </w:rPr>
              <w:t>.</w:t>
            </w:r>
          </w:p>
        </w:tc>
        <w:tc>
          <w:tcPr>
            <w:tcW w:w="8929" w:type="dxa"/>
            <w:gridSpan w:val="4"/>
            <w:tcBorders>
              <w:top w:val="single" w:sz="6" w:space="0" w:color="000000"/>
              <w:left w:val="single" w:sz="6" w:space="0" w:color="000000"/>
              <w:bottom w:val="single" w:sz="4" w:space="0" w:color="000000"/>
              <w:right w:val="single" w:sz="6" w:space="0" w:color="000000"/>
            </w:tcBorders>
            <w:shd w:color="auto" w:fill="auto" w:val="clear"/>
            <w:vAlign w:val="center"/>
          </w:tcPr>
          <w:p>
            <w:pPr>
              <w:pStyle w:val="Normal"/>
              <w:widowControl w:val="false"/>
              <w:rPr/>
            </w:pPr>
            <w:r>
              <w:rPr>
                <w:rFonts w:eastAsia="Calibri"/>
                <w:sz w:val="22"/>
              </w:rPr>
              <w:t>Продукция должна быть новой, ранее не использовавшейся.</w:t>
            </w:r>
          </w:p>
          <w:p>
            <w:pPr>
              <w:pStyle w:val="Normal"/>
              <w:widowControl w:val="false"/>
              <w:jc w:val="both"/>
              <w:rPr/>
            </w:pPr>
            <w:r>
              <w:rPr>
                <w:rFonts w:eastAsia="Calibri"/>
                <w:bCs/>
                <w:sz w:val="22"/>
                <w:lang w:eastAsia="x-none"/>
              </w:rPr>
              <w:t>Продукция должна соответствовать обязательным требованиям, установленными нормативными документами, действующими в РФ.</w:t>
            </w:r>
          </w:p>
          <w:p>
            <w:pPr>
              <w:pStyle w:val="Normal"/>
              <w:widowControl w:val="false"/>
              <w:rPr/>
            </w:pPr>
            <w:r>
              <w:rPr>
                <w:rFonts w:eastAsia="Calibri"/>
                <w:bCs/>
                <w:sz w:val="22"/>
                <w:lang w:eastAsia="x-none"/>
              </w:rPr>
              <w:t>Продукция обязательно должна быть укомплектована документами, удостоверяющими качество продукции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tc>
        <w:tc>
          <w:tcPr>
            <w:tcW w:w="1844" w:type="dxa"/>
            <w:tcBorders>
              <w:top w:val="single" w:sz="6" w:space="0" w:color="000000"/>
              <w:left w:val="single" w:sz="6" w:space="0" w:color="000000"/>
              <w:bottom w:val="single" w:sz="4" w:space="0" w:color="000000"/>
              <w:right w:val="single" w:sz="6" w:space="0" w:color="000000"/>
            </w:tcBorders>
            <w:shd w:color="auto" w:fill="auto" w:val="clear"/>
            <w:vAlign w:val="center"/>
          </w:tcPr>
          <w:p>
            <w:pPr>
              <w:pStyle w:val="Normal"/>
              <w:widowControl w:val="false"/>
              <w:jc w:val="center"/>
              <w:rPr>
                <w:sz w:val="22"/>
              </w:rPr>
            </w:pPr>
            <w:r>
              <w:rPr>
                <w:rFonts w:cs="Times New Roman"/>
                <w:sz w:val="22"/>
              </w:rPr>
              <w:t>Согласие с требованием</w:t>
            </w:r>
          </w:p>
        </w:tc>
        <w:tc>
          <w:tcPr>
            <w:tcW w:w="1559" w:type="dxa"/>
            <w:tcBorders>
              <w:top w:val="single" w:sz="6" w:space="0" w:color="000000"/>
              <w:left w:val="single" w:sz="6" w:space="0" w:color="000000"/>
              <w:bottom w:val="single" w:sz="4" w:space="0" w:color="000000"/>
              <w:right w:val="single" w:sz="6" w:space="0" w:color="000000"/>
            </w:tcBorders>
            <w:shd w:color="auto" w:fill="auto" w:val="clear"/>
            <w:vAlign w:val="center"/>
          </w:tcPr>
          <w:p>
            <w:pPr>
              <w:pStyle w:val="Normal"/>
              <w:widowControl w:val="false"/>
              <w:jc w:val="center"/>
              <w:rPr>
                <w:sz w:val="22"/>
              </w:rPr>
            </w:pPr>
            <w:r>
              <w:rPr>
                <w:sz w:val="22"/>
              </w:rPr>
            </w:r>
          </w:p>
        </w:tc>
        <w:tc>
          <w:tcPr>
            <w:tcW w:w="1700" w:type="dxa"/>
            <w:tcBorders>
              <w:top w:val="single" w:sz="6" w:space="0" w:color="000000"/>
              <w:left w:val="single" w:sz="6" w:space="0" w:color="000000"/>
              <w:bottom w:val="single" w:sz="4" w:space="0" w:color="000000"/>
              <w:right w:val="single" w:sz="4" w:space="0" w:color="000000"/>
            </w:tcBorders>
            <w:shd w:color="auto" w:fill="auto" w:val="clear"/>
            <w:vAlign w:val="center"/>
          </w:tcPr>
          <w:p>
            <w:pPr>
              <w:pStyle w:val="Normal"/>
              <w:widowControl w:val="false"/>
              <w:jc w:val="center"/>
              <w:rPr>
                <w:sz w:val="22"/>
              </w:rPr>
            </w:pPr>
            <w:r>
              <w:rPr>
                <w:sz w:val="22"/>
              </w:rPr>
            </w:r>
          </w:p>
        </w:tc>
      </w:tr>
    </w:tbl>
    <w:p>
      <w:pPr>
        <w:pStyle w:val="Normal"/>
        <w:jc w:val="both"/>
        <w:rPr>
          <w:rFonts w:eastAsia="Times New Roman" w:cs="Times New Roman"/>
          <w:bCs/>
          <w:spacing w:val="-6"/>
          <w:szCs w:val="24"/>
        </w:rPr>
      </w:pPr>
      <w:r>
        <w:rPr>
          <w:rFonts w:eastAsia="Times New Roman" w:cs="Times New Roman"/>
          <w:bCs/>
          <w:spacing w:val="-6"/>
          <w:szCs w:val="24"/>
        </w:rPr>
      </w:r>
    </w:p>
    <w:p>
      <w:pPr>
        <w:pStyle w:val="Normal"/>
        <w:rPr>
          <w:rFonts w:eastAsia="Calibri"/>
          <w:szCs w:val="24"/>
          <w:lang w:eastAsia="x-none"/>
        </w:rPr>
      </w:pPr>
      <w:r>
        <w:rPr>
          <w:rFonts w:eastAsia="Calibri"/>
          <w:szCs w:val="24"/>
          <w:lang w:eastAsia="x-none"/>
        </w:rPr>
      </w:r>
    </w:p>
    <w:p>
      <w:pPr>
        <w:pStyle w:val="Normal"/>
        <w:rPr>
          <w:rFonts w:eastAsia="Calibri"/>
          <w:b/>
          <w:szCs w:val="24"/>
          <w:lang w:eastAsia="x-none"/>
        </w:rPr>
      </w:pPr>
      <w:r>
        <w:rPr>
          <w:rFonts w:eastAsia="Calibri"/>
          <w:b/>
          <w:szCs w:val="24"/>
          <w:lang w:eastAsia="x-none"/>
        </w:rPr>
        <w:t>3. Требования к документации по ценообразованию на этапе закупки</w:t>
      </w:r>
    </w:p>
    <w:p>
      <w:pPr>
        <w:pStyle w:val="Normal"/>
        <w:rPr>
          <w:rFonts w:eastAsia="Calibri"/>
          <w:szCs w:val="24"/>
          <w:lang w:eastAsia="x-none"/>
        </w:rPr>
      </w:pPr>
      <w:r>
        <w:rPr>
          <w:rFonts w:eastAsia="Calibri"/>
          <w:szCs w:val="24"/>
          <w:lang w:eastAsia="x-none"/>
        </w:rPr>
        <w:t>3.1. 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pPr>
        <w:pStyle w:val="Normal"/>
        <w:rPr>
          <w:rFonts w:eastAsia="Calibri"/>
          <w:szCs w:val="24"/>
          <w:lang w:eastAsia="x-none"/>
        </w:rPr>
      </w:pPr>
      <w:r>
        <w:rPr>
          <w:rFonts w:eastAsia="Calibri"/>
          <w:szCs w:val="24"/>
          <w:lang w:eastAsia="x-none"/>
        </w:rPr>
        <w:t>3.2. Дополнительные документы по ценообразованию в состав заявки не включаются.</w:t>
      </w:r>
    </w:p>
    <w:sectPr>
      <w:footerReference w:type="default" r:id="rId3"/>
      <w:footerReference w:type="first" r:id="rId4"/>
      <w:type w:val="nextPage"/>
      <w:pgSz w:orient="landscape" w:w="16838" w:h="11906"/>
      <w:pgMar w:left="1418" w:right="1134" w:gutter="0" w:header="0" w:top="1134" w:footer="709"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uprum">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07929409"/>
    </w:sdtPr>
    <w:sdtContent>
      <w:p>
        <w:pPr>
          <w:pStyle w:val="Footer"/>
          <w:jc w:val="center"/>
          <w:rPr>
            <w:sz w:val="22"/>
            <w:szCs w:val="24"/>
          </w:rPr>
        </w:pPr>
        <w:r>
          <w:rPr>
            <w:sz w:val="22"/>
            <w:szCs w:val="24"/>
          </w:rPr>
          <w:t xml:space="preserve">Страница </w:t>
        </w:r>
        <w:r>
          <w:rPr>
            <w:b/>
            <w:bCs/>
            <w:sz w:val="22"/>
            <w:szCs w:val="24"/>
          </w:rPr>
          <w:fldChar w:fldCharType="begin"/>
        </w:r>
        <w:r>
          <w:rPr>
            <w:sz w:val="22"/>
            <w:b/>
            <w:szCs w:val="24"/>
            <w:bCs/>
          </w:rPr>
          <w:instrText xml:space="preserve"> PAGE </w:instrText>
        </w:r>
        <w:r>
          <w:rPr>
            <w:sz w:val="22"/>
            <w:b/>
            <w:szCs w:val="24"/>
            <w:bCs/>
          </w:rPr>
          <w:fldChar w:fldCharType="separate"/>
        </w:r>
        <w:r>
          <w:rPr>
            <w:sz w:val="22"/>
            <w:b/>
            <w:szCs w:val="24"/>
            <w:bCs/>
          </w:rPr>
          <w:t>3</w:t>
        </w:r>
        <w:r>
          <w:rPr>
            <w:sz w:val="22"/>
            <w:b/>
            <w:szCs w:val="24"/>
            <w:bCs/>
          </w:rPr>
          <w:fldChar w:fldCharType="end"/>
        </w:r>
        <w:r>
          <w:rPr>
            <w:sz w:val="22"/>
            <w:szCs w:val="24"/>
          </w:rPr>
          <w:t xml:space="preserve"> из </w:t>
        </w:r>
        <w:r>
          <w:rPr>
            <w:b/>
            <w:bCs/>
            <w:sz w:val="22"/>
            <w:szCs w:val="24"/>
          </w:rPr>
          <w:fldChar w:fldCharType="begin"/>
        </w:r>
        <w:r>
          <w:rPr>
            <w:sz w:val="22"/>
            <w:b/>
            <w:szCs w:val="24"/>
            <w:bCs/>
          </w:rPr>
          <w:instrText xml:space="preserve"> NUMPAGES </w:instrText>
        </w:r>
        <w:r>
          <w:rPr>
            <w:sz w:val="22"/>
            <w:b/>
            <w:szCs w:val="24"/>
            <w:bCs/>
          </w:rPr>
          <w:fldChar w:fldCharType="separate"/>
        </w:r>
        <w:r>
          <w:rPr>
            <w:sz w:val="22"/>
            <w:b/>
            <w:szCs w:val="24"/>
            <w:bCs/>
          </w:rPr>
          <w:t>24</w:t>
        </w:r>
        <w:r>
          <w:rPr>
            <w:sz w:val="22"/>
            <w:b/>
            <w:szCs w:val="24"/>
            <w:bCs/>
          </w:rPr>
          <w:fldChar w:fldCharType="end"/>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76360605"/>
    </w:sdtPr>
    <w:sdtContent>
      <w:p>
        <w:pPr>
          <w:pStyle w:val="Footer"/>
          <w:jc w:val="center"/>
          <w:rPr>
            <w:sz w:val="24"/>
            <w:szCs w:val="24"/>
          </w:rPr>
        </w:pPr>
        <w:r>
          <w:rPr>
            <w:sz w:val="24"/>
            <w:szCs w:val="24"/>
          </w:rPr>
          <w:t xml:space="preserve">Страница </w:t>
        </w:r>
        <w:r>
          <w:rPr>
            <w:b/>
            <w:bCs/>
            <w:sz w:val="24"/>
            <w:szCs w:val="24"/>
          </w:rPr>
          <w:fldChar w:fldCharType="begin"/>
        </w:r>
        <w:r>
          <w:rPr>
            <w:sz w:val="24"/>
            <w:b/>
            <w:szCs w:val="24"/>
            <w:bCs/>
          </w:rPr>
          <w:instrText xml:space="preserve"> PAGE </w:instrText>
        </w:r>
        <w:r>
          <w:rPr>
            <w:sz w:val="24"/>
            <w:b/>
            <w:szCs w:val="24"/>
            <w:bCs/>
          </w:rPr>
          <w:fldChar w:fldCharType="separate"/>
        </w:r>
        <w:r>
          <w:rPr>
            <w:sz w:val="24"/>
            <w:b/>
            <w:szCs w:val="24"/>
            <w:bCs/>
          </w:rPr>
          <w:t>24</w:t>
        </w:r>
        <w:r>
          <w:rPr>
            <w:sz w:val="24"/>
            <w:b/>
            <w:szCs w:val="24"/>
            <w:bCs/>
          </w:rPr>
          <w:fldChar w:fldCharType="end"/>
        </w:r>
        <w:r>
          <w:rPr>
            <w:sz w:val="24"/>
            <w:szCs w:val="24"/>
          </w:rPr>
          <w:t xml:space="preserve"> из </w:t>
        </w:r>
        <w:r>
          <w:rPr>
            <w:b/>
            <w:bCs/>
            <w:sz w:val="24"/>
            <w:szCs w:val="24"/>
          </w:rPr>
          <w:fldChar w:fldCharType="begin"/>
        </w:r>
        <w:r>
          <w:rPr>
            <w:sz w:val="24"/>
            <w:b/>
            <w:szCs w:val="24"/>
            <w:bCs/>
          </w:rPr>
          <w:instrText xml:space="preserve"> NUMPAGES </w:instrText>
        </w:r>
        <w:r>
          <w:rPr>
            <w:sz w:val="24"/>
            <w:b/>
            <w:szCs w:val="24"/>
            <w:bCs/>
          </w:rPr>
          <w:fldChar w:fldCharType="separate"/>
        </w:r>
        <w:r>
          <w:rPr>
            <w:sz w:val="24"/>
            <w:b/>
            <w:szCs w:val="24"/>
            <w:bCs/>
          </w:rPr>
          <w:t>24</w:t>
        </w:r>
        <w:r>
          <w:rPr>
            <w:sz w:val="24"/>
            <w:b/>
            <w:szCs w:val="24"/>
            <w:bCs/>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196"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3">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36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142"/>
        </w:tabs>
        <w:ind w:left="502"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2"/>
      <w:numFmt w:val="bullet"/>
      <w:lvlText w:val="-"/>
      <w:lvlJc w:val="left"/>
      <w:pPr>
        <w:tabs>
          <w:tab w:val="num" w:pos="0"/>
        </w:tabs>
        <w:ind w:left="372" w:hanging="360"/>
      </w:pPr>
      <w:rPr>
        <w:rFonts w:ascii="Times New Roman" w:hAnsi="Times New Roman" w:cs="Times New Roman" w:hint="default"/>
      </w:rPr>
    </w:lvl>
    <w:lvl w:ilvl="1">
      <w:start w:val="1"/>
      <w:numFmt w:val="bullet"/>
      <w:lvlText w:val="o"/>
      <w:lvlJc w:val="left"/>
      <w:pPr>
        <w:tabs>
          <w:tab w:val="num" w:pos="0"/>
        </w:tabs>
        <w:ind w:left="1092" w:hanging="360"/>
      </w:pPr>
      <w:rPr>
        <w:rFonts w:ascii="Courier New" w:hAnsi="Courier New" w:cs="Courier New" w:hint="default"/>
      </w:rPr>
    </w:lvl>
    <w:lvl w:ilvl="2">
      <w:start w:val="1"/>
      <w:numFmt w:val="bullet"/>
      <w:lvlText w:val=""/>
      <w:lvlJc w:val="left"/>
      <w:pPr>
        <w:tabs>
          <w:tab w:val="num" w:pos="0"/>
        </w:tabs>
        <w:ind w:left="1812" w:hanging="360"/>
      </w:pPr>
      <w:rPr>
        <w:rFonts w:ascii="Wingdings" w:hAnsi="Wingdings" w:cs="Wingdings" w:hint="default"/>
      </w:rPr>
    </w:lvl>
    <w:lvl w:ilvl="3">
      <w:start w:val="1"/>
      <w:numFmt w:val="bullet"/>
      <w:lvlText w:val=""/>
      <w:lvlJc w:val="left"/>
      <w:pPr>
        <w:tabs>
          <w:tab w:val="num" w:pos="0"/>
        </w:tabs>
        <w:ind w:left="2532" w:hanging="360"/>
      </w:pPr>
      <w:rPr>
        <w:rFonts w:ascii="Symbol" w:hAnsi="Symbol" w:cs="Symbol" w:hint="default"/>
      </w:rPr>
    </w:lvl>
    <w:lvl w:ilvl="4">
      <w:start w:val="1"/>
      <w:numFmt w:val="bullet"/>
      <w:lvlText w:val="o"/>
      <w:lvlJc w:val="left"/>
      <w:pPr>
        <w:tabs>
          <w:tab w:val="num" w:pos="0"/>
        </w:tabs>
        <w:ind w:left="3252" w:hanging="360"/>
      </w:pPr>
      <w:rPr>
        <w:rFonts w:ascii="Courier New" w:hAnsi="Courier New" w:cs="Courier New" w:hint="default"/>
      </w:rPr>
    </w:lvl>
    <w:lvl w:ilvl="5">
      <w:start w:val="1"/>
      <w:numFmt w:val="bullet"/>
      <w:lvlText w:val=""/>
      <w:lvlJc w:val="left"/>
      <w:pPr>
        <w:tabs>
          <w:tab w:val="num" w:pos="0"/>
        </w:tabs>
        <w:ind w:left="3972" w:hanging="360"/>
      </w:pPr>
      <w:rPr>
        <w:rFonts w:ascii="Wingdings" w:hAnsi="Wingdings" w:cs="Wingdings" w:hint="default"/>
      </w:rPr>
    </w:lvl>
    <w:lvl w:ilvl="6">
      <w:start w:val="1"/>
      <w:numFmt w:val="bullet"/>
      <w:lvlText w:val=""/>
      <w:lvlJc w:val="left"/>
      <w:pPr>
        <w:tabs>
          <w:tab w:val="num" w:pos="0"/>
        </w:tabs>
        <w:ind w:left="4692" w:hanging="360"/>
      </w:pPr>
      <w:rPr>
        <w:rFonts w:ascii="Symbol" w:hAnsi="Symbol" w:cs="Symbol" w:hint="default"/>
      </w:rPr>
    </w:lvl>
    <w:lvl w:ilvl="7">
      <w:start w:val="1"/>
      <w:numFmt w:val="bullet"/>
      <w:lvlText w:val="o"/>
      <w:lvlJc w:val="left"/>
      <w:pPr>
        <w:tabs>
          <w:tab w:val="num" w:pos="0"/>
        </w:tabs>
        <w:ind w:left="5412" w:hanging="360"/>
      </w:pPr>
      <w:rPr>
        <w:rFonts w:ascii="Courier New" w:hAnsi="Courier New" w:cs="Courier New" w:hint="default"/>
      </w:rPr>
    </w:lvl>
    <w:lvl w:ilvl="8">
      <w:start w:val="1"/>
      <w:numFmt w:val="bullet"/>
      <w:lvlText w:val=""/>
      <w:lvlJc w:val="left"/>
      <w:pPr>
        <w:tabs>
          <w:tab w:val="num" w:pos="0"/>
        </w:tabs>
        <w:ind w:left="6132"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6"/>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2"/>
      <w:numFmt w:val="bullet"/>
      <w:lvlText w:val="-"/>
      <w:lvlJc w:val="left"/>
      <w:pPr>
        <w:tabs>
          <w:tab w:val="num" w:pos="0"/>
        </w:tabs>
        <w:ind w:left="372" w:hanging="360"/>
      </w:pPr>
      <w:rPr>
        <w:rFonts w:ascii="Times New Roman" w:hAnsi="Times New Roman" w:cs="Times New Roman" w:hint="default"/>
        <w:b/>
      </w:rPr>
    </w:lvl>
    <w:lvl w:ilvl="1">
      <w:start w:val="1"/>
      <w:numFmt w:val="bullet"/>
      <w:lvlText w:val="o"/>
      <w:lvlJc w:val="left"/>
      <w:pPr>
        <w:tabs>
          <w:tab w:val="num" w:pos="0"/>
        </w:tabs>
        <w:ind w:left="1092" w:hanging="360"/>
      </w:pPr>
      <w:rPr>
        <w:rFonts w:ascii="Courier New" w:hAnsi="Courier New" w:cs="Courier New" w:hint="default"/>
      </w:rPr>
    </w:lvl>
    <w:lvl w:ilvl="2">
      <w:start w:val="1"/>
      <w:numFmt w:val="bullet"/>
      <w:lvlText w:val=""/>
      <w:lvlJc w:val="left"/>
      <w:pPr>
        <w:tabs>
          <w:tab w:val="num" w:pos="0"/>
        </w:tabs>
        <w:ind w:left="1812" w:hanging="360"/>
      </w:pPr>
      <w:rPr>
        <w:rFonts w:ascii="Wingdings" w:hAnsi="Wingdings" w:cs="Wingdings" w:hint="default"/>
      </w:rPr>
    </w:lvl>
    <w:lvl w:ilvl="3">
      <w:start w:val="1"/>
      <w:numFmt w:val="bullet"/>
      <w:lvlText w:val=""/>
      <w:lvlJc w:val="left"/>
      <w:pPr>
        <w:tabs>
          <w:tab w:val="num" w:pos="0"/>
        </w:tabs>
        <w:ind w:left="2532" w:hanging="360"/>
      </w:pPr>
      <w:rPr>
        <w:rFonts w:ascii="Symbol" w:hAnsi="Symbol" w:cs="Symbol" w:hint="default"/>
      </w:rPr>
    </w:lvl>
    <w:lvl w:ilvl="4">
      <w:start w:val="1"/>
      <w:numFmt w:val="bullet"/>
      <w:lvlText w:val="o"/>
      <w:lvlJc w:val="left"/>
      <w:pPr>
        <w:tabs>
          <w:tab w:val="num" w:pos="0"/>
        </w:tabs>
        <w:ind w:left="3252" w:hanging="360"/>
      </w:pPr>
      <w:rPr>
        <w:rFonts w:ascii="Courier New" w:hAnsi="Courier New" w:cs="Courier New" w:hint="default"/>
      </w:rPr>
    </w:lvl>
    <w:lvl w:ilvl="5">
      <w:start w:val="1"/>
      <w:numFmt w:val="bullet"/>
      <w:lvlText w:val=""/>
      <w:lvlJc w:val="left"/>
      <w:pPr>
        <w:tabs>
          <w:tab w:val="num" w:pos="0"/>
        </w:tabs>
        <w:ind w:left="3972" w:hanging="360"/>
      </w:pPr>
      <w:rPr>
        <w:rFonts w:ascii="Wingdings" w:hAnsi="Wingdings" w:cs="Wingdings" w:hint="default"/>
      </w:rPr>
    </w:lvl>
    <w:lvl w:ilvl="6">
      <w:start w:val="1"/>
      <w:numFmt w:val="bullet"/>
      <w:lvlText w:val=""/>
      <w:lvlJc w:val="left"/>
      <w:pPr>
        <w:tabs>
          <w:tab w:val="num" w:pos="0"/>
        </w:tabs>
        <w:ind w:left="4692" w:hanging="360"/>
      </w:pPr>
      <w:rPr>
        <w:rFonts w:ascii="Symbol" w:hAnsi="Symbol" w:cs="Symbol" w:hint="default"/>
      </w:rPr>
    </w:lvl>
    <w:lvl w:ilvl="7">
      <w:start w:val="1"/>
      <w:numFmt w:val="bullet"/>
      <w:lvlText w:val="o"/>
      <w:lvlJc w:val="left"/>
      <w:pPr>
        <w:tabs>
          <w:tab w:val="num" w:pos="0"/>
        </w:tabs>
        <w:ind w:left="5412" w:hanging="360"/>
      </w:pPr>
      <w:rPr>
        <w:rFonts w:ascii="Courier New" w:hAnsi="Courier New" w:cs="Courier New" w:hint="default"/>
      </w:rPr>
    </w:lvl>
    <w:lvl w:ilvl="8">
      <w:start w:val="1"/>
      <w:numFmt w:val="bullet"/>
      <w:lvlText w:val=""/>
      <w:lvlJc w:val="left"/>
      <w:pPr>
        <w:tabs>
          <w:tab w:val="num" w:pos="0"/>
        </w:tabs>
        <w:ind w:left="6132" w:hanging="360"/>
      </w:pPr>
      <w:rPr>
        <w:rFonts w:ascii="Wingdings" w:hAnsi="Wingdings" w:cs="Wingdings" w:hint="default"/>
      </w:rPr>
    </w:lvl>
  </w:abstractNum>
  <w:abstractNum w:abstractNumId="12">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qFormat="1"/>
    <w:lsdException w:name="header" w:uiPriority="0" w:semiHidden="1" w:unhideWhenUsed="1"/>
    <w:lsdException w:name="footer" w:semiHidden="1" w:unhideWhenUsed="1"/>
    <w:lsdException w:name="index heading" w:uiPriority="0"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qFormat="1"/>
    <w:lsdException w:name="line number" w:semiHidden="1" w:unhideWhenUsed="1"/>
    <w:lsdException w:name="page number" w:uiPriority="0" w:semiHidden="1" w:unhideWhenUsed="1" w:qFormat="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uiPriority="0" w:semiHidden="1" w:unhideWhenUsed="1" w:qFormat="1"/>
    <w:lsdException w:name="Body Text Indent 3" w:uiPriority="0" w:semiHidden="1" w:unhideWhenUsed="1" w:qFormat="1"/>
    <w:lsdException w:name="Block Text" w:uiPriority="0" w:semiHidden="1" w:unhideWhenUsed="1" w:qFormat="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3a95"/>
    <w:pPr>
      <w:widowControl/>
      <w:suppressAutoHyphens w:val="true"/>
      <w:bidi w:val="0"/>
      <w:spacing w:before="0" w:after="0"/>
      <w:jc w:val="left"/>
    </w:pPr>
    <w:rPr>
      <w:rFonts w:ascii="Times New Roman" w:hAnsi="Times New Roman" w:eastAsia="Calibri" w:cs="" w:cstheme="minorBidi" w:eastAsiaTheme="minorHAnsi"/>
      <w:color w:val="auto"/>
      <w:kern w:val="0"/>
      <w:sz w:val="24"/>
      <w:szCs w:val="22"/>
      <w:lang w:val="ru-RU" w:eastAsia="en-US" w:bidi="ar-SA"/>
    </w:rPr>
  </w:style>
  <w:style w:type="paragraph" w:styleId="Heading1">
    <w:name w:val="Heading 1"/>
    <w:basedOn w:val="Heading3"/>
    <w:next w:val="Normal"/>
    <w:link w:val="1"/>
    <w:qFormat/>
    <w:rsid w:val="009c3b1a"/>
    <w:pPr>
      <w:outlineLvl w:val="0"/>
    </w:pPr>
    <w:rPr>
      <w:sz w:val="28"/>
      <w:szCs w:val="28"/>
    </w:rPr>
  </w:style>
  <w:style w:type="paragraph" w:styleId="Heading2">
    <w:name w:val="Heading 2"/>
    <w:basedOn w:val="Heading4"/>
    <w:next w:val="Normal"/>
    <w:link w:val="2"/>
    <w:qFormat/>
    <w:rsid w:val="00cd6e45"/>
    <w:pPr>
      <w:tabs>
        <w:tab w:val="clear" w:pos="0"/>
        <w:tab w:val="clear" w:pos="709"/>
      </w:tabs>
      <w:ind w:left="432" w:hanging="432"/>
      <w:outlineLvl w:val="1"/>
    </w:pPr>
    <w:rPr/>
  </w:style>
  <w:style w:type="paragraph" w:styleId="Heading3">
    <w:name w:val="Heading 3"/>
    <w:basedOn w:val="Normal"/>
    <w:next w:val="Normal"/>
    <w:link w:val="3"/>
    <w:autoRedefine/>
    <w:qFormat/>
    <w:rsid w:val="009a70a1"/>
    <w:pPr>
      <w:keepNext w:val="true"/>
      <w:tabs>
        <w:tab w:val="clear" w:pos="708"/>
        <w:tab w:val="left" w:pos="0" w:leader="none"/>
        <w:tab w:val="left" w:pos="709" w:leader="none"/>
      </w:tabs>
      <w:outlineLvl w:val="2"/>
    </w:pPr>
    <w:rPr>
      <w:rFonts w:eastAsia="Calibri" w:cs="Times New Roman"/>
      <w:b/>
      <w:szCs w:val="24"/>
      <w:lang w:val="x-none" w:eastAsia="x-none"/>
    </w:rPr>
  </w:style>
  <w:style w:type="paragraph" w:styleId="Heading4">
    <w:name w:val="Heading 4"/>
    <w:basedOn w:val="Heading3"/>
    <w:next w:val="Normal"/>
    <w:link w:val="4"/>
    <w:qFormat/>
    <w:rsid w:val="009c3b1a"/>
    <w:pPr>
      <w:outlineLvl w:val="3"/>
    </w:pPr>
    <w:rPr>
      <w:bCs/>
    </w:rPr>
  </w:style>
  <w:style w:type="paragraph" w:styleId="Heading5">
    <w:name w:val="Heading 5"/>
    <w:basedOn w:val="Normal"/>
    <w:next w:val="Normal"/>
    <w:link w:val="5"/>
    <w:uiPriority w:val="9"/>
    <w:qFormat/>
    <w:rsid w:val="00cd6e45"/>
    <w:pPr>
      <w:spacing w:before="240" w:after="60"/>
      <w:outlineLvl w:val="4"/>
    </w:pPr>
    <w:rPr>
      <w:rFonts w:eastAsia="Times New Roman" w:cs="Times New Roman"/>
      <w:b/>
      <w:bCs/>
      <w:i/>
      <w:iCs/>
      <w:sz w:val="26"/>
      <w:szCs w:val="26"/>
      <w:lang w:val="x-none" w:eastAsia="x-none"/>
    </w:rPr>
  </w:style>
  <w:style w:type="paragraph" w:styleId="Heading6">
    <w:name w:val="Heading 6"/>
    <w:basedOn w:val="Normal"/>
    <w:next w:val="Normal"/>
    <w:link w:val="6"/>
    <w:uiPriority w:val="9"/>
    <w:qFormat/>
    <w:rsid w:val="00cd6e45"/>
    <w:pPr>
      <w:keepNext w:val="true"/>
      <w:keepLines/>
      <w:spacing w:before="200" w:after="0"/>
      <w:outlineLvl w:val="5"/>
    </w:pPr>
    <w:rPr>
      <w:rFonts w:ascii="Cambria" w:hAnsi="Cambria" w:eastAsia="Times New Roman" w:cs="Times New Roman"/>
      <w:i/>
      <w:iCs/>
      <w:color w:val="243F60"/>
      <w:sz w:val="20"/>
      <w:szCs w:val="20"/>
      <w:lang w:val="x-none" w:eastAsia="x-none"/>
    </w:rPr>
  </w:style>
  <w:style w:type="paragraph" w:styleId="Heading7">
    <w:name w:val="Heading 7"/>
    <w:basedOn w:val="Normal"/>
    <w:next w:val="Normal"/>
    <w:link w:val="7"/>
    <w:uiPriority w:val="9"/>
    <w:qFormat/>
    <w:rsid w:val="00cd6e45"/>
    <w:pPr>
      <w:keepNext w:val="true"/>
      <w:keepLines/>
      <w:spacing w:before="200" w:after="0"/>
      <w:outlineLvl w:val="6"/>
    </w:pPr>
    <w:rPr>
      <w:rFonts w:ascii="Cambria" w:hAnsi="Cambria" w:eastAsia="Times New Roman" w:cs="Times New Roman"/>
      <w:i/>
      <w:iCs/>
      <w:color w:val="404040"/>
      <w:sz w:val="20"/>
      <w:szCs w:val="20"/>
      <w:lang w:val="x-none" w:eastAsia="x-none"/>
    </w:rPr>
  </w:style>
  <w:style w:type="paragraph" w:styleId="Heading8">
    <w:name w:val="Heading 8"/>
    <w:basedOn w:val="Normal"/>
    <w:next w:val="Normal"/>
    <w:link w:val="8"/>
    <w:uiPriority w:val="9"/>
    <w:qFormat/>
    <w:rsid w:val="00cd6e45"/>
    <w:pPr>
      <w:keepNext w:val="true"/>
      <w:keepLines/>
      <w:spacing w:before="200" w:after="0"/>
      <w:outlineLvl w:val="7"/>
    </w:pPr>
    <w:rPr>
      <w:rFonts w:ascii="Cambria" w:hAnsi="Cambria" w:eastAsia="Times New Roman" w:cs="Times New Roman"/>
      <w:color w:val="4F81BD"/>
      <w:sz w:val="20"/>
      <w:szCs w:val="20"/>
      <w:lang w:val="x-none" w:eastAsia="x-none"/>
    </w:rPr>
  </w:style>
  <w:style w:type="paragraph" w:styleId="Heading9">
    <w:name w:val="Heading 9"/>
    <w:basedOn w:val="Normal"/>
    <w:next w:val="Normal"/>
    <w:link w:val="9"/>
    <w:uiPriority w:val="9"/>
    <w:qFormat/>
    <w:rsid w:val="00cd6e45"/>
    <w:pPr>
      <w:spacing w:before="240" w:after="60"/>
      <w:outlineLvl w:val="8"/>
    </w:pPr>
    <w:rPr>
      <w:rFonts w:ascii="Arial" w:hAnsi="Arial" w:eastAsia="Times New Roman" w:cs="Times New Roman"/>
      <w:sz w:val="22"/>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9c3b1a"/>
    <w:rPr>
      <w:rFonts w:ascii="Times New Roman" w:hAnsi="Times New Roman" w:eastAsia="Calibri" w:cs="Times New Roman"/>
      <w:b/>
      <w:sz w:val="28"/>
      <w:szCs w:val="28"/>
      <w:lang w:val="x-none" w:eastAsia="x-none"/>
    </w:rPr>
  </w:style>
  <w:style w:type="character" w:styleId="3" w:customStyle="1">
    <w:name w:val="Заголовок 3 Знак"/>
    <w:basedOn w:val="DefaultParagraphFont"/>
    <w:qFormat/>
    <w:rsid w:val="009a70a1"/>
    <w:rPr>
      <w:rFonts w:ascii="Times New Roman" w:hAnsi="Times New Roman" w:eastAsia="Calibri" w:cs="Times New Roman"/>
      <w:b/>
      <w:sz w:val="24"/>
      <w:szCs w:val="24"/>
      <w:lang w:val="x-none" w:eastAsia="x-none"/>
    </w:rPr>
  </w:style>
  <w:style w:type="character" w:styleId="4" w:customStyle="1">
    <w:name w:val="Заголовок 4 Знак"/>
    <w:basedOn w:val="DefaultParagraphFont"/>
    <w:qFormat/>
    <w:rsid w:val="009c3b1a"/>
    <w:rPr>
      <w:rFonts w:ascii="Times New Roman" w:hAnsi="Times New Roman" w:eastAsia="Calibri" w:cs="Times New Roman"/>
      <w:b/>
      <w:bCs/>
      <w:sz w:val="24"/>
      <w:szCs w:val="24"/>
      <w:lang w:val="x-none" w:eastAsia="x-none"/>
    </w:rPr>
  </w:style>
  <w:style w:type="character" w:styleId="Style" w:customStyle="1">
    <w:name w:val="комментарий"/>
    <w:qFormat/>
    <w:rsid w:val="009c3b1a"/>
    <w:rPr>
      <w:b/>
      <w:i/>
      <w:shd w:fill="FFFF99" w:val="clear"/>
    </w:rPr>
  </w:style>
  <w:style w:type="character" w:styleId="2" w:customStyle="1">
    <w:name w:val="Заголовок 2 Знак"/>
    <w:basedOn w:val="DefaultParagraphFont"/>
    <w:qFormat/>
    <w:rsid w:val="00cd6e45"/>
    <w:rPr>
      <w:rFonts w:ascii="Times New Roman" w:hAnsi="Times New Roman" w:eastAsia="Calibri" w:cs="Times New Roman"/>
      <w:b/>
      <w:bCs/>
      <w:sz w:val="24"/>
      <w:szCs w:val="24"/>
      <w:lang w:val="x-none" w:eastAsia="x-none"/>
    </w:rPr>
  </w:style>
  <w:style w:type="character" w:styleId="5" w:customStyle="1">
    <w:name w:val="Заголовок 5 Знак"/>
    <w:basedOn w:val="DefaultParagraphFont"/>
    <w:uiPriority w:val="9"/>
    <w:qFormat/>
    <w:rsid w:val="00cd6e45"/>
    <w:rPr>
      <w:rFonts w:ascii="Times New Roman" w:hAnsi="Times New Roman" w:eastAsia="Times New Roman" w:cs="Times New Roman"/>
      <w:b/>
      <w:bCs/>
      <w:i/>
      <w:iCs/>
      <w:sz w:val="26"/>
      <w:szCs w:val="26"/>
      <w:lang w:val="x-none" w:eastAsia="x-none"/>
    </w:rPr>
  </w:style>
  <w:style w:type="character" w:styleId="6" w:customStyle="1">
    <w:name w:val="Заголовок 6 Знак"/>
    <w:basedOn w:val="DefaultParagraphFont"/>
    <w:uiPriority w:val="9"/>
    <w:qFormat/>
    <w:rsid w:val="00cd6e45"/>
    <w:rPr>
      <w:rFonts w:ascii="Cambria" w:hAnsi="Cambria" w:eastAsia="Times New Roman" w:cs="Times New Roman"/>
      <w:i/>
      <w:iCs/>
      <w:color w:val="243F60"/>
      <w:sz w:val="20"/>
      <w:szCs w:val="20"/>
      <w:lang w:val="x-none" w:eastAsia="x-none"/>
    </w:rPr>
  </w:style>
  <w:style w:type="character" w:styleId="7" w:customStyle="1">
    <w:name w:val="Заголовок 7 Знак"/>
    <w:basedOn w:val="DefaultParagraphFont"/>
    <w:uiPriority w:val="9"/>
    <w:qFormat/>
    <w:rsid w:val="00cd6e45"/>
    <w:rPr>
      <w:rFonts w:ascii="Cambria" w:hAnsi="Cambria" w:eastAsia="Times New Roman" w:cs="Times New Roman"/>
      <w:i/>
      <w:iCs/>
      <w:color w:val="404040"/>
      <w:sz w:val="20"/>
      <w:szCs w:val="20"/>
      <w:lang w:val="x-none" w:eastAsia="x-none"/>
    </w:rPr>
  </w:style>
  <w:style w:type="character" w:styleId="8" w:customStyle="1">
    <w:name w:val="Заголовок 8 Знак"/>
    <w:basedOn w:val="DefaultParagraphFont"/>
    <w:uiPriority w:val="9"/>
    <w:qFormat/>
    <w:rsid w:val="00cd6e45"/>
    <w:rPr>
      <w:rFonts w:ascii="Cambria" w:hAnsi="Cambria" w:eastAsia="Times New Roman" w:cs="Times New Roman"/>
      <w:color w:val="4F81BD"/>
      <w:sz w:val="20"/>
      <w:szCs w:val="20"/>
      <w:lang w:val="x-none" w:eastAsia="x-none"/>
    </w:rPr>
  </w:style>
  <w:style w:type="character" w:styleId="9" w:customStyle="1">
    <w:name w:val="Заголовок 9 Знак"/>
    <w:basedOn w:val="DefaultParagraphFont"/>
    <w:uiPriority w:val="9"/>
    <w:qFormat/>
    <w:rsid w:val="00cd6e45"/>
    <w:rPr>
      <w:rFonts w:ascii="Arial" w:hAnsi="Arial" w:eastAsia="Times New Roman" w:cs="Times New Roman"/>
      <w:lang w:val="x-none" w:eastAsia="x-none"/>
    </w:rPr>
  </w:style>
  <w:style w:type="character" w:styleId="Style1" w:customStyle="1">
    <w:name w:val="Текст сноски Знак"/>
    <w:basedOn w:val="DefaultParagraphFont"/>
    <w:uiPriority w:val="99"/>
    <w:qFormat/>
    <w:rsid w:val="00cd6e45"/>
    <w:rPr>
      <w:rFonts w:ascii="Times New Roman" w:hAnsi="Times New Roman" w:eastAsia="Times New Roman" w:cs="Times New Roman"/>
      <w:sz w:val="20"/>
      <w:szCs w:val="20"/>
      <w:lang w:eastAsia="ru-RU"/>
    </w:rPr>
  </w:style>
  <w:style w:type="character" w:styleId="Style2"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cd6e45"/>
    <w:rPr>
      <w:vertAlign w:val="superscript"/>
    </w:rPr>
  </w:style>
  <w:style w:type="character" w:styleId="Style3" w:customStyle="1">
    <w:name w:val="Верхний колонтитул Знак"/>
    <w:basedOn w:val="DefaultParagraphFont"/>
    <w:qFormat/>
    <w:rsid w:val="00cd6e45"/>
    <w:rPr>
      <w:rFonts w:ascii="Times New Roman" w:hAnsi="Times New Roman" w:eastAsia="Times New Roman" w:cs="Times New Roman"/>
      <w:sz w:val="24"/>
      <w:szCs w:val="24"/>
      <w:lang w:eastAsia="ru-RU"/>
    </w:rPr>
  </w:style>
  <w:style w:type="character" w:styleId="Style4" w:customStyle="1">
    <w:name w:val="Основной текст с отступом Знак"/>
    <w:basedOn w:val="DefaultParagraphFont"/>
    <w:qFormat/>
    <w:rsid w:val="00cd6e45"/>
    <w:rPr>
      <w:rFonts w:ascii="Times New Roman" w:hAnsi="Times New Roman" w:eastAsia="Times New Roman" w:cs="Times New Roman"/>
      <w:sz w:val="24"/>
      <w:szCs w:val="24"/>
      <w:lang w:eastAsia="ru-RU"/>
    </w:rPr>
  </w:style>
  <w:style w:type="character" w:styleId="Style5" w:customStyle="1">
    <w:name w:val="Нижний колонтитул Знак"/>
    <w:basedOn w:val="DefaultParagraphFont"/>
    <w:uiPriority w:val="99"/>
    <w:qFormat/>
    <w:rsid w:val="00cd6e45"/>
    <w:rPr>
      <w:rFonts w:ascii="Times New Roman" w:hAnsi="Times New Roman" w:eastAsia="Times New Roman" w:cs="Times New Roman"/>
      <w:sz w:val="28"/>
      <w:szCs w:val="28"/>
      <w:lang w:eastAsia="ru-RU"/>
    </w:rPr>
  </w:style>
  <w:style w:type="character" w:styleId="Style6" w:customStyle="1">
    <w:name w:val="Основной текст Знак"/>
    <w:basedOn w:val="DefaultParagraphFont"/>
    <w:qFormat/>
    <w:rsid w:val="00cd6e45"/>
    <w:rPr>
      <w:rFonts w:ascii="Times New Roman" w:hAnsi="Times New Roman" w:eastAsia="Times New Roman" w:cs="Times New Roman"/>
      <w:sz w:val="28"/>
      <w:szCs w:val="28"/>
      <w:lang w:eastAsia="ru-RU"/>
    </w:rPr>
  </w:style>
  <w:style w:type="character" w:styleId="21" w:customStyle="1">
    <w:name w:val="Основной текст с отступом 2 Знак"/>
    <w:basedOn w:val="DefaultParagraphFont"/>
    <w:link w:val="BodyTextIndent2"/>
    <w:qFormat/>
    <w:rsid w:val="00cd6e45"/>
    <w:rPr>
      <w:rFonts w:ascii="Times New Roman" w:hAnsi="Times New Roman" w:eastAsia="Times New Roman" w:cs="Times New Roman"/>
      <w:sz w:val="28"/>
      <w:szCs w:val="28"/>
      <w:lang w:eastAsia="ru-RU"/>
    </w:rPr>
  </w:style>
  <w:style w:type="character" w:styleId="31" w:customStyle="1">
    <w:name w:val="Основной текст 3 Знак"/>
    <w:basedOn w:val="DefaultParagraphFont"/>
    <w:link w:val="BodyText3"/>
    <w:qFormat/>
    <w:rsid w:val="00cd6e45"/>
    <w:rPr>
      <w:rFonts w:ascii="Times New Roman" w:hAnsi="Times New Roman" w:eastAsia="Times New Roman" w:cs="Times New Roman"/>
      <w:sz w:val="16"/>
      <w:szCs w:val="16"/>
      <w:lang w:eastAsia="ru-RU"/>
    </w:rPr>
  </w:style>
  <w:style w:type="character" w:styleId="32" w:customStyle="1">
    <w:name w:val="Основной текст с отступом 3 Знак"/>
    <w:basedOn w:val="DefaultParagraphFont"/>
    <w:link w:val="BodyTextIndent3"/>
    <w:qFormat/>
    <w:rsid w:val="00cd6e45"/>
    <w:rPr>
      <w:rFonts w:ascii="Times New Roman" w:hAnsi="Times New Roman" w:eastAsia="Times New Roman" w:cs="Times New Roman"/>
      <w:sz w:val="16"/>
      <w:szCs w:val="16"/>
      <w:lang w:eastAsia="ru-RU"/>
    </w:rPr>
  </w:style>
  <w:style w:type="character" w:styleId="22" w:customStyle="1">
    <w:name w:val="Основной текст 2 Знак"/>
    <w:basedOn w:val="DefaultParagraphFont"/>
    <w:link w:val="BodyText2"/>
    <w:qFormat/>
    <w:rsid w:val="00cd6e45"/>
    <w:rPr>
      <w:rFonts w:ascii="Times New Roman" w:hAnsi="Times New Roman" w:eastAsia="Times New Roman" w:cs="Times New Roman"/>
      <w:sz w:val="28"/>
      <w:szCs w:val="28"/>
      <w:lang w:eastAsia="ru-RU"/>
    </w:rPr>
  </w:style>
  <w:style w:type="character" w:styleId="Pagenumber">
    <w:name w:val="page number"/>
    <w:basedOn w:val="DefaultParagraphFont"/>
    <w:qFormat/>
    <w:rsid w:val="00cd6e45"/>
    <w:rPr/>
  </w:style>
  <w:style w:type="character" w:styleId="11" w:customStyle="1">
    <w:name w:val="Гиперссылка1"/>
    <w:qFormat/>
    <w:rsid w:val="00cd6e45"/>
    <w:rPr>
      <w:color w:val="0000FF"/>
      <w:u w:val="single"/>
    </w:rPr>
  </w:style>
  <w:style w:type="character" w:styleId="Style7" w:customStyle="1">
    <w:name w:val="Текст выноски Знак"/>
    <w:basedOn w:val="DefaultParagraphFont"/>
    <w:link w:val="BalloonText"/>
    <w:semiHidden/>
    <w:qFormat/>
    <w:rsid w:val="00cd6e45"/>
    <w:rPr>
      <w:rFonts w:ascii="Tahoma" w:hAnsi="Tahoma" w:eastAsia="Times New Roman" w:cs="Tahoma"/>
      <w:sz w:val="16"/>
      <w:szCs w:val="16"/>
      <w:lang w:eastAsia="ru-RU"/>
    </w:rPr>
  </w:style>
  <w:style w:type="character" w:styleId="Annotationreference">
    <w:name w:val="annotation reference"/>
    <w:qFormat/>
    <w:rsid w:val="00cd6e45"/>
    <w:rPr>
      <w:sz w:val="16"/>
      <w:szCs w:val="16"/>
    </w:rPr>
  </w:style>
  <w:style w:type="character" w:styleId="Style8" w:customStyle="1">
    <w:name w:val="Текст примечания Знак"/>
    <w:basedOn w:val="DefaultParagraphFont"/>
    <w:link w:val="Annotationtext"/>
    <w:qFormat/>
    <w:rsid w:val="00cd6e45"/>
    <w:rPr>
      <w:rFonts w:ascii="Times New Roman" w:hAnsi="Times New Roman" w:eastAsia="Times New Roman" w:cs="Times New Roman"/>
      <w:sz w:val="20"/>
      <w:szCs w:val="20"/>
      <w:lang w:eastAsia="ru-RU"/>
    </w:rPr>
  </w:style>
  <w:style w:type="character" w:styleId="Style9" w:customStyle="1">
    <w:name w:val="Тема примечания Знак"/>
    <w:basedOn w:val="Style8"/>
    <w:link w:val="Annotationsubject"/>
    <w:qFormat/>
    <w:rsid w:val="00cd6e45"/>
    <w:rPr>
      <w:rFonts w:ascii="Times New Roman" w:hAnsi="Times New Roman" w:eastAsia="Times New Roman" w:cs="Times New Roman"/>
      <w:b/>
      <w:bCs/>
      <w:sz w:val="20"/>
      <w:szCs w:val="20"/>
      <w:lang w:eastAsia="ru-RU"/>
    </w:rPr>
  </w:style>
  <w:style w:type="character" w:styleId="Strong1" w:customStyle="1">
    <w:name w:val="Strong1"/>
    <w:uiPriority w:val="22"/>
    <w:qFormat/>
    <w:rsid w:val="00cd6e45"/>
    <w:rPr>
      <w:b/>
      <w:bCs/>
    </w:rPr>
  </w:style>
  <w:style w:type="character" w:styleId="Style10" w:customStyle="1">
    <w:name w:val="Название Знак"/>
    <w:link w:val="17"/>
    <w:uiPriority w:val="10"/>
    <w:qFormat/>
    <w:rsid w:val="00cd6e45"/>
    <w:rPr>
      <w:rFonts w:ascii="Times New Roman" w:hAnsi="Times New Roman" w:eastAsia="Times New Roman" w:cs="Times New Roman"/>
      <w:sz w:val="28"/>
      <w:szCs w:val="20"/>
      <w:lang w:val="x-none" w:eastAsia="x-none"/>
    </w:rPr>
  </w:style>
  <w:style w:type="character" w:styleId="Style11" w:customStyle="1">
    <w:name w:val="Подзаголовок Знак"/>
    <w:basedOn w:val="DefaultParagraphFont"/>
    <w:uiPriority w:val="11"/>
    <w:qFormat/>
    <w:rsid w:val="00cd6e45"/>
    <w:rPr>
      <w:rFonts w:ascii="Cambria" w:hAnsi="Cambria" w:eastAsia="Times New Roman" w:cs="Times New Roman"/>
      <w:i/>
      <w:iCs/>
      <w:color w:val="4F81BD"/>
      <w:spacing w:val="15"/>
      <w:sz w:val="24"/>
      <w:szCs w:val="24"/>
      <w:lang w:val="x-none" w:eastAsia="x-none"/>
    </w:rPr>
  </w:style>
  <w:style w:type="character" w:styleId="Emphasis">
    <w:name w:val="Emphasis"/>
    <w:uiPriority w:val="20"/>
    <w:qFormat/>
    <w:rsid w:val="00cd6e45"/>
    <w:rPr>
      <w:i/>
      <w:iCs/>
    </w:rPr>
  </w:style>
  <w:style w:type="character" w:styleId="23" w:customStyle="1">
    <w:name w:val="Цитата 2 Знак"/>
    <w:basedOn w:val="DefaultParagraphFont"/>
    <w:link w:val="Quote"/>
    <w:uiPriority w:val="29"/>
    <w:qFormat/>
    <w:rsid w:val="00cd6e45"/>
    <w:rPr>
      <w:rFonts w:ascii="Calibri" w:hAnsi="Calibri" w:eastAsia="Calibri" w:cs="Times New Roman"/>
      <w:i/>
      <w:iCs/>
      <w:color w:val="000000"/>
      <w:sz w:val="20"/>
      <w:szCs w:val="20"/>
      <w:lang w:val="x-none" w:eastAsia="x-none"/>
    </w:rPr>
  </w:style>
  <w:style w:type="character" w:styleId="Style12" w:customStyle="1">
    <w:name w:val="Выделенная цитата Знак"/>
    <w:basedOn w:val="DefaultParagraphFont"/>
    <w:link w:val="IntenseQuote"/>
    <w:uiPriority w:val="30"/>
    <w:qFormat/>
    <w:rsid w:val="00cd6e45"/>
    <w:rPr>
      <w:rFonts w:ascii="Calibri" w:hAnsi="Calibri" w:eastAsia="Calibri" w:cs="Times New Roman"/>
      <w:b/>
      <w:bCs/>
      <w:i/>
      <w:iCs/>
      <w:color w:val="4F81BD"/>
      <w:sz w:val="20"/>
      <w:szCs w:val="20"/>
      <w:lang w:val="x-none" w:eastAsia="x-none"/>
    </w:rPr>
  </w:style>
  <w:style w:type="character" w:styleId="SubtleEmphasis">
    <w:name w:val="Subtle Emphasis"/>
    <w:uiPriority w:val="19"/>
    <w:qFormat/>
    <w:rsid w:val="00cd6e45"/>
    <w:rPr>
      <w:i/>
      <w:iCs/>
      <w:color w:val="808080"/>
    </w:rPr>
  </w:style>
  <w:style w:type="character" w:styleId="IntenseEmphasis">
    <w:name w:val="Intense Emphasis"/>
    <w:uiPriority w:val="21"/>
    <w:qFormat/>
    <w:rsid w:val="00cd6e45"/>
    <w:rPr>
      <w:b/>
      <w:bCs/>
      <w:i/>
      <w:iCs/>
      <w:color w:val="4F81BD"/>
    </w:rPr>
  </w:style>
  <w:style w:type="character" w:styleId="SubtleReference">
    <w:name w:val="Subtle Reference"/>
    <w:uiPriority w:val="31"/>
    <w:qFormat/>
    <w:rsid w:val="00cd6e45"/>
    <w:rPr>
      <w:smallCaps/>
      <w:color w:val="C0504D"/>
      <w:u w:val="single"/>
    </w:rPr>
  </w:style>
  <w:style w:type="character" w:styleId="IntenseReference">
    <w:name w:val="Intense Reference"/>
    <w:uiPriority w:val="32"/>
    <w:qFormat/>
    <w:rsid w:val="00cd6e45"/>
    <w:rPr>
      <w:b/>
      <w:bCs/>
      <w:smallCaps/>
      <w:color w:val="C0504D"/>
      <w:spacing w:val="5"/>
      <w:u w:val="single"/>
    </w:rPr>
  </w:style>
  <w:style w:type="character" w:styleId="BookTitle">
    <w:name w:val="Book Title"/>
    <w:uiPriority w:val="33"/>
    <w:qFormat/>
    <w:rsid w:val="00cd6e45"/>
    <w:rPr>
      <w:b/>
      <w:bCs/>
      <w:smallCaps/>
      <w:spacing w:val="5"/>
    </w:rPr>
  </w:style>
  <w:style w:type="character" w:styleId="Style13" w:customStyle="1">
    <w:name w:val="Электронная подпись Знак"/>
    <w:basedOn w:val="DefaultParagraphFont"/>
    <w:link w:val="E-mailSignature"/>
    <w:uiPriority w:val="99"/>
    <w:qFormat/>
    <w:rsid w:val="00cd6e45"/>
    <w:rPr>
      <w:rFonts w:ascii="Times New Roman" w:hAnsi="Times New Roman" w:eastAsia="Calibri" w:cs="Times New Roman"/>
      <w:sz w:val="24"/>
      <w:szCs w:val="24"/>
      <w:lang w:val="x-none" w:eastAsia="x-none"/>
    </w:rPr>
  </w:style>
  <w:style w:type="character" w:styleId="12" w:customStyle="1">
    <w:name w:val="Подпункт Знак1"/>
    <w:link w:val="Style27"/>
    <w:qFormat/>
    <w:locked/>
    <w:rsid w:val="00cd6e45"/>
    <w:rPr>
      <w:rFonts w:ascii="Times New Roman" w:hAnsi="Times New Roman" w:eastAsia="Times New Roman" w:cs="Times New Roman"/>
      <w:sz w:val="28"/>
      <w:szCs w:val="20"/>
      <w:lang w:val="x-none" w:eastAsia="x-none"/>
    </w:rPr>
  </w:style>
  <w:style w:type="character" w:styleId="Blk" w:customStyle="1">
    <w:name w:val="blk"/>
    <w:qFormat/>
    <w:rsid w:val="00cd6e45"/>
    <w:rPr/>
  </w:style>
  <w:style w:type="character" w:styleId="Style14" w:customStyle="1">
    <w:name w:val="Абзац списка Знак"/>
    <w:link w:val="ListParagraph"/>
    <w:uiPriority w:val="34"/>
    <w:qFormat/>
    <w:locked/>
    <w:rsid w:val="00cd6e45"/>
    <w:rPr>
      <w:rFonts w:ascii="Times New Roman" w:hAnsi="Times New Roman" w:eastAsia="Calibri" w:cs="Times New Roman"/>
      <w:sz w:val="24"/>
      <w:szCs w:val="24"/>
      <w:lang w:eastAsia="ru-RU"/>
    </w:rPr>
  </w:style>
  <w:style w:type="character" w:styleId="Style15" w:customStyle="1">
    <w:name w:val="Подподпункт Знак"/>
    <w:link w:val="Style34"/>
    <w:qFormat/>
    <w:locked/>
    <w:rsid w:val="00cd6e45"/>
    <w:rPr>
      <w:rFonts w:ascii="Times New Roman" w:hAnsi="Times New Roman" w:eastAsia="Times New Roman" w:cs="Times New Roman"/>
      <w:sz w:val="26"/>
      <w:szCs w:val="26"/>
      <w:lang w:eastAsia="ru-RU"/>
    </w:rPr>
  </w:style>
  <w:style w:type="character" w:styleId="33" w:customStyle="1">
    <w:name w:val="УРОВЕНЬ_Абзац_тип3 Знак"/>
    <w:link w:val="37"/>
    <w:qFormat/>
    <w:rsid w:val="00cd6e45"/>
    <w:rPr>
      <w:rFonts w:ascii="Times New Roman" w:hAnsi="Times New Roman" w:eastAsia="Calibri" w:cs="Times New Roman"/>
      <w:sz w:val="26"/>
      <w:szCs w:val="28"/>
    </w:rPr>
  </w:style>
  <w:style w:type="character" w:styleId="Style16" w:customStyle="1">
    <w:name w:val="Текст концевой сноски Знак"/>
    <w:basedOn w:val="DefaultParagraphFont"/>
    <w:qFormat/>
    <w:rsid w:val="00cd6e45"/>
    <w:rPr>
      <w:rFonts w:ascii="Times New Roman" w:hAnsi="Times New Roman" w:eastAsia="Times New Roman" w:cs="Times New Roman"/>
      <w:sz w:val="20"/>
      <w:szCs w:val="20"/>
      <w:lang w:eastAsia="ru-RU"/>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sid w:val="00cd6e45"/>
    <w:rPr>
      <w:vertAlign w:val="superscript"/>
    </w:rPr>
  </w:style>
  <w:style w:type="character" w:styleId="24" w:customStyle="1">
    <w:name w:val="Пункт2 Знак"/>
    <w:link w:val="26"/>
    <w:qFormat/>
    <w:rsid w:val="00cd6e45"/>
    <w:rPr>
      <w:rFonts w:ascii="Times New Roman" w:hAnsi="Times New Roman" w:eastAsia="Times New Roman" w:cs="Times New Roman"/>
      <w:b/>
      <w:sz w:val="28"/>
      <w:szCs w:val="20"/>
      <w:lang w:eastAsia="ru-RU"/>
    </w:rPr>
  </w:style>
  <w:style w:type="character" w:styleId="13" w:customStyle="1">
    <w:name w:val="УРОВЕНЬ_1. Знак"/>
    <w:link w:val="111"/>
    <w:qFormat/>
    <w:rsid w:val="00cd6e45"/>
    <w:rPr>
      <w:rFonts w:ascii="Times New Roman" w:hAnsi="Times New Roman" w:eastAsia="Calibri" w:cs="Times New Roman"/>
      <w:caps/>
      <w:sz w:val="28"/>
      <w:szCs w:val="28"/>
    </w:rPr>
  </w:style>
  <w:style w:type="character" w:styleId="14" w:customStyle="1">
    <w:name w:val="Неразрешенное упоминание1"/>
    <w:basedOn w:val="DefaultParagraphFont"/>
    <w:uiPriority w:val="99"/>
    <w:semiHidden/>
    <w:unhideWhenUsed/>
    <w:qFormat/>
    <w:rsid w:val="00cd6e45"/>
    <w:rPr>
      <w:color w:val="605E5C"/>
      <w:shd w:fill="E1DFDD" w:val="clear"/>
    </w:rPr>
  </w:style>
  <w:style w:type="character" w:styleId="FontStyle16" w:customStyle="1">
    <w:name w:val="Font Style16"/>
    <w:qFormat/>
    <w:rsid w:val="00cd6e45"/>
    <w:rPr>
      <w:rFonts w:ascii="Times New Roman" w:hAnsi="Times New Roman" w:cs="Times New Roman"/>
      <w:sz w:val="22"/>
      <w:szCs w:val="22"/>
    </w:rPr>
  </w:style>
  <w:style w:type="character" w:styleId="Text" w:customStyle="1">
    <w:name w:val="text"/>
    <w:qFormat/>
    <w:rsid w:val="00682709"/>
    <w:rPr/>
  </w:style>
  <w:style w:type="character" w:styleId="Value" w:customStyle="1">
    <w:name w:val="value"/>
    <w:qFormat/>
    <w:rsid w:val="00682709"/>
    <w:rPr/>
  </w:style>
  <w:style w:type="character" w:styleId="Style18" w:customStyle="1">
    <w:name w:val="Текст Знак"/>
    <w:basedOn w:val="DefaultParagraphFont"/>
    <w:link w:val="PlainText"/>
    <w:uiPriority w:val="99"/>
    <w:qFormat/>
    <w:rsid w:val="00003389"/>
    <w:rPr>
      <w:rFonts w:ascii="Calibri" w:hAnsi="Calibri" w:eastAsia="Calibri" w:cs="Times New Roman"/>
      <w:szCs w:val="21"/>
      <w:lang w:val="x-none"/>
    </w:rPr>
  </w:style>
  <w:style w:type="character" w:styleId="Name" w:customStyle="1">
    <w:name w:val="name"/>
    <w:qFormat/>
    <w:rsid w:val="00003389"/>
    <w:rPr/>
  </w:style>
  <w:style w:type="character" w:styleId="Extended-textshort" w:customStyle="1">
    <w:name w:val="extended-text__short"/>
    <w:qFormat/>
    <w:rsid w:val="00003389"/>
    <w:rPr/>
  </w:style>
  <w:style w:type="character" w:styleId="15" w:customStyle="1">
    <w:name w:val="Просмотренная гиперссылка1"/>
    <w:qFormat/>
    <w:rsid w:val="00003389"/>
    <w:rPr>
      <w:color w:val="800080"/>
      <w:u w:val="single"/>
    </w:rPr>
  </w:style>
  <w:style w:type="character" w:styleId="Productcode" w:customStyle="1">
    <w:name w:val="product_code"/>
    <w:qFormat/>
    <w:rsid w:val="00003389"/>
    <w:rPr/>
  </w:style>
  <w:style w:type="character" w:styleId="Add-data-value" w:customStyle="1">
    <w:name w:val="add-data-value"/>
    <w:basedOn w:val="DefaultParagraphFont"/>
    <w:qFormat/>
    <w:rsid w:val="00003389"/>
    <w:rPr/>
  </w:style>
  <w:style w:type="character" w:styleId="Extendedtext-short" w:customStyle="1">
    <w:name w:val="extendedtext-short"/>
    <w:qFormat/>
    <w:rsid w:val="00003389"/>
    <w:rPr/>
  </w:style>
  <w:style w:type="character" w:styleId="Style19" w:customStyle="1">
    <w:name w:val="Символ нумерации"/>
    <w:qFormat/>
    <w:rPr/>
  </w:style>
  <w:style w:type="character" w:styleId="Strong2" w:customStyle="1">
    <w:name w:val="Strong2"/>
    <w:qFormat/>
    <w:rPr>
      <w:b/>
      <w:bCs/>
    </w:rPr>
  </w:style>
  <w:style w:type="character" w:styleId="Strong">
    <w:name w:val="Strong"/>
    <w:uiPriority w:val="22"/>
    <w:qFormat/>
    <w:rPr>
      <w:b/>
      <w:bCs/>
    </w:rPr>
  </w:style>
  <w:style w:type="character" w:styleId="Docdata" w:customStyle="1">
    <w:name w:val="docdata"/>
    <w:basedOn w:val="DefaultParagraphFont"/>
    <w:qFormat/>
    <w:rsid w:val="00b14d2a"/>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6"/>
    <w:rsid w:val="00cd6e45"/>
    <w:pPr>
      <w:spacing w:before="0" w:after="120"/>
    </w:pPr>
    <w:rPr>
      <w:rFonts w:eastAsia="Times New Roman" w:cs="Times New Roman"/>
      <w:sz w:val="28"/>
      <w:szCs w:val="28"/>
      <w:lang w:eastAsia="ru-RU"/>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Cs w:val="24"/>
    </w:rPr>
  </w:style>
  <w:style w:type="paragraph" w:styleId="Indexheading1">
    <w:name w:val="index heading1"/>
    <w:basedOn w:val="Title"/>
    <w:qFormat/>
    <w:pPr/>
    <w:rPr/>
  </w:style>
  <w:style w:type="paragraph" w:styleId="Caption11" w:customStyle="1">
    <w:name w:val="caption11"/>
    <w:basedOn w:val="Normal"/>
    <w:next w:val="Normal"/>
    <w:uiPriority w:val="35"/>
    <w:qFormat/>
    <w:rsid w:val="00cd6e45"/>
    <w:pPr/>
    <w:rPr>
      <w:rFonts w:eastAsia="Calibri" w:cs="Times New Roman"/>
      <w:b/>
      <w:bCs/>
      <w:color w:val="4F81BD"/>
      <w:sz w:val="18"/>
      <w:szCs w:val="18"/>
      <w:lang w:eastAsia="ru-RU"/>
    </w:rPr>
  </w:style>
  <w:style w:type="paragraph" w:styleId="Indexheading11" w:customStyle="1">
    <w:name w:val="index heading11"/>
    <w:basedOn w:val="Title"/>
    <w:qFormat/>
    <w:pPr/>
    <w:rPr/>
  </w:style>
  <w:style w:type="paragraph" w:styleId="Style22" w:customStyle="1">
    <w:name w:val="Раздел положения"/>
    <w:basedOn w:val="Normal"/>
    <w:autoRedefine/>
    <w:qFormat/>
    <w:rsid w:val="00734d42"/>
    <w:pPr>
      <w:numPr>
        <w:ilvl w:val="0"/>
        <w:numId w:val="2"/>
      </w:numPr>
      <w:spacing w:before="80" w:after="80"/>
      <w:jc w:val="center"/>
    </w:pPr>
    <w:rPr>
      <w:rFonts w:eastAsia="Times New Roman" w:cs="Times New Roman"/>
      <w:b/>
      <w:sz w:val="32"/>
      <w:szCs w:val="32"/>
      <w:lang w:eastAsia="ru-RU"/>
    </w:rPr>
  </w:style>
  <w:style w:type="paragraph" w:styleId="Style23" w:customStyle="1">
    <w:name w:val="Подраздел раздела положения"/>
    <w:basedOn w:val="Normal"/>
    <w:autoRedefine/>
    <w:qFormat/>
    <w:rsid w:val="00734d42"/>
    <w:pPr>
      <w:numPr>
        <w:ilvl w:val="1"/>
        <w:numId w:val="2"/>
      </w:numPr>
      <w:spacing w:before="80" w:after="80"/>
      <w:jc w:val="both"/>
    </w:pPr>
    <w:rPr>
      <w:rFonts w:eastAsia="Times New Roman" w:cs="Times New Roman"/>
      <w:sz w:val="28"/>
      <w:szCs w:val="28"/>
      <w:lang w:eastAsia="ru-RU"/>
    </w:rPr>
  </w:style>
  <w:style w:type="paragraph" w:styleId="Style24" w:customStyle="1">
    <w:name w:val="Таблица шапка"/>
    <w:basedOn w:val="Normal"/>
    <w:qFormat/>
    <w:rsid w:val="00cd6e45"/>
    <w:pPr>
      <w:keepNext w:val="true"/>
      <w:spacing w:before="40" w:after="40"/>
      <w:ind w:left="57" w:right="57" w:hanging="0"/>
    </w:pPr>
    <w:rPr>
      <w:rFonts w:eastAsia="Times New Roman" w:cs="Times New Roman"/>
      <w:sz w:val="22"/>
      <w:szCs w:val="26"/>
      <w:lang w:eastAsia="ru-RU"/>
    </w:rPr>
  </w:style>
  <w:style w:type="paragraph" w:styleId="Style25" w:customStyle="1">
    <w:name w:val="Название раздела инструкции"/>
    <w:basedOn w:val="Normal"/>
    <w:autoRedefine/>
    <w:qFormat/>
    <w:rsid w:val="00cd6e45"/>
    <w:pPr>
      <w:jc w:val="center"/>
    </w:pPr>
    <w:rPr>
      <w:rFonts w:eastAsia="Times New Roman" w:cs="Times New Roman"/>
      <w:b/>
      <w:sz w:val="28"/>
      <w:szCs w:val="28"/>
      <w:lang w:eastAsia="ru-RU"/>
    </w:rPr>
  </w:style>
  <w:style w:type="paragraph" w:styleId="FootnoteText">
    <w:name w:val="Footnote Text"/>
    <w:basedOn w:val="Normal"/>
    <w:link w:val="Style1"/>
    <w:uiPriority w:val="99"/>
    <w:rsid w:val="00cd6e45"/>
    <w:pPr/>
    <w:rPr>
      <w:rFonts w:eastAsia="Times New Roman" w:cs="Times New Roman"/>
      <w:sz w:val="20"/>
      <w:szCs w:val="20"/>
      <w:lang w:eastAsia="ru-RU"/>
    </w:rPr>
  </w:style>
  <w:style w:type="paragraph" w:styleId="16" w:customStyle="1">
    <w:name w:val="Шапка 1"/>
    <w:basedOn w:val="Normal"/>
    <w:qFormat/>
    <w:rsid w:val="00cd6e45"/>
    <w:pPr>
      <w:pBdr>
        <w:bottom w:val="thickThinSmallGap" w:sz="24" w:space="1" w:color="000000"/>
      </w:pBdr>
      <w:spacing w:before="0" w:after="240"/>
      <w:jc w:val="center"/>
    </w:pPr>
    <w:rPr>
      <w:rFonts w:eastAsia="Times New Roman" w:cs="Times New Roman"/>
      <w:sz w:val="22"/>
      <w:lang w:eastAsia="ru-RU"/>
    </w:rPr>
  </w:style>
  <w:style w:type="paragraph" w:styleId="25" w:customStyle="1">
    <w:name w:val="Шапка 2"/>
    <w:basedOn w:val="Normal"/>
    <w:qFormat/>
    <w:rsid w:val="00cd6e45"/>
    <w:pPr>
      <w:pBdr>
        <w:bottom w:val="thickThinSmallGap" w:sz="24" w:space="1" w:color="000000"/>
      </w:pBdr>
      <w:spacing w:before="0" w:after="120"/>
      <w:jc w:val="center"/>
    </w:pPr>
    <w:rPr>
      <w:rFonts w:eastAsia="Times New Roman" w:cs="Times New Roman"/>
      <w:b/>
      <w:sz w:val="22"/>
      <w:lang w:eastAsia="ru-RU"/>
    </w:rPr>
  </w:style>
  <w:style w:type="paragraph" w:styleId="34" w:customStyle="1">
    <w:name w:val="Шапка 3"/>
    <w:basedOn w:val="Normal"/>
    <w:qFormat/>
    <w:rsid w:val="00cd6e45"/>
    <w:pPr>
      <w:pBdr>
        <w:bottom w:val="thickThinSmallGap" w:sz="24" w:space="1" w:color="000000"/>
      </w:pBdr>
      <w:spacing w:before="240" w:after="360"/>
      <w:jc w:val="center"/>
    </w:pPr>
    <w:rPr>
      <w:rFonts w:eastAsia="Times New Roman" w:cs="Times New Roman"/>
      <w:b/>
      <w:szCs w:val="24"/>
      <w:lang w:eastAsia="ru-RU"/>
    </w:rPr>
  </w:style>
  <w:style w:type="paragraph" w:styleId="17" w:customStyle="1">
    <w:name w:val="Название1"/>
    <w:basedOn w:val="Normal"/>
    <w:link w:val="Style10"/>
    <w:uiPriority w:val="10"/>
    <w:qFormat/>
    <w:rsid w:val="00cd6e45"/>
    <w:pPr>
      <w:jc w:val="center"/>
    </w:pPr>
    <w:rPr>
      <w:rFonts w:eastAsia="Times New Roman" w:cs="Times New Roman"/>
      <w:sz w:val="28"/>
      <w:szCs w:val="20"/>
      <w:lang w:val="x-none" w:eastAsia="x-none"/>
    </w:rPr>
  </w:style>
  <w:style w:type="paragraph" w:styleId="Style26" w:customStyle="1">
    <w:name w:val="Колонтитул"/>
    <w:basedOn w:val="Normal"/>
    <w:qFormat/>
    <w:pPr/>
    <w:rPr/>
  </w:style>
  <w:style w:type="paragraph" w:styleId="Header">
    <w:name w:val="Header"/>
    <w:basedOn w:val="Normal"/>
    <w:link w:val="Style3"/>
    <w:rsid w:val="00cd6e45"/>
    <w:pPr>
      <w:tabs>
        <w:tab w:val="clear" w:pos="708"/>
        <w:tab w:val="center" w:pos="4677" w:leader="none"/>
        <w:tab w:val="right" w:pos="9355" w:leader="none"/>
      </w:tabs>
    </w:pPr>
    <w:rPr>
      <w:rFonts w:eastAsia="Times New Roman" w:cs="Times New Roman"/>
      <w:szCs w:val="24"/>
      <w:lang w:eastAsia="ru-RU"/>
    </w:rPr>
  </w:style>
  <w:style w:type="paragraph" w:styleId="BodyTextIndent">
    <w:name w:val="Body Text Indent"/>
    <w:basedOn w:val="Normal"/>
    <w:link w:val="Style4"/>
    <w:rsid w:val="00cd6e45"/>
    <w:pPr>
      <w:ind w:left="360" w:hanging="0"/>
    </w:pPr>
    <w:rPr>
      <w:rFonts w:eastAsia="Times New Roman" w:cs="Times New Roman"/>
      <w:szCs w:val="24"/>
      <w:lang w:eastAsia="ru-RU"/>
    </w:rPr>
  </w:style>
  <w:style w:type="paragraph" w:styleId="Footer">
    <w:name w:val="Footer"/>
    <w:basedOn w:val="Normal"/>
    <w:link w:val="Style5"/>
    <w:uiPriority w:val="99"/>
    <w:rsid w:val="00cd6e45"/>
    <w:pPr>
      <w:tabs>
        <w:tab w:val="clear" w:pos="708"/>
        <w:tab w:val="center" w:pos="4677" w:leader="none"/>
        <w:tab w:val="right" w:pos="9355" w:leader="none"/>
      </w:tabs>
    </w:pPr>
    <w:rPr>
      <w:rFonts w:eastAsia="Times New Roman" w:cs="Times New Roman"/>
      <w:sz w:val="28"/>
      <w:szCs w:val="28"/>
      <w:lang w:eastAsia="ru-RU"/>
    </w:rPr>
  </w:style>
  <w:style w:type="paragraph" w:styleId="BodyTextIndent2">
    <w:name w:val="Body Text Indent 2"/>
    <w:basedOn w:val="Normal"/>
    <w:link w:val="21"/>
    <w:qFormat/>
    <w:rsid w:val="00cd6e45"/>
    <w:pPr>
      <w:spacing w:lineRule="auto" w:line="480" w:before="0" w:after="120"/>
      <w:ind w:left="283" w:hanging="0"/>
    </w:pPr>
    <w:rPr>
      <w:rFonts w:eastAsia="Times New Roman" w:cs="Times New Roman"/>
      <w:sz w:val="28"/>
      <w:szCs w:val="28"/>
      <w:lang w:eastAsia="ru-RU"/>
    </w:rPr>
  </w:style>
  <w:style w:type="paragraph" w:styleId="BodyText3">
    <w:name w:val="Body Text 3"/>
    <w:basedOn w:val="Normal"/>
    <w:link w:val="31"/>
    <w:qFormat/>
    <w:rsid w:val="00cd6e45"/>
    <w:pPr>
      <w:spacing w:before="0" w:after="120"/>
    </w:pPr>
    <w:rPr>
      <w:rFonts w:eastAsia="Times New Roman" w:cs="Times New Roman"/>
      <w:sz w:val="16"/>
      <w:szCs w:val="16"/>
      <w:lang w:eastAsia="ru-RU"/>
    </w:rPr>
  </w:style>
  <w:style w:type="paragraph" w:styleId="BodyTextIndent3">
    <w:name w:val="Body Text Indent 3"/>
    <w:basedOn w:val="Normal"/>
    <w:link w:val="32"/>
    <w:qFormat/>
    <w:rsid w:val="00cd6e45"/>
    <w:pPr>
      <w:spacing w:before="0" w:after="120"/>
      <w:ind w:left="283" w:hanging="0"/>
    </w:pPr>
    <w:rPr>
      <w:rFonts w:eastAsia="Times New Roman" w:cs="Times New Roman"/>
      <w:sz w:val="16"/>
      <w:szCs w:val="16"/>
      <w:lang w:eastAsia="ru-RU"/>
    </w:rPr>
  </w:style>
  <w:style w:type="paragraph" w:styleId="BodyText2">
    <w:name w:val="Body Text 2"/>
    <w:basedOn w:val="Normal"/>
    <w:link w:val="22"/>
    <w:qFormat/>
    <w:rsid w:val="00cd6e45"/>
    <w:pPr>
      <w:spacing w:lineRule="auto" w:line="480" w:before="0" w:after="120"/>
    </w:pPr>
    <w:rPr>
      <w:rFonts w:eastAsia="Times New Roman" w:cs="Times New Roman"/>
      <w:sz w:val="28"/>
      <w:szCs w:val="28"/>
      <w:lang w:eastAsia="ru-RU"/>
    </w:rPr>
  </w:style>
  <w:style w:type="paragraph" w:styleId="BlockText">
    <w:name w:val="Block Text"/>
    <w:basedOn w:val="Normal"/>
    <w:qFormat/>
    <w:rsid w:val="00cd6e45"/>
    <w:pPr>
      <w:ind w:left="-567" w:right="-766" w:hanging="0"/>
      <w:jc w:val="center"/>
    </w:pPr>
    <w:rPr>
      <w:rFonts w:eastAsia="Times New Roman" w:cs="Times New Roman"/>
      <w:b/>
      <w:bCs/>
      <w:szCs w:val="20"/>
      <w:lang w:eastAsia="ru-RU"/>
    </w:rPr>
  </w:style>
  <w:style w:type="paragraph" w:styleId="Style27" w:customStyle="1">
    <w:name w:val="Подпункт"/>
    <w:basedOn w:val="Normal"/>
    <w:link w:val="12"/>
    <w:qFormat/>
    <w:rsid w:val="00cd6e45"/>
    <w:pPr>
      <w:tabs>
        <w:tab w:val="clear" w:pos="708"/>
        <w:tab w:val="left" w:pos="1134" w:leader="none"/>
      </w:tabs>
      <w:snapToGrid w:val="false"/>
      <w:spacing w:lineRule="auto" w:line="360"/>
      <w:ind w:left="1134" w:hanging="1134"/>
      <w:jc w:val="both"/>
    </w:pPr>
    <w:rPr>
      <w:rFonts w:eastAsia="Times New Roman" w:cs="Times New Roman"/>
      <w:sz w:val="28"/>
      <w:szCs w:val="20"/>
      <w:lang w:val="x-none" w:eastAsia="x-none"/>
    </w:rPr>
  </w:style>
  <w:style w:type="paragraph" w:styleId="26" w:customStyle="1">
    <w:name w:val="Пункт2"/>
    <w:basedOn w:val="Normal"/>
    <w:link w:val="24"/>
    <w:qFormat/>
    <w:rsid w:val="00cd6e45"/>
    <w:pPr>
      <w:keepNext w:val="true"/>
      <w:tabs>
        <w:tab w:val="clear" w:pos="708"/>
        <w:tab w:val="left" w:pos="1134" w:leader="none"/>
      </w:tabs>
      <w:snapToGrid w:val="false"/>
      <w:spacing w:before="240" w:after="120"/>
      <w:ind w:left="1134" w:hanging="1134"/>
      <w:outlineLvl w:val="2"/>
    </w:pPr>
    <w:rPr>
      <w:rFonts w:eastAsia="Times New Roman" w:cs="Times New Roman"/>
      <w:b/>
      <w:sz w:val="28"/>
      <w:szCs w:val="20"/>
      <w:lang w:eastAsia="ru-RU"/>
    </w:rPr>
  </w:style>
  <w:style w:type="paragraph" w:styleId="TOC1">
    <w:name w:val="TOC 1"/>
    <w:basedOn w:val="Normal"/>
    <w:next w:val="Normal"/>
    <w:autoRedefine/>
    <w:uiPriority w:val="39"/>
    <w:rsid w:val="00cd6e45"/>
    <w:pPr>
      <w:spacing w:before="120" w:after="0"/>
    </w:pPr>
    <w:rPr>
      <w:rFonts w:eastAsia="Times New Roman" w:cs="Calibri Light (Заголовки)"/>
      <w:b/>
      <w:bCs/>
      <w:szCs w:val="24"/>
      <w:lang w:eastAsia="ru-RU"/>
    </w:rPr>
  </w:style>
  <w:style w:type="paragraph" w:styleId="TOC3">
    <w:name w:val="TOC 3"/>
    <w:basedOn w:val="Normal"/>
    <w:next w:val="Normal"/>
    <w:autoRedefine/>
    <w:uiPriority w:val="39"/>
    <w:rsid w:val="00cd6e45"/>
    <w:pPr>
      <w:ind w:left="280" w:hanging="0"/>
    </w:pPr>
    <w:rPr>
      <w:rFonts w:eastAsia="Times New Roman" w:cs="Calibri" w:cstheme="minorHAnsi"/>
      <w:sz w:val="20"/>
      <w:szCs w:val="20"/>
      <w:lang w:eastAsia="ru-RU"/>
    </w:rPr>
  </w:style>
  <w:style w:type="paragraph" w:styleId="Style28" w:customStyle="1">
    <w:name w:val="Раздел регламента"/>
    <w:basedOn w:val="Normal"/>
    <w:qFormat/>
    <w:rsid w:val="00cd6e45"/>
    <w:pPr/>
    <w:rPr>
      <w:rFonts w:eastAsia="Times New Roman" w:cs="Times New Roman"/>
      <w:sz w:val="28"/>
      <w:szCs w:val="28"/>
      <w:lang w:eastAsia="ru-RU"/>
    </w:rPr>
  </w:style>
  <w:style w:type="paragraph" w:styleId="Style29" w:customStyle="1">
    <w:name w:val="Приложение к регламенту"/>
    <w:basedOn w:val="Normal"/>
    <w:qFormat/>
    <w:rsid w:val="00cd6e45"/>
    <w:pPr>
      <w:jc w:val="right"/>
    </w:pPr>
    <w:rPr>
      <w:rFonts w:eastAsia="Times New Roman" w:cs="Times New Roman"/>
      <w:sz w:val="28"/>
      <w:szCs w:val="28"/>
      <w:lang w:eastAsia="ru-RU"/>
    </w:rPr>
  </w:style>
  <w:style w:type="paragraph" w:styleId="TOC2">
    <w:name w:val="TOC 2"/>
    <w:basedOn w:val="Normal"/>
    <w:next w:val="Normal"/>
    <w:autoRedefine/>
    <w:uiPriority w:val="39"/>
    <w:rsid w:val="00cd6e45"/>
    <w:pPr>
      <w:spacing w:before="240" w:after="0"/>
    </w:pPr>
    <w:rPr>
      <w:rFonts w:eastAsia="Times New Roman" w:cs="Calibri" w:cstheme="minorHAnsi"/>
      <w:b/>
      <w:bCs/>
      <w:sz w:val="20"/>
      <w:szCs w:val="20"/>
      <w:lang w:eastAsia="ru-RU"/>
    </w:rPr>
  </w:style>
  <w:style w:type="paragraph" w:styleId="BalloonText">
    <w:name w:val="Balloon Text"/>
    <w:basedOn w:val="Normal"/>
    <w:link w:val="Style7"/>
    <w:semiHidden/>
    <w:qFormat/>
    <w:rsid w:val="00cd6e45"/>
    <w:pPr/>
    <w:rPr>
      <w:rFonts w:ascii="Tahoma" w:hAnsi="Tahoma" w:eastAsia="Times New Roman" w:cs="Tahoma"/>
      <w:sz w:val="16"/>
      <w:szCs w:val="16"/>
      <w:lang w:eastAsia="ru-RU"/>
    </w:rPr>
  </w:style>
  <w:style w:type="paragraph" w:styleId="Annotationtext">
    <w:name w:val="annotation text"/>
    <w:basedOn w:val="Normal"/>
    <w:link w:val="Style8"/>
    <w:qFormat/>
    <w:rsid w:val="00cd6e45"/>
    <w:pPr/>
    <w:rPr>
      <w:rFonts w:eastAsia="Times New Roman" w:cs="Times New Roman"/>
      <w:sz w:val="20"/>
      <w:szCs w:val="20"/>
      <w:lang w:eastAsia="ru-RU"/>
    </w:rPr>
  </w:style>
  <w:style w:type="paragraph" w:styleId="Annotationsubject">
    <w:name w:val="annotation subject"/>
    <w:basedOn w:val="Annotationtext"/>
    <w:next w:val="Annotationtext"/>
    <w:link w:val="Style9"/>
    <w:qFormat/>
    <w:rsid w:val="00cd6e45"/>
    <w:pPr/>
    <w:rPr>
      <w:b/>
      <w:bCs/>
    </w:rPr>
  </w:style>
  <w:style w:type="paragraph" w:styleId="18" w:customStyle="1">
    <w:name w:val="Обычный (веб)1"/>
    <w:basedOn w:val="Normal"/>
    <w:uiPriority w:val="99"/>
    <w:qFormat/>
    <w:rsid w:val="00cd6e45"/>
    <w:pPr>
      <w:spacing w:beforeAutospacing="1" w:afterAutospacing="1"/>
    </w:pPr>
    <w:rPr>
      <w:rFonts w:ascii="Arial Unicode MS" w:hAnsi="Arial Unicode MS" w:eastAsia="Arial Unicode MS" w:cs="Arial Unicode MS"/>
      <w:szCs w:val="24"/>
      <w:lang w:eastAsia="ru-RU"/>
    </w:rPr>
  </w:style>
  <w:style w:type="paragraph" w:styleId="TOC9">
    <w:name w:val="TOC 9"/>
    <w:basedOn w:val="Normal"/>
    <w:next w:val="Normal"/>
    <w:autoRedefine/>
    <w:semiHidden/>
    <w:rsid w:val="00cd6e45"/>
    <w:pPr>
      <w:ind w:left="1960" w:hanging="0"/>
    </w:pPr>
    <w:rPr>
      <w:rFonts w:ascii="Calibri" w:hAnsi="Calibri" w:eastAsia="Times New Roman" w:cs="Calibri" w:asciiTheme="minorHAnsi" w:cstheme="minorHAnsi" w:hAnsiTheme="minorHAnsi"/>
      <w:sz w:val="20"/>
      <w:szCs w:val="20"/>
      <w:lang w:eastAsia="ru-RU"/>
    </w:rPr>
  </w:style>
  <w:style w:type="paragraph" w:styleId="TOC5">
    <w:name w:val="TOC 5"/>
    <w:basedOn w:val="Normal"/>
    <w:next w:val="Normal"/>
    <w:autoRedefine/>
    <w:semiHidden/>
    <w:rsid w:val="00cd6e45"/>
    <w:pPr>
      <w:ind w:left="840" w:hanging="0"/>
    </w:pPr>
    <w:rPr>
      <w:rFonts w:ascii="Calibri" w:hAnsi="Calibri" w:eastAsia="Times New Roman" w:cs="Calibri" w:asciiTheme="minorHAnsi" w:cstheme="minorHAnsi" w:hAnsiTheme="minorHAnsi"/>
      <w:sz w:val="20"/>
      <w:szCs w:val="20"/>
      <w:lang w:eastAsia="ru-RU"/>
    </w:rPr>
  </w:style>
  <w:style w:type="paragraph" w:styleId="TOC4">
    <w:name w:val="TOC 4"/>
    <w:basedOn w:val="Normal"/>
    <w:next w:val="Normal"/>
    <w:autoRedefine/>
    <w:uiPriority w:val="39"/>
    <w:rsid w:val="00cd6e45"/>
    <w:pPr>
      <w:ind w:left="560" w:hanging="0"/>
    </w:pPr>
    <w:rPr>
      <w:rFonts w:eastAsia="Times New Roman" w:cs="Calibri" w:cstheme="minorHAnsi"/>
      <w:sz w:val="20"/>
      <w:szCs w:val="20"/>
      <w:lang w:eastAsia="ru-RU"/>
    </w:rPr>
  </w:style>
  <w:style w:type="paragraph" w:styleId="27" w:customStyle="1">
    <w:name w:val="Раздел положения 2"/>
    <w:basedOn w:val="Normal"/>
    <w:qFormat/>
    <w:rsid w:val="00cd6e45"/>
    <w:pPr>
      <w:pageBreakBefore/>
      <w:jc w:val="both"/>
      <w:outlineLvl w:val="0"/>
    </w:pPr>
    <w:rPr>
      <w:rFonts w:eastAsia="Times New Roman" w:cs="Times New Roman"/>
      <w:b/>
      <w:sz w:val="28"/>
      <w:szCs w:val="28"/>
      <w:lang w:eastAsia="ru-RU"/>
    </w:rPr>
  </w:style>
  <w:style w:type="paragraph" w:styleId="Style30" w:customStyle="1">
    <w:name w:val="Знак Знак Знак Знак Знак Знак Знак Знак Знак"/>
    <w:basedOn w:val="Normal"/>
    <w:qFormat/>
    <w:rsid w:val="004900e5"/>
    <w:pPr>
      <w:spacing w:lineRule="exact" w:line="240" w:before="0" w:after="160"/>
      <w:jc w:val="both"/>
    </w:pPr>
    <w:rPr>
      <w:rFonts w:ascii="Verdana" w:hAnsi="Verdana" w:eastAsia="Times New Roman" w:cs="Times New Roman"/>
      <w:sz w:val="22"/>
      <w:szCs w:val="20"/>
      <w:lang w:val="en-US"/>
    </w:rPr>
  </w:style>
  <w:style w:type="paragraph" w:styleId="NoSpacing">
    <w:name w:val="No Spacing"/>
    <w:basedOn w:val="Normal"/>
    <w:uiPriority w:val="1"/>
    <w:qFormat/>
    <w:rsid w:val="00cd6e45"/>
    <w:pPr>
      <w:spacing w:lineRule="auto" w:line="360"/>
    </w:pPr>
    <w:rPr>
      <w:rFonts w:eastAsia="Calibri" w:cs="Times New Roman"/>
      <w:szCs w:val="24"/>
      <w:lang w:eastAsia="ru-RU"/>
    </w:rPr>
  </w:style>
  <w:style w:type="paragraph" w:styleId="Subtitle">
    <w:name w:val="Subtitle"/>
    <w:basedOn w:val="Normal"/>
    <w:next w:val="Normal"/>
    <w:link w:val="Style11"/>
    <w:uiPriority w:val="11"/>
    <w:qFormat/>
    <w:rsid w:val="00cd6e45"/>
    <w:pPr>
      <w:ind w:left="1066" w:firstLine="709"/>
    </w:pPr>
    <w:rPr>
      <w:rFonts w:ascii="Cambria" w:hAnsi="Cambria" w:eastAsia="Times New Roman" w:cs="Times New Roman"/>
      <w:i/>
      <w:iCs/>
      <w:color w:val="4F81BD"/>
      <w:spacing w:val="15"/>
      <w:szCs w:val="24"/>
      <w:lang w:val="x-none" w:eastAsia="x-none"/>
    </w:rPr>
  </w:style>
  <w:style w:type="paragraph" w:styleId="ListParagraph">
    <w:name w:val="List Paragraph"/>
    <w:basedOn w:val="Normal"/>
    <w:link w:val="Style14"/>
    <w:uiPriority w:val="99"/>
    <w:qFormat/>
    <w:rsid w:val="00cd6e45"/>
    <w:pPr>
      <w:spacing w:before="0" w:after="0"/>
      <w:ind w:left="720" w:hanging="0"/>
      <w:contextualSpacing/>
    </w:pPr>
    <w:rPr>
      <w:rFonts w:eastAsia="Calibri" w:cs="Times New Roman"/>
      <w:szCs w:val="24"/>
      <w:lang w:eastAsia="ru-RU"/>
    </w:rPr>
  </w:style>
  <w:style w:type="paragraph" w:styleId="Quote">
    <w:name w:val="Quote"/>
    <w:basedOn w:val="Normal"/>
    <w:next w:val="Normal"/>
    <w:link w:val="23"/>
    <w:uiPriority w:val="29"/>
    <w:qFormat/>
    <w:rsid w:val="00cd6e45"/>
    <w:pPr/>
    <w:rPr>
      <w:rFonts w:ascii="Calibri" w:hAnsi="Calibri" w:eastAsia="Calibri" w:cs="Times New Roman"/>
      <w:i/>
      <w:iCs/>
      <w:color w:val="000000"/>
      <w:sz w:val="20"/>
      <w:szCs w:val="20"/>
      <w:lang w:val="x-none" w:eastAsia="x-none"/>
    </w:rPr>
  </w:style>
  <w:style w:type="paragraph" w:styleId="IntenseQuote">
    <w:name w:val="Intense Quote"/>
    <w:basedOn w:val="Normal"/>
    <w:next w:val="Normal"/>
    <w:link w:val="Style12"/>
    <w:uiPriority w:val="30"/>
    <w:qFormat/>
    <w:rsid w:val="00cd6e45"/>
    <w:pPr>
      <w:pBdr>
        <w:bottom w:val="single" w:sz="4" w:space="4" w:color="4F81BD"/>
      </w:pBdr>
      <w:spacing w:before="200" w:after="280"/>
      <w:ind w:left="936" w:right="936" w:hanging="0"/>
    </w:pPr>
    <w:rPr>
      <w:rFonts w:ascii="Calibri" w:hAnsi="Calibri" w:eastAsia="Calibri" w:cs="Times New Roman"/>
      <w:b/>
      <w:bCs/>
      <w:i/>
      <w:iCs/>
      <w:color w:val="4F81BD"/>
      <w:sz w:val="20"/>
      <w:szCs w:val="20"/>
      <w:lang w:val="x-none" w:eastAsia="x-none"/>
    </w:rPr>
  </w:style>
  <w:style w:type="paragraph" w:styleId="IndexHeading">
    <w:name w:val="Index Heading"/>
    <w:basedOn w:val="Style20"/>
    <w:pPr/>
    <w:rPr/>
  </w:style>
  <w:style w:type="paragraph" w:styleId="TOCHeading">
    <w:name w:val="TOC Heading"/>
    <w:basedOn w:val="Heading1"/>
    <w:next w:val="Normal"/>
    <w:uiPriority w:val="39"/>
    <w:qFormat/>
    <w:rsid w:val="00cd6e45"/>
    <w:pPr>
      <w:keepLines/>
      <w:tabs>
        <w:tab w:val="clear" w:pos="0"/>
        <w:tab w:val="left" w:pos="709" w:leader="none"/>
      </w:tabs>
      <w:spacing w:before="480" w:after="0"/>
      <w:ind w:left="3196" w:hanging="360"/>
      <w:outlineLvl w:val="9"/>
    </w:pPr>
    <w:rPr>
      <w:rFonts w:ascii="Cambria" w:hAnsi="Cambria"/>
      <w:bCs/>
      <w:color w:val="365F91"/>
    </w:rPr>
  </w:style>
  <w:style w:type="paragraph" w:styleId="E-mailSignature">
    <w:name w:val="E-mail Signature"/>
    <w:basedOn w:val="Normal"/>
    <w:link w:val="Style13"/>
    <w:uiPriority w:val="99"/>
    <w:unhideWhenUsed/>
    <w:qFormat/>
    <w:rsid w:val="00cd6e45"/>
    <w:pPr/>
    <w:rPr>
      <w:rFonts w:eastAsia="Calibri" w:cs="Times New Roman"/>
      <w:szCs w:val="24"/>
      <w:lang w:val="x-none" w:eastAsia="x-none"/>
    </w:rPr>
  </w:style>
  <w:style w:type="paragraph" w:styleId="Style31" w:customStyle="1">
    <w:name w:val="Знак"/>
    <w:basedOn w:val="Normal"/>
    <w:qFormat/>
    <w:rsid w:val="00cd6e45"/>
    <w:pPr>
      <w:spacing w:lineRule="exact" w:line="240" w:before="0" w:after="160"/>
    </w:pPr>
    <w:rPr>
      <w:rFonts w:ascii="Verdana" w:hAnsi="Verdana" w:eastAsia="Times New Roman" w:cs="Verdana"/>
      <w:sz w:val="20"/>
      <w:szCs w:val="20"/>
      <w:lang w:val="en-US"/>
    </w:rPr>
  </w:style>
  <w:style w:type="paragraph" w:styleId="35" w:customStyle="1">
    <w:name w:val="Нумерованный список ур3"/>
    <w:basedOn w:val="Normal"/>
    <w:qFormat/>
    <w:rsid w:val="00cd6e45"/>
    <w:pPr>
      <w:numPr>
        <w:ilvl w:val="2"/>
        <w:numId w:val="3"/>
      </w:numPr>
      <w:jc w:val="both"/>
    </w:pPr>
    <w:rPr>
      <w:rFonts w:ascii="Garamond" w:hAnsi="Garamond" w:eastAsia="Times New Roman" w:cs="Times New Roman"/>
      <w:szCs w:val="20"/>
      <w:lang w:eastAsia="ru-RU"/>
    </w:rPr>
  </w:style>
  <w:style w:type="paragraph" w:styleId="311" w:customStyle="1">
    <w:name w:val="Список 31"/>
    <w:basedOn w:val="Normal"/>
    <w:qFormat/>
    <w:rsid w:val="00cd6e45"/>
    <w:pPr>
      <w:numPr>
        <w:ilvl w:val="0"/>
        <w:numId w:val="3"/>
      </w:numPr>
      <w:spacing w:before="120" w:after="0"/>
      <w:jc w:val="both"/>
    </w:pPr>
    <w:rPr>
      <w:rFonts w:ascii="Garamond" w:hAnsi="Garamond" w:eastAsia="Times New Roman" w:cs="Times New Roman"/>
      <w:szCs w:val="20"/>
      <w:lang w:eastAsia="ru-RU"/>
    </w:rPr>
  </w:style>
  <w:style w:type="paragraph" w:styleId="28" w:customStyle="1">
    <w:name w:val="Нумерованный список ур2"/>
    <w:basedOn w:val="Normal"/>
    <w:qFormat/>
    <w:rsid w:val="00cd6e45"/>
    <w:pPr>
      <w:numPr>
        <w:ilvl w:val="1"/>
        <w:numId w:val="3"/>
      </w:numPr>
      <w:spacing w:before="120" w:after="0"/>
      <w:jc w:val="both"/>
    </w:pPr>
    <w:rPr>
      <w:rFonts w:ascii="Garamond" w:hAnsi="Garamond" w:eastAsia="Times New Roman" w:cs="Times New Roman"/>
      <w:szCs w:val="20"/>
      <w:lang w:eastAsia="ru-RU"/>
    </w:rPr>
  </w:style>
  <w:style w:type="paragraph" w:styleId="Revision">
    <w:name w:val="Revision"/>
    <w:uiPriority w:val="99"/>
    <w:semiHidden/>
    <w:qFormat/>
    <w:rsid w:val="00cd6e45"/>
    <w:pPr>
      <w:widowControl/>
      <w:suppressAutoHyphens w:val="true"/>
      <w:bidi w:val="0"/>
      <w:spacing w:before="0" w:after="0"/>
      <w:jc w:val="left"/>
    </w:pPr>
    <w:rPr>
      <w:rFonts w:ascii="Times New Roman" w:hAnsi="Times New Roman" w:cs="Times New Roman" w:eastAsia="Calibri" w:eastAsiaTheme="minorHAnsi"/>
      <w:color w:val="auto"/>
      <w:kern w:val="0"/>
      <w:sz w:val="24"/>
      <w:szCs w:val="24"/>
      <w:lang w:eastAsia="ru-RU" w:val="ru-RU" w:bidi="ar-SA"/>
    </w:rPr>
  </w:style>
  <w:style w:type="paragraph" w:styleId="ConsPlusNormal" w:customStyle="1">
    <w:name w:val="ConsPlusNormal"/>
    <w:qFormat/>
    <w:rsid w:val="00cd6e45"/>
    <w:pPr>
      <w:widowControl w:val="false"/>
      <w:suppressAutoHyphens w:val="true"/>
      <w:bidi w:val="0"/>
      <w:spacing w:before="0" w:after="0"/>
      <w:ind w:firstLine="720"/>
      <w:jc w:val="left"/>
    </w:pPr>
    <w:rPr>
      <w:rFonts w:ascii="Arial" w:hAnsi="Arial" w:eastAsia="Times New Roman" w:cs="Arial"/>
      <w:color w:val="auto"/>
      <w:kern w:val="0"/>
      <w:sz w:val="20"/>
      <w:szCs w:val="20"/>
      <w:lang w:eastAsia="ru-RU" w:val="ru-RU" w:bidi="ar-SA"/>
    </w:rPr>
  </w:style>
  <w:style w:type="paragraph" w:styleId="36" w:customStyle="1">
    <w:name w:val="Знак Знак3 Знак Знак"/>
    <w:basedOn w:val="Normal"/>
    <w:qFormat/>
    <w:rsid w:val="00cd6e45"/>
    <w:pPr>
      <w:spacing w:lineRule="exact" w:line="240" w:before="0" w:after="160"/>
      <w:jc w:val="both"/>
    </w:pPr>
    <w:rPr>
      <w:rFonts w:ascii="Verdana" w:hAnsi="Verdana" w:eastAsia="Times New Roman" w:cs="Verdana"/>
      <w:sz w:val="22"/>
      <w:lang w:val="en-US"/>
    </w:rPr>
  </w:style>
  <w:style w:type="paragraph" w:styleId="Style32" w:customStyle="1">
    <w:name w:val="Пункт"/>
    <w:basedOn w:val="Normal"/>
    <w:qFormat/>
    <w:rsid w:val="00cd6e45"/>
    <w:pPr>
      <w:widowControl w:val="false"/>
      <w:tabs>
        <w:tab w:val="clear" w:pos="708"/>
        <w:tab w:val="left" w:pos="1134" w:leader="none"/>
      </w:tabs>
      <w:spacing w:lineRule="auto" w:line="360" w:before="120" w:after="0"/>
      <w:ind w:left="1134" w:right="800" w:hanging="1134"/>
      <w:jc w:val="both"/>
    </w:pPr>
    <w:rPr>
      <w:rFonts w:ascii="Arial" w:hAnsi="Arial" w:eastAsia="Times New Roman" w:cs="Times New Roman"/>
      <w:b/>
      <w:i/>
      <w:sz w:val="28"/>
      <w:szCs w:val="20"/>
      <w:lang w:eastAsia="ru-RU"/>
    </w:rPr>
  </w:style>
  <w:style w:type="paragraph" w:styleId="19" w:customStyle="1">
    <w:name w:val="Абзац списка1"/>
    <w:basedOn w:val="Normal"/>
    <w:qFormat/>
    <w:rsid w:val="00cd6e45"/>
    <w:pPr>
      <w:spacing w:lineRule="auto" w:line="276" w:before="0" w:after="200"/>
      <w:ind w:left="720" w:hanging="0"/>
      <w:contextualSpacing/>
    </w:pPr>
    <w:rPr>
      <w:rFonts w:ascii="Calibri" w:hAnsi="Calibri" w:eastAsia="Times New Roman" w:cs="Times New Roman"/>
      <w:sz w:val="22"/>
    </w:rPr>
  </w:style>
  <w:style w:type="paragraph" w:styleId="Style33" w:customStyle="1">
    <w:name w:val="Таблица"/>
    <w:basedOn w:val="Normal"/>
    <w:qFormat/>
    <w:rsid w:val="00cd6e45"/>
    <w:pPr>
      <w:keepNext w:val="true"/>
      <w:spacing w:before="60" w:after="60"/>
      <w:jc w:val="center"/>
    </w:pPr>
    <w:rPr>
      <w:rFonts w:eastAsia="Calibri" w:cs="Times New Roman"/>
      <w:b/>
      <w:szCs w:val="24"/>
      <w:lang w:val="x-none" w:eastAsia="x-none"/>
    </w:rPr>
  </w:style>
  <w:style w:type="paragraph" w:styleId="Style34" w:customStyle="1">
    <w:name w:val="Подподпункт"/>
    <w:basedOn w:val="Style27"/>
    <w:link w:val="Style15"/>
    <w:qFormat/>
    <w:rsid w:val="00cd6e45"/>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5" w:customStyle="1">
    <w:name w:val="УРОВЕНЬ_(а)"/>
    <w:basedOn w:val="ListParagraph"/>
    <w:qFormat/>
    <w:rsid w:val="00cd6e45"/>
    <w:pPr>
      <w:numPr>
        <w:ilvl w:val="3"/>
        <w:numId w:val="4"/>
      </w:numPr>
      <w:spacing w:lineRule="exact" w:line="360" w:before="120" w:after="0"/>
      <w:ind w:left="1728" w:hanging="648"/>
      <w:contextualSpacing w:val="false"/>
      <w:jc w:val="both"/>
      <w:outlineLvl w:val="3"/>
    </w:pPr>
    <w:rPr>
      <w:sz w:val="26"/>
      <w:szCs w:val="28"/>
      <w:lang w:eastAsia="en-US"/>
    </w:rPr>
  </w:style>
  <w:style w:type="paragraph" w:styleId="-" w:customStyle="1">
    <w:name w:val="УРОВЕНЬ_-"/>
    <w:basedOn w:val="ListParagraph"/>
    <w:qFormat/>
    <w:rsid w:val="00cd6e45"/>
    <w:pPr>
      <w:numPr>
        <w:ilvl w:val="4"/>
        <w:numId w:val="4"/>
      </w:numPr>
      <w:spacing w:lineRule="exact" w:line="360" w:before="120" w:after="0"/>
      <w:ind w:left="2232" w:hanging="792"/>
      <w:contextualSpacing w:val="false"/>
      <w:jc w:val="both"/>
      <w:outlineLvl w:val="4"/>
    </w:pPr>
    <w:rPr>
      <w:sz w:val="26"/>
      <w:szCs w:val="28"/>
      <w:lang w:eastAsia="en-US"/>
    </w:rPr>
  </w:style>
  <w:style w:type="paragraph" w:styleId="29" w:customStyle="1">
    <w:name w:val="УРОВЕНЬ_Абзац_тип2"/>
    <w:basedOn w:val="ListParagraph"/>
    <w:qFormat/>
    <w:rsid w:val="00cd6e45"/>
    <w:pPr>
      <w:numPr>
        <w:ilvl w:val="6"/>
        <w:numId w:val="4"/>
      </w:numPr>
      <w:spacing w:lineRule="exact" w:line="360" w:before="120" w:after="0"/>
      <w:ind w:left="3240" w:hanging="1080"/>
      <w:contextualSpacing w:val="false"/>
      <w:jc w:val="both"/>
    </w:pPr>
    <w:rPr>
      <w:sz w:val="26"/>
      <w:szCs w:val="28"/>
      <w:lang w:eastAsia="en-US"/>
    </w:rPr>
  </w:style>
  <w:style w:type="paragraph" w:styleId="37" w:customStyle="1">
    <w:name w:val="УРОВЕНЬ_Абзац_тип3"/>
    <w:basedOn w:val="ListParagraph"/>
    <w:link w:val="33"/>
    <w:qFormat/>
    <w:rsid w:val="00cd6e45"/>
    <w:pPr>
      <w:numPr>
        <w:ilvl w:val="7"/>
        <w:numId w:val="4"/>
      </w:numPr>
      <w:spacing w:lineRule="exact" w:line="360" w:before="120" w:after="0"/>
      <w:contextualSpacing w:val="false"/>
      <w:jc w:val="both"/>
    </w:pPr>
    <w:rPr>
      <w:sz w:val="26"/>
      <w:szCs w:val="28"/>
      <w:lang w:eastAsia="en-US"/>
    </w:rPr>
  </w:style>
  <w:style w:type="paragraph" w:styleId="Style36" w:customStyle="1">
    <w:name w:val="УРОВЕНЬ_Подпись"/>
    <w:basedOn w:val="ListParagraph"/>
    <w:qFormat/>
    <w:rsid w:val="00cd6e45"/>
    <w:pPr>
      <w:keepNext w:val="true"/>
      <w:numPr>
        <w:ilvl w:val="5"/>
        <w:numId w:val="4"/>
      </w:numPr>
      <w:spacing w:lineRule="exact" w:line="360" w:before="120" w:after="120"/>
      <w:ind w:left="2736" w:hanging="936"/>
      <w:contextualSpacing w:val="false"/>
      <w:jc w:val="right"/>
      <w:outlineLvl w:val="3"/>
    </w:pPr>
    <w:rPr>
      <w:sz w:val="26"/>
      <w:szCs w:val="28"/>
      <w:lang w:eastAsia="en-US"/>
    </w:rPr>
  </w:style>
  <w:style w:type="paragraph" w:styleId="110" w:customStyle="1">
    <w:name w:val="Стиль Заголовок 1 + по ширине"/>
    <w:basedOn w:val="Heading1"/>
    <w:qFormat/>
    <w:rsid w:val="00cd6e45"/>
    <w:pPr>
      <w:keepLines/>
      <w:tabs>
        <w:tab w:val="clear" w:pos="0"/>
        <w:tab w:val="left" w:pos="567" w:leader="none"/>
        <w:tab w:val="left" w:pos="709"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6"/>
    <w:rsid w:val="00cd6e45"/>
    <w:pPr/>
    <w:rPr>
      <w:rFonts w:eastAsia="Times New Roman" w:cs="Times New Roman"/>
      <w:sz w:val="20"/>
      <w:szCs w:val="20"/>
      <w:lang w:eastAsia="ru-RU"/>
    </w:rPr>
  </w:style>
  <w:style w:type="paragraph" w:styleId="210" w:customStyle="1">
    <w:name w:val="Заголовок 2 КВВ"/>
    <w:basedOn w:val="Normal"/>
    <w:qFormat/>
    <w:rsid w:val="00cd6e45"/>
    <w:pPr>
      <w:keepNext w:val="true"/>
      <w:numPr>
        <w:ilvl w:val="0"/>
        <w:numId w:val="5"/>
      </w:numPr>
      <w:spacing w:before="120" w:after="120"/>
      <w:jc w:val="both"/>
      <w:outlineLvl w:val="0"/>
    </w:pPr>
    <w:rPr>
      <w:rFonts w:eastAsia="Times New Roman" w:cs="Times New Roman"/>
      <w:b/>
      <w:kern w:val="2"/>
      <w:szCs w:val="20"/>
      <w:lang w:eastAsia="x-none"/>
    </w:rPr>
  </w:style>
  <w:style w:type="paragraph" w:styleId="Style37" w:customStyle="1">
    <w:name w:val="Таблица текст"/>
    <w:basedOn w:val="Normal"/>
    <w:qFormat/>
    <w:rsid w:val="00cd6e45"/>
    <w:pPr>
      <w:spacing w:before="40" w:after="40"/>
      <w:ind w:left="57" w:right="57" w:hanging="0"/>
    </w:pPr>
    <w:rPr>
      <w:rFonts w:eastAsia="Times New Roman" w:cs="Times New Roman"/>
      <w:szCs w:val="26"/>
      <w:lang w:eastAsia="ru-RU"/>
    </w:rPr>
  </w:style>
  <w:style w:type="paragraph" w:styleId="NormalWeb">
    <w:name w:val="Normal (Web)"/>
    <w:basedOn w:val="Normal"/>
    <w:uiPriority w:val="99"/>
    <w:unhideWhenUsed/>
    <w:qFormat/>
    <w:rsid w:val="00cd6e45"/>
    <w:pPr>
      <w:spacing w:beforeAutospacing="1" w:afterAutospacing="1"/>
    </w:pPr>
    <w:rPr>
      <w:rFonts w:eastAsia="Times New Roman" w:cs="Times New Roman"/>
      <w:szCs w:val="24"/>
      <w:lang w:eastAsia="ru-RU"/>
    </w:rPr>
  </w:style>
  <w:style w:type="paragraph" w:styleId="111" w:customStyle="1">
    <w:name w:val="УРОВЕНЬ_1."/>
    <w:basedOn w:val="ListParagraph"/>
    <w:link w:val="13"/>
    <w:qFormat/>
    <w:rsid w:val="00cd6e45"/>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cd6e45"/>
    <w:pPr>
      <w:ind w:left="1120" w:hanging="0"/>
    </w:pPr>
    <w:rPr>
      <w:rFonts w:ascii="Calibri" w:hAnsi="Calibri" w:eastAsia="Times New Roman" w:cs="Calibri" w:asciiTheme="minorHAnsi" w:cstheme="minorHAnsi" w:hAnsiTheme="minorHAnsi"/>
      <w:sz w:val="20"/>
      <w:szCs w:val="20"/>
      <w:lang w:eastAsia="ru-RU"/>
    </w:rPr>
  </w:style>
  <w:style w:type="paragraph" w:styleId="TOC7">
    <w:name w:val="TOC 7"/>
    <w:basedOn w:val="Normal"/>
    <w:next w:val="Normal"/>
    <w:autoRedefine/>
    <w:unhideWhenUsed/>
    <w:rsid w:val="00cd6e45"/>
    <w:pPr>
      <w:ind w:left="1400" w:hanging="0"/>
    </w:pPr>
    <w:rPr>
      <w:rFonts w:ascii="Calibri" w:hAnsi="Calibri" w:eastAsia="Times New Roman" w:cs="Calibri" w:asciiTheme="minorHAnsi" w:cstheme="minorHAnsi" w:hAnsiTheme="minorHAnsi"/>
      <w:sz w:val="20"/>
      <w:szCs w:val="20"/>
      <w:lang w:eastAsia="ru-RU"/>
    </w:rPr>
  </w:style>
  <w:style w:type="paragraph" w:styleId="TOC8">
    <w:name w:val="TOC 8"/>
    <w:basedOn w:val="Normal"/>
    <w:next w:val="Normal"/>
    <w:autoRedefine/>
    <w:unhideWhenUsed/>
    <w:rsid w:val="00cd6e45"/>
    <w:pPr>
      <w:ind w:left="1680" w:hanging="0"/>
    </w:pPr>
    <w:rPr>
      <w:rFonts w:ascii="Calibri" w:hAnsi="Calibri" w:eastAsia="Times New Roman" w:cs="Calibri" w:asciiTheme="minorHAnsi" w:cstheme="minorHAnsi" w:hAnsiTheme="minorHAnsi"/>
      <w:sz w:val="20"/>
      <w:szCs w:val="20"/>
      <w:lang w:eastAsia="ru-RU"/>
    </w:rPr>
  </w:style>
  <w:style w:type="paragraph" w:styleId="Style38" w:customStyle="1">
    <w:name w:val="Знак Знак Знак Знак"/>
    <w:basedOn w:val="Normal"/>
    <w:qFormat/>
    <w:rsid w:val="00e82248"/>
    <w:pPr>
      <w:spacing w:lineRule="exact" w:line="240" w:before="0" w:after="160"/>
    </w:pPr>
    <w:rPr>
      <w:rFonts w:ascii="Verdana" w:hAnsi="Verdana" w:eastAsia="Times New Roman" w:cs="Verdana"/>
      <w:sz w:val="20"/>
      <w:szCs w:val="20"/>
      <w:lang w:val="en-US"/>
    </w:rPr>
  </w:style>
  <w:style w:type="paragraph" w:styleId="-1" w:customStyle="1">
    <w:name w:val="Контракт-раздел"/>
    <w:basedOn w:val="Normal"/>
    <w:qFormat/>
    <w:rsid w:val="00cd6e45"/>
    <w:pPr>
      <w:keepNext w:val="true"/>
      <w:keepLines/>
      <w:tabs>
        <w:tab w:val="clear" w:pos="708"/>
        <w:tab w:val="left" w:pos="0" w:leader="none"/>
        <w:tab w:val="left" w:pos="567" w:leader="none"/>
      </w:tabs>
      <w:spacing w:before="240" w:after="120"/>
      <w:jc w:val="center"/>
      <w:outlineLvl w:val="2"/>
    </w:pPr>
    <w:rPr>
      <w:rFonts w:eastAsia="Times New Roman" w:cs="Times New Roman"/>
      <w:b/>
      <w:bCs/>
      <w:caps/>
      <w:szCs w:val="28"/>
      <w:lang w:eastAsia="ru-RU"/>
    </w:rPr>
  </w:style>
  <w:style w:type="paragraph" w:styleId="-2" w:customStyle="1">
    <w:name w:val="Контракт-пункт"/>
    <w:basedOn w:val="Normal"/>
    <w:qFormat/>
    <w:rsid w:val="00cd6e45"/>
    <w:pPr>
      <w:tabs>
        <w:tab w:val="clear" w:pos="708"/>
        <w:tab w:val="left" w:pos="1391" w:leader="none"/>
      </w:tabs>
      <w:ind w:left="1391" w:hanging="851"/>
    </w:pPr>
    <w:rPr>
      <w:rFonts w:eastAsia="Times New Roman" w:cs="Times New Roman"/>
      <w:szCs w:val="28"/>
      <w:lang w:eastAsia="ru-RU"/>
    </w:rPr>
  </w:style>
  <w:style w:type="paragraph" w:styleId="112" w:customStyle="1">
    <w:name w:val="Обычный1"/>
    <w:qFormat/>
    <w:rsid w:val="00cd6e45"/>
    <w:pPr>
      <w:widowControl w:val="false"/>
      <w:suppressAutoHyphens w:val="true"/>
      <w:bidi w:val="0"/>
      <w:spacing w:lineRule="auto" w:line="300" w:before="0" w:after="0"/>
      <w:ind w:left="600" w:hanging="0"/>
      <w:jc w:val="left"/>
    </w:pPr>
    <w:rPr>
      <w:rFonts w:ascii="Times New Roman" w:hAnsi="Times New Roman" w:eastAsia="Times New Roman" w:cs="Times New Roman"/>
      <w:color w:val="auto"/>
      <w:kern w:val="0"/>
      <w:sz w:val="28"/>
      <w:szCs w:val="20"/>
      <w:lang w:eastAsia="ru-RU" w:val="ru-RU" w:bidi="ar-SA"/>
    </w:rPr>
  </w:style>
  <w:style w:type="paragraph" w:styleId="Style39" w:customStyle="1">
    <w:name w:val="Пункт договора"/>
    <w:basedOn w:val="Normal"/>
    <w:qFormat/>
    <w:rsid w:val="00cd6e45"/>
    <w:pPr>
      <w:widowControl w:val="false"/>
      <w:jc w:val="both"/>
    </w:pPr>
    <w:rPr>
      <w:rFonts w:ascii="Arial" w:hAnsi="Arial" w:eastAsia="Times New Roman" w:cs="Times New Roman"/>
      <w:sz w:val="20"/>
      <w:szCs w:val="20"/>
      <w:lang w:eastAsia="ru-RU"/>
    </w:rPr>
  </w:style>
  <w:style w:type="paragraph" w:styleId="Style40" w:customStyle="1">
    <w:name w:val="Подпункт договора"/>
    <w:basedOn w:val="Normal"/>
    <w:qFormat/>
    <w:rsid w:val="00cd6e45"/>
    <w:pPr>
      <w:tabs>
        <w:tab w:val="clear" w:pos="708"/>
        <w:tab w:val="left" w:pos="360" w:leader="none"/>
      </w:tabs>
      <w:jc w:val="both"/>
    </w:pPr>
    <w:rPr>
      <w:rFonts w:ascii="Arial" w:hAnsi="Arial" w:eastAsia="Times New Roman" w:cs="Times New Roman"/>
      <w:sz w:val="20"/>
      <w:szCs w:val="20"/>
      <w:lang w:eastAsia="ru-RU"/>
    </w:rPr>
  </w:style>
  <w:style w:type="paragraph" w:styleId="BodyText21" w:customStyle="1">
    <w:name w:val="Body Text 21"/>
    <w:basedOn w:val="Normal"/>
    <w:qFormat/>
    <w:rsid w:val="00cd6e45"/>
    <w:pPr>
      <w:ind w:firstLine="709"/>
      <w:jc w:val="both"/>
    </w:pPr>
    <w:rPr>
      <w:rFonts w:eastAsia="Times New Roman" w:cs="Times New Roman"/>
      <w:szCs w:val="20"/>
      <w:lang w:eastAsia="ru-RU"/>
    </w:rPr>
  </w:style>
  <w:style w:type="paragraph" w:styleId="Style41" w:customStyle="1">
    <w:name w:val="Обычный+ без отступа"/>
    <w:basedOn w:val="Normal"/>
    <w:uiPriority w:val="99"/>
    <w:qFormat/>
    <w:rsid w:val="00cd6e45"/>
    <w:pPr>
      <w:spacing w:lineRule="auto" w:line="360" w:before="120" w:after="0"/>
      <w:jc w:val="both"/>
    </w:pPr>
    <w:rPr>
      <w:rFonts w:eastAsia="MS Mincho" w:cs="Times New Roman"/>
      <w:sz w:val="28"/>
      <w:szCs w:val="28"/>
      <w:lang w:eastAsia="ru-RU"/>
    </w:rPr>
  </w:style>
  <w:style w:type="paragraph" w:styleId="211" w:customStyle="1">
    <w:name w:val="Обычный2"/>
    <w:qFormat/>
    <w:rsid w:val="00003389"/>
    <w:pPr>
      <w:widowControl w:val="false"/>
      <w:suppressAutoHyphens w:val="true"/>
      <w:bidi w:val="0"/>
      <w:spacing w:lineRule="auto" w:line="300" w:before="0" w:after="0"/>
      <w:ind w:left="600" w:hanging="0"/>
      <w:jc w:val="left"/>
    </w:pPr>
    <w:rPr>
      <w:rFonts w:ascii="Times New Roman" w:hAnsi="Times New Roman" w:eastAsia="Times New Roman" w:cs="Times New Roman"/>
      <w:color w:val="auto"/>
      <w:kern w:val="0"/>
      <w:sz w:val="28"/>
      <w:szCs w:val="20"/>
      <w:lang w:eastAsia="ru-RU" w:val="ru-RU" w:bidi="ar-SA"/>
    </w:rPr>
  </w:style>
  <w:style w:type="paragraph" w:styleId="PlainText">
    <w:name w:val="Plain Text"/>
    <w:basedOn w:val="Normal"/>
    <w:link w:val="Style18"/>
    <w:uiPriority w:val="99"/>
    <w:unhideWhenUsed/>
    <w:qFormat/>
    <w:rsid w:val="00003389"/>
    <w:pPr/>
    <w:rPr>
      <w:rFonts w:ascii="Calibri" w:hAnsi="Calibri" w:eastAsia="Calibri" w:cs="Times New Roman"/>
      <w:sz w:val="22"/>
      <w:szCs w:val="21"/>
      <w:lang w:val="x-none"/>
    </w:rPr>
  </w:style>
  <w:style w:type="paragraph" w:styleId="Txt1" w:customStyle="1">
    <w:name w:val="txt1"/>
    <w:basedOn w:val="Normal"/>
    <w:qFormat/>
    <w:rsid w:val="00003389"/>
    <w:pPr/>
    <w:rPr>
      <w:rFonts w:ascii="Calibri" w:hAnsi="Calibri" w:eastAsia="Times New Roman" w:cs="Times New Roman"/>
      <w:szCs w:val="24"/>
      <w:lang w:eastAsia="ru-RU"/>
    </w:rPr>
  </w:style>
  <w:style w:type="paragraph" w:styleId="Formattext" w:customStyle="1">
    <w:name w:val="formattext"/>
    <w:basedOn w:val="Normal"/>
    <w:qFormat/>
    <w:rsid w:val="00003389"/>
    <w:pPr>
      <w:spacing w:beforeAutospacing="1" w:afterAutospacing="1"/>
    </w:pPr>
    <w:rPr>
      <w:rFonts w:eastAsia="Times New Roman" w:cs="Times New Roman"/>
      <w:szCs w:val="24"/>
      <w:lang w:eastAsia="ru-RU"/>
    </w:rPr>
  </w:style>
  <w:style w:type="paragraph" w:styleId="38" w:customStyle="1">
    <w:name w:val="Обычный3"/>
    <w:qFormat/>
    <w:rsid w:val="004900e5"/>
    <w:pPr>
      <w:widowControl w:val="false"/>
      <w:suppressAutoHyphens w:val="true"/>
      <w:bidi w:val="0"/>
      <w:spacing w:lineRule="auto" w:line="300" w:before="0" w:after="0"/>
      <w:ind w:left="600" w:hanging="0"/>
      <w:jc w:val="left"/>
    </w:pPr>
    <w:rPr>
      <w:rFonts w:ascii="Times New Roman" w:hAnsi="Times New Roman" w:eastAsia="Times New Roman" w:cs="Times New Roman"/>
      <w:color w:val="auto"/>
      <w:kern w:val="0"/>
      <w:sz w:val="28"/>
      <w:szCs w:val="20"/>
      <w:lang w:eastAsia="ru-RU" w:val="ru-RU" w:bidi="ar-SA"/>
    </w:rPr>
  </w:style>
  <w:style w:type="paragraph" w:styleId="Style42" w:customStyle="1">
    <w:name w:val="Содержимое таблицы"/>
    <w:basedOn w:val="Normal"/>
    <w:uiPriority w:val="1"/>
    <w:qFormat/>
    <w:pPr>
      <w:widowControl w:val="false"/>
      <w:suppressLineNumbers/>
    </w:pPr>
    <w:rPr/>
  </w:style>
  <w:style w:type="paragraph" w:styleId="Style43" w:customStyle="1">
    <w:name w:val="Заголовок таблицы"/>
    <w:basedOn w:val="Style42"/>
    <w:qFormat/>
    <w:pPr>
      <w:jc w:val="center"/>
    </w:pPr>
    <w:rPr>
      <w:b/>
      <w:bCs/>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0"/>
      <w:sz w:val="24"/>
      <w:szCs w:val="22"/>
      <w:lang w:val="ru-RU" w:eastAsia="en-US" w:bidi="ar-SA"/>
    </w:rPr>
  </w:style>
  <w:style w:type="paragraph" w:styleId="41" w:customStyle="1">
    <w:name w:val="Обычный4"/>
    <w:qFormat/>
    <w:rsid w:val="00947615"/>
    <w:pPr>
      <w:widowControl/>
      <w:pBdr/>
      <w:suppressAutoHyphens w:val="true"/>
      <w:bidi w:val="0"/>
      <w:spacing w:before="0" w:after="0"/>
      <w:jc w:val="left"/>
      <w:textAlignment w:val="baseline"/>
    </w:pPr>
    <w:rPr>
      <w:rFonts w:ascii="Times New Roman" w:hAnsi="Times New Roman" w:eastAsia="Times New Roman" w:cs="Times New Roman"/>
      <w:color w:val="auto"/>
      <w:kern w:val="0"/>
      <w:sz w:val="24"/>
      <w:szCs w:val="22"/>
      <w:lang w:val="ru-RU" w:eastAsia="en-US" w:bidi="ar-SA"/>
    </w:rPr>
  </w:style>
  <w:style w:type="paragraph" w:styleId="1706" w:customStyle="1">
    <w:name w:val="1706"/>
    <w:basedOn w:val="Normal"/>
    <w:qFormat/>
    <w:rsid w:val="00b14d2a"/>
    <w:pPr>
      <w:suppressAutoHyphens w:val="false"/>
      <w:spacing w:beforeAutospacing="1" w:afterAutospacing="1"/>
    </w:pPr>
    <w:rPr>
      <w:rFonts w:eastAsia="Times New Roman" w:cs="Times New Roman"/>
      <w:szCs w:val="24"/>
      <w:lang w:eastAsia="ru-RU"/>
    </w:rPr>
  </w:style>
  <w:style w:type="paragraph" w:styleId="1246" w:customStyle="1">
    <w:name w:val="1246"/>
    <w:basedOn w:val="Normal"/>
    <w:qFormat/>
    <w:rsid w:val="00b14d2a"/>
    <w:pPr>
      <w:suppressAutoHyphens w:val="false"/>
      <w:spacing w:beforeAutospacing="1" w:afterAutospacing="1"/>
    </w:pPr>
    <w:rPr>
      <w:rFonts w:eastAsia="Times New Roman" w:cs="Times New Roman"/>
      <w:szCs w:val="24"/>
      <w:lang w:eastAsia="ru-RU"/>
    </w:rPr>
  </w:style>
  <w:style w:type="numbering" w:styleId="NoList" w:default="1">
    <w:name w:val="No List"/>
    <w:uiPriority w:val="99"/>
    <w:semiHidden/>
    <w:unhideWhenUsed/>
    <w:qFormat/>
  </w:style>
  <w:style w:type="numbering" w:styleId="113" w:customStyle="1">
    <w:name w:val="Стиль1"/>
    <w:uiPriority w:val="99"/>
    <w:qFormat/>
    <w:rsid w:val="00cd6e45"/>
  </w:style>
  <w:style w:type="numbering" w:styleId="212" w:customStyle="1">
    <w:name w:val="Стиль2"/>
    <w:uiPriority w:val="99"/>
    <w:qFormat/>
    <w:rsid w:val="00cd6e45"/>
  </w:style>
  <w:style w:type="numbering" w:styleId="114" w:customStyle="1">
    <w:name w:val="Нет списка1"/>
    <w:semiHidden/>
    <w:qFormat/>
    <w:rsid w:val="00cd6e45"/>
  </w:style>
  <w:style w:type="table" w:default="1" w:styleId="a5">
    <w:name w:val="Normal Table"/>
    <w:uiPriority w:val="99"/>
    <w:semiHidden/>
    <w:unhideWhenUsed/>
    <w:tblPr>
      <w:tblCellMar>
        <w:top w:w="0" w:type="dxa"/>
        <w:left w:w="108" w:type="dxa"/>
        <w:bottom w:w="0" w:type="dxa"/>
        <w:right w:w="108" w:type="dxa"/>
      </w:tblCellMar>
    </w:tblPr>
  </w:style>
  <w:style w:type="table" w:styleId="afffff">
    <w:name w:val="Table Grid"/>
    <w:basedOn w:val="a5"/>
    <w:rsid w:val="009c3b1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0">
    <w:name w:val="Сетка таблицы1"/>
    <w:basedOn w:val="a5"/>
    <w:uiPriority w:val="39"/>
    <w:rsid w:val="00cd6e45"/>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C020059-9A39-4ADD-8262-F4E51A9D6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Application>AlterOffice/2025.3.1.0$Linux_X86_64 LibreOffice_project/431cd1b79110582f53535c95ed0a2449aadc8bf9</Application>
  <AppVersion>15.0000</AppVersion>
  <Pages>16</Pages>
  <Words>4625</Words>
  <Characters>31370</Characters>
  <CharactersWithSpaces>34999</CharactersWithSpaces>
  <Paragraphs>995</Paragraphs>
  <Company>RusHydro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2026-07-22T09:15:00Z</dcterms:created>
  <dc:creator>Кочетов Сергей Владимирович</dc:creator>
  <dc:description/>
  <dc:language>ru-RU</dc:language>
  <cp:lastModifiedBy>Иванов Алексей Валентинович</cp:lastModifiedBy>
  <cp:lastPrinted>2023-05-16T09:29:00Z</cp:lastPrinted>
  <dcterms:modified xsi:type="dcterms:W3CDTF">2026-07-23T14:20:00Z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