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ind w:firstLine="567"/>
        <w:jc w:val="center"/>
        <w:rPr>
          <w:b/>
          <w:bCs/>
          <w:sz w:val="24"/>
          <w:szCs w:val="24"/>
        </w:rPr>
      </w:pPr>
      <w:r>
        <w:rPr>
          <w:b/>
          <w:bCs/>
          <w:sz w:val="24"/>
          <w:szCs w:val="24"/>
        </w:rPr>
        <w:t>Договор поставки №</w:t>
      </w:r>
      <w:r>
        <w:rPr/>
        <w:t xml:space="preserve"> </w:t>
      </w:r>
      <w:r>
        <w:rPr>
          <w:b/>
          <w:bCs/>
          <w:sz w:val="24"/>
          <w:szCs w:val="24"/>
        </w:rPr>
        <w:t xml:space="preserve">_ </w:t>
      </w:r>
    </w:p>
    <w:p>
      <w:pPr>
        <w:pStyle w:val="Normal"/>
        <w:shd w:val="clear" w:color="auto" w:fill="FFFFFF"/>
        <w:ind w:firstLine="567"/>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8"/>
          <w:tab w:val="right" w:pos="9639" w:leader="none"/>
        </w:tabs>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по результатам проведенной Покупателем конкурентной процедуры по лоту № ____________ и на основании протокола __________ от «___» _________ г. №_______,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rPr>
          <w:bCs/>
          <w:sz w:val="24"/>
          <w:szCs w:val="24"/>
        </w:rPr>
      </w:pPr>
      <w:r>
        <w:rPr>
          <w:bCs/>
          <w:sz w:val="24"/>
          <w:szCs w:val="24"/>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ТОРГ-2 «Акт об установленном расхождении по количеству и качеству при приемке товарно-материальных ценностей» и № ТОРГ</w:t>
      </w:r>
      <w:r>
        <w:rPr>
          <w:sz w:val="24"/>
          <w:szCs w:val="24"/>
        </w:rPr>
        <w:t>-</w:t>
      </w:r>
      <w:r>
        <w:rPr>
          <w:sz w:val="24"/>
          <w:szCs w:val="24"/>
          <w:lang w:eastAsia="en-US"/>
        </w:rPr>
        <w:t xml:space="preserve">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8"/>
          <w:tab w:val="left" w:pos="567" w:leader="none"/>
          <w:tab w:val="left" w:pos="1134" w:leader="none"/>
        </w:tabs>
        <w:overflowPunct w:val="tru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8"/>
          <w:tab w:val="left" w:pos="0" w:leader="none"/>
        </w:tabs>
        <w:overflowPunct w:val="true"/>
        <w:ind w:left="0" w:hanging="0"/>
        <w:jc w:val="both"/>
        <w:textAlignment w:val="baseline"/>
        <w:rPr>
          <w:b/>
          <w:sz w:val="24"/>
          <w:szCs w:val="24"/>
          <w:lang w:eastAsia="en-US"/>
        </w:rPr>
      </w:pPr>
      <w:r>
        <w:rPr>
          <w:b/>
          <w:sz w:val="24"/>
          <w:szCs w:val="24"/>
          <w:lang w:eastAsia="en-US"/>
        </w:rPr>
        <w:tab/>
        <w:t xml:space="preserve">«Национальный режим» - </w:t>
      </w:r>
      <w:r>
        <w:rPr>
          <w:sz w:val="24"/>
          <w:szCs w:val="24"/>
          <w:lang w:eastAsia="en-US"/>
        </w:rPr>
        <w:t>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8"/>
          <w:tab w:val="left" w:pos="0" w:leader="none"/>
        </w:tabs>
        <w:overflowPunct w:val="true"/>
        <w:ind w:left="0" w:hanging="0"/>
        <w:jc w:val="both"/>
        <w:textAlignment w:val="baseline"/>
        <w:rPr>
          <w:sz w:val="24"/>
          <w:szCs w:val="24"/>
          <w:lang w:eastAsia="en-US"/>
        </w:rPr>
      </w:pPr>
      <w:r>
        <w:rPr>
          <w:b/>
          <w:sz w:val="24"/>
          <w:szCs w:val="24"/>
          <w:lang w:eastAsia="en-US"/>
        </w:rPr>
        <w:tab/>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pPr>
        <w:pStyle w:val="Heading3"/>
        <w:keepNext w:val="false"/>
        <w:tabs>
          <w:tab w:val="clear" w:pos="708"/>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 xml:space="preserve"> </w:t>
      </w: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 xml:space="preserve"> </w:t>
      </w: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142"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tabs>
          <w:tab w:val="clear" w:pos="708"/>
          <w:tab w:val="left" w:pos="142" w:leader="none"/>
        </w:tabs>
        <w:ind w:firstLine="709"/>
        <w:jc w:val="center"/>
        <w:rPr>
          <w:bCs/>
          <w:sz w:val="24"/>
          <w:szCs w:val="24"/>
        </w:rPr>
      </w:pPr>
      <w:r>
        <w:rPr>
          <w:bCs/>
          <w:sz w:val="24"/>
          <w:szCs w:val="24"/>
        </w:rPr>
      </w:r>
    </w:p>
    <w:p>
      <w:pPr>
        <w:pStyle w:val="Normal"/>
        <w:numPr>
          <w:ilvl w:val="0"/>
          <w:numId w:val="2"/>
        </w:numPr>
        <w:shd w:val="clear" w:color="auto" w:fill="FFFFFF"/>
        <w:tabs>
          <w:tab w:val="clear" w:pos="708"/>
          <w:tab w:val="left" w:pos="142" w:leader="none"/>
          <w:tab w:val="left" w:pos="284" w:leader="none"/>
        </w:tabs>
        <w:ind w:left="0" w:firstLine="709"/>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8"/>
          <w:tab w:val="left" w:pos="142" w:leader="none"/>
          <w:tab w:val="left" w:pos="1134" w:leader="none"/>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в собственность Покупателю </w:t>
      </w:r>
      <w:r>
        <w:rPr>
          <w:bCs/>
          <w:sz w:val="24"/>
          <w:szCs w:val="24"/>
        </w:rPr>
        <w:t>шаровые краны производства PEKOS</w:t>
      </w:r>
      <w:r>
        <w:rPr>
          <w:b/>
          <w:bCs/>
          <w:sz w:val="24"/>
          <w:szCs w:val="24"/>
        </w:rPr>
        <w:t xml:space="preserve"> (</w:t>
      </w:r>
      <w:r>
        <w:rPr>
          <w:b/>
          <w:bCs/>
          <w:sz w:val="24"/>
          <w:szCs w:val="24"/>
        </w:rPr>
        <w:t>7</w:t>
      </w:r>
      <w:r>
        <w:rPr>
          <w:b/>
          <w:bCs/>
          <w:sz w:val="24"/>
          <w:szCs w:val="24"/>
        </w:rPr>
        <w:t xml:space="preserve">шт.) </w:t>
      </w:r>
      <w:r>
        <w:rPr>
          <w:bCs/>
          <w:sz w:val="24"/>
          <w:szCs w:val="24"/>
        </w:rPr>
        <w:t xml:space="preserve">(далее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 </w:t>
      </w:r>
    </w:p>
    <w:p>
      <w:pPr>
        <w:pStyle w:val="Normal"/>
        <w:numPr>
          <w:ilvl w:val="1"/>
          <w:numId w:val="2"/>
        </w:numPr>
        <w:shd w:val="clear" w:color="auto" w:fill="FFFFFF"/>
        <w:tabs>
          <w:tab w:val="clear" w:pos="708"/>
          <w:tab w:val="left" w:pos="142" w:leader="none"/>
          <w:tab w:val="left" w:pos="1134" w:leader="none"/>
        </w:tabs>
        <w:ind w:left="0" w:firstLine="709"/>
        <w:jc w:val="both"/>
        <w:rPr>
          <w:bCs/>
          <w:sz w:val="24"/>
          <w:szCs w:val="24"/>
        </w:rPr>
      </w:pPr>
      <w:r>
        <w:rPr>
          <w:bCs/>
          <w:sz w:val="24"/>
          <w:szCs w:val="24"/>
        </w:rPr>
        <w:t>Поставка Товара по Договору осуществляется для нужд Филиала ПАО «РусГидро»-«Саяно-Шушенская ГЭС имени П.С. Непорожнего».</w:t>
      </w:r>
    </w:p>
    <w:p>
      <w:pPr>
        <w:pStyle w:val="Normal"/>
        <w:numPr>
          <w:ilvl w:val="1"/>
          <w:numId w:val="2"/>
        </w:numPr>
        <w:shd w:val="clear" w:color="auto" w:fill="FFFFFF"/>
        <w:tabs>
          <w:tab w:val="clear" w:pos="708"/>
          <w:tab w:val="left" w:pos="142" w:leader="none"/>
          <w:tab w:val="left" w:pos="1134" w:leader="none"/>
          <w:tab w:val="left" w:pos="1855" w:leader="none"/>
        </w:tabs>
        <w:ind w:left="0" w:firstLine="709"/>
        <w:jc w:val="both"/>
        <w:rPr>
          <w:bCs/>
          <w:sz w:val="24"/>
          <w:szCs w:val="24"/>
        </w:rPr>
      </w:pPr>
      <w:r>
        <w:rPr>
          <w:bCs/>
          <w:sz w:val="24"/>
          <w:szCs w:val="24"/>
        </w:rPr>
        <w:t>Место поставки Товара: Республика Хакасия, г. Саяногорск. рп. Черемушки, 106, БГСО (далее – «Место поставки»).</w:t>
      </w:r>
    </w:p>
    <w:p>
      <w:pPr>
        <w:pStyle w:val="Normal"/>
        <w:numPr>
          <w:ilvl w:val="1"/>
          <w:numId w:val="2"/>
        </w:numPr>
        <w:shd w:val="clear" w:color="auto" w:fill="FFFFFF"/>
        <w:tabs>
          <w:tab w:val="clear" w:pos="708"/>
          <w:tab w:val="left" w:pos="142" w:leader="none"/>
          <w:tab w:val="left" w:pos="1134" w:leader="none"/>
          <w:tab w:val="left" w:pos="1855" w:leader="none"/>
        </w:tabs>
        <w:ind w:left="0" w:firstLine="709"/>
        <w:jc w:val="both"/>
        <w:rPr>
          <w:bCs/>
          <w:sz w:val="24"/>
          <w:szCs w:val="24"/>
        </w:rPr>
      </w:pPr>
      <w:r>
        <w:rPr>
          <w:bCs/>
          <w:sz w:val="24"/>
          <w:szCs w:val="24"/>
        </w:rPr>
        <w:t xml:space="preserve">Срок поставки Товара: не позднее </w:t>
      </w:r>
      <w:r>
        <w:rPr>
          <w:bCs/>
          <w:sz w:val="24"/>
          <w:szCs w:val="24"/>
        </w:rPr>
        <w:t>30</w:t>
      </w:r>
      <w:r>
        <w:rPr>
          <w:iCs/>
          <w:sz w:val="24"/>
          <w:szCs w:val="24"/>
        </w:rPr>
        <w:t>.</w:t>
      </w:r>
      <w:r>
        <w:rPr>
          <w:iCs/>
          <w:sz w:val="24"/>
          <w:szCs w:val="24"/>
        </w:rPr>
        <w:t>12</w:t>
      </w:r>
      <w:r>
        <w:rPr>
          <w:iCs/>
          <w:sz w:val="24"/>
          <w:szCs w:val="24"/>
        </w:rPr>
        <w:t>.2026</w:t>
      </w:r>
      <w:bookmarkStart w:id="0" w:name="_GoBack"/>
      <w:bookmarkEnd w:id="0"/>
      <w:r>
        <w:rPr>
          <w:bCs/>
          <w:sz w:val="24"/>
          <w:szCs w:val="24"/>
        </w:rPr>
        <w:t>.</w:t>
      </w:r>
    </w:p>
    <w:p>
      <w:pPr>
        <w:pStyle w:val="Normal"/>
        <w:shd w:val="clear" w:color="auto" w:fill="FFFFFF"/>
        <w:tabs>
          <w:tab w:val="clear" w:pos="708"/>
          <w:tab w:val="left" w:pos="1134" w:leader="none"/>
          <w:tab w:val="left" w:pos="1851" w:leader="none"/>
        </w:tabs>
        <w:ind w:left="709" w:hanging="0"/>
        <w:jc w:val="both"/>
        <w:rPr>
          <w:bCs/>
          <w:sz w:val="24"/>
          <w:szCs w:val="24"/>
        </w:rPr>
      </w:pPr>
      <w:r>
        <w:rPr>
          <w:bCs/>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Цена Договора в соответствии со Спецификацией (Приложение № 1 к Договору) является твердой и составляет _ (_) рубля _ копеек без учета НДС, при этом НДС исчисляется дополнительно по ставке, установленной статьей 164 Налогового Кодекса Российской Федерации (далее – НК РФ).</w:t>
      </w:r>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производство и / или приобретение Товара;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8"/>
          <w:tab w:val="left" w:pos="1418" w:leader="none"/>
        </w:tabs>
        <w:ind w:left="0" w:firstLine="709"/>
        <w:jc w:val="both"/>
        <w:rPr>
          <w:sz w:val="24"/>
          <w:szCs w:val="24"/>
        </w:rPr>
      </w:pPr>
      <w:r>
        <w:rPr>
          <w:sz w:val="24"/>
          <w:szCs w:val="24"/>
        </w:rPr>
        <w:t>Авансовый платеж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2.4.1, 2.4.4 Договора.</w:t>
      </w:r>
    </w:p>
    <w:p>
      <w:pPr>
        <w:pStyle w:val="ListParagraph"/>
        <w:widowControl/>
        <w:numPr>
          <w:ilvl w:val="2"/>
          <w:numId w:val="2"/>
        </w:numPr>
        <w:shd w:val="clear" w:color="auto" w:fill="FFFFFF"/>
        <w:tabs>
          <w:tab w:val="clear" w:pos="708"/>
          <w:tab w:val="left" w:pos="1418" w:leader="none"/>
        </w:tabs>
        <w:ind w:left="0" w:firstLine="709"/>
        <w:jc w:val="both"/>
        <w:rPr>
          <w:sz w:val="24"/>
          <w:szCs w:val="24"/>
        </w:rPr>
      </w:pPr>
      <w:r>
        <w:rPr>
          <w:sz w:val="24"/>
          <w:szCs w:val="24"/>
        </w:rPr>
        <w:t xml:space="preserve">Окончательный платеж в размере 70 (семидесяти) процентов от стоимости Товара выплачивается Поставщику в течение </w:t>
      </w:r>
      <w:r>
        <w:rPr>
          <w:sz w:val="24"/>
          <w:szCs w:val="24"/>
          <w:lang w:eastAsia="zh-CN"/>
        </w:rPr>
        <w:t>7 (семи) рабочих дней</w:t>
      </w:r>
      <w:r>
        <w:rPr>
          <w:sz w:val="24"/>
          <w:szCs w:val="24"/>
        </w:rPr>
        <w:t xml:space="preserve"> с даты подписания Сторонами накладной ТОРГ-12, на основании счета, выставленного Поставщиком, и с учетом пункта 2.4.4 Договора.</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текущего/дополнительного счета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bookmarkStart w:id="1"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2.4.1 Договора, в установленный срок и при этом не приступил к исполнению обязательств по Договору.</w:t>
      </w:r>
      <w:bookmarkEnd w:id="1"/>
      <w:r>
        <w:rPr>
          <w:bCs/>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851"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 w:val="left" w:pos="1851" w:leader="none"/>
        </w:tabs>
        <w:ind w:left="0" w:firstLine="709"/>
        <w:jc w:val="both"/>
        <w:rPr>
          <w:sz w:val="24"/>
          <w:szCs w:val="24"/>
        </w:rPr>
      </w:pPr>
      <w:r>
        <w:rPr>
          <w:sz w:val="24"/>
          <w:szCs w:val="24"/>
        </w:rPr>
        <w:t>Индексация Цены Договора не допускается.</w:t>
      </w:r>
    </w:p>
    <w:p>
      <w:pPr>
        <w:pStyle w:val="ListParagraph"/>
        <w:numPr>
          <w:ilvl w:val="1"/>
          <w:numId w:val="2"/>
        </w:numPr>
        <w:tabs>
          <w:tab w:val="clear" w:pos="708"/>
          <w:tab w:val="left" w:pos="1134" w:leader="none"/>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8"/>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tabs>
          <w:tab w:val="clear" w:pos="708"/>
          <w:tab w:val="left" w:pos="1134"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tabs>
          <w:tab w:val="clear" w:pos="708"/>
          <w:tab w:val="left" w:pos="1134" w:leader="none"/>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8"/>
          <w:tab w:val="left" w:pos="1134" w:leader="none"/>
        </w:tabs>
        <w:jc w:val="both"/>
        <w:rPr>
          <w:bCs/>
          <w:sz w:val="24"/>
          <w:szCs w:val="24"/>
        </w:rPr>
      </w:pPr>
      <w:r>
        <w:rPr>
          <w:bCs/>
          <w:sz w:val="24"/>
          <w:szCs w:val="24"/>
        </w:rPr>
        <w:t xml:space="preserve">           </w:t>
      </w: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tabs>
          <w:tab w:val="clear" w:pos="708"/>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14"/>
        </w:numPr>
        <w:tabs>
          <w:tab w:val="clear" w:pos="708"/>
          <w:tab w:val="left" w:pos="709" w:leader="none"/>
          <w:tab w:val="left" w:pos="1418" w:leader="none"/>
        </w:tabs>
        <w:ind w:firstLine="349"/>
        <w:jc w:val="both"/>
        <w:rPr>
          <w:sz w:val="24"/>
          <w:szCs w:val="24"/>
        </w:rPr>
      </w:pPr>
      <w:r>
        <w:rPr>
          <w:sz w:val="24"/>
          <w:szCs w:val="24"/>
        </w:rPr>
        <w:t>сертификаты соответствия/ декларация в 1 (одном) экз.;</w:t>
      </w:r>
    </w:p>
    <w:p>
      <w:pPr>
        <w:pStyle w:val="Normal"/>
        <w:numPr>
          <w:ilvl w:val="0"/>
          <w:numId w:val="14"/>
        </w:numPr>
        <w:tabs>
          <w:tab w:val="clear" w:pos="708"/>
          <w:tab w:val="left" w:pos="709" w:leader="none"/>
          <w:tab w:val="left" w:pos="1418" w:leader="none"/>
        </w:tabs>
        <w:ind w:firstLine="349"/>
        <w:jc w:val="both"/>
        <w:rPr>
          <w:sz w:val="24"/>
          <w:szCs w:val="24"/>
        </w:rPr>
      </w:pPr>
      <w:r>
        <w:rPr>
          <w:sz w:val="24"/>
          <w:szCs w:val="24"/>
        </w:rPr>
        <w:t>технический паспорт изготовителя в 1 (одном) экз.;</w:t>
      </w:r>
    </w:p>
    <w:p>
      <w:pPr>
        <w:pStyle w:val="Normal"/>
        <w:numPr>
          <w:ilvl w:val="0"/>
          <w:numId w:val="14"/>
        </w:numPr>
        <w:tabs>
          <w:tab w:val="clear" w:pos="708"/>
          <w:tab w:val="left" w:pos="709" w:leader="none"/>
          <w:tab w:val="left" w:pos="1418" w:leader="none"/>
        </w:tabs>
        <w:ind w:firstLine="349"/>
        <w:jc w:val="both"/>
        <w:rPr>
          <w:sz w:val="24"/>
          <w:szCs w:val="24"/>
        </w:rPr>
      </w:pPr>
      <w:r>
        <w:rPr>
          <w:sz w:val="24"/>
          <w:szCs w:val="24"/>
        </w:rPr>
        <w:t>прочая документация, определенная заводом-изготовителем в 1 (одном);</w:t>
      </w:r>
    </w:p>
    <w:p>
      <w:pPr>
        <w:pStyle w:val="Normal"/>
        <w:numPr>
          <w:ilvl w:val="0"/>
          <w:numId w:val="3"/>
        </w:numPr>
        <w:tabs>
          <w:tab w:val="clear" w:pos="708"/>
          <w:tab w:val="left" w:pos="1418" w:leader="none"/>
        </w:tabs>
        <w:ind w:left="0" w:firstLine="709"/>
        <w:jc w:val="both"/>
        <w:rPr>
          <w:sz w:val="24"/>
          <w:szCs w:val="24"/>
        </w:rPr>
      </w:pPr>
      <w:r>
        <w:rPr>
          <w:sz w:val="24"/>
          <w:szCs w:val="24"/>
        </w:rPr>
        <w:t>упаковочные листы в 1 (одном) экз.;</w:t>
      </w:r>
    </w:p>
    <w:p>
      <w:pPr>
        <w:pStyle w:val="Normal"/>
        <w:numPr>
          <w:ilvl w:val="0"/>
          <w:numId w:val="3"/>
        </w:numPr>
        <w:tabs>
          <w:tab w:val="clear" w:pos="708"/>
          <w:tab w:val="left" w:pos="1418" w:leader="none"/>
        </w:tabs>
        <w:ind w:left="0" w:firstLine="709"/>
        <w:jc w:val="both"/>
        <w:rPr>
          <w:sz w:val="24"/>
          <w:szCs w:val="24"/>
        </w:rPr>
      </w:pPr>
      <w:r>
        <w:rPr>
          <w:sz w:val="24"/>
          <w:szCs w:val="24"/>
        </w:rPr>
        <w:t>упаковочные ярлыки в 1 (одном) экз.;</w:t>
      </w:r>
    </w:p>
    <w:p>
      <w:pPr>
        <w:pStyle w:val="Normal"/>
        <w:numPr>
          <w:ilvl w:val="0"/>
          <w:numId w:val="3"/>
        </w:numPr>
        <w:tabs>
          <w:tab w:val="clear" w:pos="708"/>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8"/>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
      <w:pPr>
        <w:pStyle w:val="Normal"/>
        <w:numPr>
          <w:ilvl w:val="0"/>
          <w:numId w:val="3"/>
        </w:numPr>
        <w:shd w:val="clear" w:color="auto" w:fill="FFFFFF"/>
        <w:tabs>
          <w:tab w:val="clear" w:pos="708"/>
          <w:tab w:val="left" w:pos="1418" w:leader="none"/>
        </w:tabs>
        <w:ind w:left="0" w:firstLine="709"/>
        <w:jc w:val="both"/>
        <w:rPr>
          <w:sz w:val="24"/>
          <w:szCs w:val="24"/>
        </w:rPr>
      </w:pPr>
      <w:r>
        <w:rPr>
          <w:sz w:val="24"/>
          <w:szCs w:val="24"/>
        </w:rPr>
        <w:t>Накладная ТОРГ-12 в 2 (двух) экз.</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bookmarkStart w:id="2" w:name="_Ref361408232"/>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8"/>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Cs/>
          <w:sz w:val="24"/>
          <w:szCs w:val="24"/>
        </w:rPr>
      </w:pPr>
      <w:bookmarkStart w:id="3"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3"/>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8"/>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 xml:space="preserve">Погрузка, доставка, разгрузка Товара </w:t>
      </w:r>
      <w:r>
        <w:rPr>
          <w:bCs/>
          <w:sz w:val="24"/>
          <w:szCs w:val="24"/>
        </w:rPr>
        <w:t>осуществляется</w:t>
      </w:r>
      <w:r>
        <w:rPr>
          <w:sz w:val="24"/>
          <w:szCs w:val="24"/>
        </w:rPr>
        <w:t xml:space="preserve"> Поставщиком. Стоимость погрузки, доставки, разгрузки включена в стоимость Товара.</w:t>
      </w:r>
    </w:p>
    <w:p>
      <w:pPr>
        <w:pStyle w:val="ListParagraph"/>
        <w:widowContro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8"/>
          <w:tab w:val="left" w:pos="1141" w:leader="none"/>
          <w:tab w:val="left" w:pos="1418" w:leader="none"/>
        </w:tabs>
        <w:ind w:left="0" w:firstLine="709"/>
        <w:jc w:val="both"/>
        <w:rPr>
          <w:sz w:val="24"/>
          <w:szCs w:val="24"/>
        </w:rPr>
      </w:pPr>
      <w:bookmarkStart w:id="4" w:name="_Ref361396594"/>
      <w:r>
        <w:rPr>
          <w:sz w:val="24"/>
          <w:szCs w:val="24"/>
        </w:rPr>
        <w:t xml:space="preserve">Датой поставки Товара является дата подписания Сторонами накладной </w:t>
        <w:br/>
        <w:t>ТОРГ-12.</w:t>
      </w:r>
      <w:bookmarkEnd w:id="4"/>
      <w:r>
        <w:rPr>
          <w:sz w:val="24"/>
          <w:szCs w:val="24"/>
        </w:rPr>
        <w:t xml:space="preserve"> </w:t>
      </w:r>
    </w:p>
    <w:p>
      <w:pPr>
        <w:pStyle w:val="ListParagraph"/>
        <w:widowControl/>
        <w:numPr>
          <w:ilvl w:val="1"/>
          <w:numId w:val="2"/>
        </w:numPr>
        <w:shd w:val="clear" w:color="auto" w:fill="FFFFFF"/>
        <w:tabs>
          <w:tab w:val="clear" w:pos="708"/>
          <w:tab w:val="left" w:pos="1141" w:leader="none"/>
          <w:tab w:val="left" w:pos="1418"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8"/>
          <w:tab w:val="left" w:pos="1141" w:leader="none"/>
          <w:tab w:val="left" w:pos="1418"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ListParagraph"/>
        <w:shd w:val="clear" w:color="auto" w:fill="FFFFFF"/>
        <w:tabs>
          <w:tab w:val="clear" w:pos="708"/>
          <w:tab w:val="left" w:pos="1418" w:leader="none"/>
        </w:tabs>
        <w:ind w:left="0" w:firstLine="709"/>
        <w:jc w:val="both"/>
        <w:rPr>
          <w:sz w:val="24"/>
          <w:szCs w:val="24"/>
        </w:rPr>
      </w:pPr>
      <w:bookmarkStart w:id="5"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5"/>
      <w:r>
        <w:rPr>
          <w:sz w:val="24"/>
          <w:szCs w:val="24"/>
        </w:rPr>
        <w:t xml:space="preserve"> </w:t>
      </w:r>
    </w:p>
    <w:p>
      <w:pPr>
        <w:pStyle w:val="ListParagraph"/>
        <w:widowControl/>
        <w:numPr>
          <w:ilvl w:val="1"/>
          <w:numId w:val="2"/>
        </w:numPr>
        <w:shd w:val="clear" w:color="auto" w:fill="FFFFFF"/>
        <w:tabs>
          <w:tab w:val="clear" w:pos="708"/>
          <w:tab w:val="left" w:pos="1141" w:leader="none"/>
          <w:tab w:val="left" w:pos="1418"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w:t>
      </w:r>
    </w:p>
    <w:p>
      <w:pPr>
        <w:pStyle w:val="Normal"/>
        <w:numPr>
          <w:ilvl w:val="1"/>
          <w:numId w:val="2"/>
        </w:numPr>
        <w:shd w:val="clear" w:color="auto" w:fill="FFFFFF"/>
        <w:tabs>
          <w:tab w:val="clear" w:pos="708"/>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numPr>
          <w:ilvl w:val="1"/>
          <w:numId w:val="2"/>
        </w:numPr>
        <w:shd w:val="clear" w:color="auto" w:fill="FFFFFF"/>
        <w:tabs>
          <w:tab w:val="clear" w:pos="708"/>
          <w:tab w:val="left" w:pos="1141" w:leader="none"/>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w:t>
      </w:r>
      <w:r>
        <w:rPr>
          <w:color w:val="FF0000"/>
          <w:sz w:val="24"/>
          <w:szCs w:val="24"/>
        </w:rPr>
        <w:t xml:space="preserve"> </w:t>
      </w:r>
      <w:r>
        <w:rPr>
          <w:sz w:val="24"/>
          <w:szCs w:val="24"/>
        </w:rPr>
        <w:t>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которого отказался Покупатель, возвратить его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Pr>
          <w:b/>
          <w:bCs/>
          <w:color w:val="000000"/>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Normal"/>
        <w:shd w:val="clear" w:color="auto" w:fill="FFFFFF"/>
        <w:ind w:firstLine="709"/>
        <w:jc w:val="both"/>
        <w:rPr>
          <w:sz w:val="24"/>
          <w:szCs w:val="24"/>
        </w:rPr>
      </w:pPr>
      <w:r>
        <w:rPr>
          <w:sz w:val="24"/>
          <w:szCs w:val="24"/>
        </w:rPr>
      </w:r>
    </w:p>
    <w:p>
      <w:pPr>
        <w:pStyle w:val="ListParagraph"/>
        <w:numPr>
          <w:ilvl w:val="0"/>
          <w:numId w:val="2"/>
        </w:numPr>
        <w:shd w:val="clear" w:color="auto" w:fill="FFFFFF"/>
        <w:tabs>
          <w:tab w:val="clear" w:pos="708"/>
          <w:tab w:val="left" w:pos="284" w:leader="none"/>
        </w:tabs>
        <w:ind w:left="0" w:firstLine="709"/>
        <w:jc w:val="center"/>
        <w:rPr>
          <w:b/>
          <w:sz w:val="24"/>
          <w:szCs w:val="24"/>
        </w:rPr>
      </w:pPr>
      <w:r>
        <w:rPr>
          <w:b/>
          <w:sz w:val="24"/>
          <w:szCs w:val="24"/>
        </w:rPr>
        <w:t>Гарантийный срок</w:t>
      </w:r>
    </w:p>
    <w:p>
      <w:pPr>
        <w:pStyle w:val="ListParagraph"/>
        <w:numPr>
          <w:ilvl w:val="1"/>
          <w:numId w:val="2"/>
        </w:numPr>
        <w:tabs>
          <w:tab w:val="clear" w:pos="708"/>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_ (_)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5 (пяти)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6" w:name="OLE_LINK6"/>
      <w:bookmarkStart w:id="7" w:name="OLE_LINK5"/>
      <w:r>
        <w:rPr>
          <w:sz w:val="24"/>
          <w:szCs w:val="24"/>
        </w:rPr>
        <w:t>Покупателем в соответствии с пунктом 4.3 Договора</w:t>
      </w:r>
      <w:bookmarkEnd w:id="6"/>
      <w:bookmarkEnd w:id="7"/>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8"/>
          <w:tab w:val="left" w:pos="1190" w:leader="none"/>
        </w:tabs>
        <w:jc w:val="both"/>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100 </w:t>
        <w:br/>
        <w:t xml:space="preserve">(ста)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4"/>
        </w:numPr>
        <w:tabs>
          <w:tab w:val="clear" w:pos="708"/>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4"/>
        </w:numPr>
        <w:tabs>
          <w:tab w:val="clear" w:pos="708"/>
          <w:tab w:val="left" w:pos="0" w:leader="none"/>
          <w:tab w:val="left" w:pos="1134" w:leader="none"/>
        </w:tabs>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widowControl/>
        <w:numPr>
          <w:ilvl w:val="0"/>
          <w:numId w:val="4"/>
        </w:numPr>
        <w:tabs>
          <w:tab w:val="clear" w:pos="708"/>
          <w:tab w:val="left" w:pos="0" w:leader="none"/>
          <w:tab w:val="left" w:pos="1134" w:leader="none"/>
        </w:tabs>
        <w:ind w:left="0" w:firstLine="709"/>
        <w:jc w:val="both"/>
        <w:rPr>
          <w:bCs/>
          <w:color w:val="000000" w:themeColor="text1"/>
          <w:sz w:val="24"/>
          <w:szCs w:val="24"/>
        </w:rPr>
      </w:pPr>
      <w:r>
        <w:rPr>
          <w:bCs/>
          <w:color w:val="000000" w:themeColor="text1"/>
          <w:sz w:val="24"/>
          <w:szCs w:val="24"/>
        </w:rPr>
        <w:t>нарушения Поставщиком срока</w:t>
      </w:r>
      <w:r>
        <w:rPr>
          <w:color w:val="000000" w:themeColor="text1"/>
          <w:sz w:val="24"/>
          <w:szCs w:val="24"/>
        </w:rPr>
        <w:t xml:space="preserve"> </w:t>
      </w:r>
      <w:r>
        <w:rPr>
          <w:bCs/>
          <w:color w:val="000000" w:themeColor="text1"/>
          <w:sz w:val="24"/>
          <w:szCs w:val="24"/>
        </w:rPr>
        <w:t>поставки Товара, установленного п.1.4 Договора, более, чем на 60 (шестьдесят) календарных дней;</w:t>
      </w:r>
    </w:p>
    <w:p>
      <w:pPr>
        <w:pStyle w:val="Normal"/>
        <w:widowControl/>
        <w:numPr>
          <w:ilvl w:val="0"/>
          <w:numId w:val="4"/>
        </w:numPr>
        <w:tabs>
          <w:tab w:val="clear" w:pos="708"/>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4"/>
        </w:numPr>
        <w:tabs>
          <w:tab w:val="clear" w:pos="708"/>
          <w:tab w:val="left" w:pos="0" w:leader="none"/>
          <w:tab w:val="left" w:pos="1134" w:leader="none"/>
        </w:tabs>
        <w:ind w:left="0" w:firstLine="709"/>
        <w:jc w:val="both"/>
        <w:rPr>
          <w:bCs/>
          <w:sz w:val="24"/>
          <w:szCs w:val="24"/>
        </w:rPr>
      </w:pPr>
      <w:r>
        <w:rPr>
          <w:bCs/>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widowControl/>
        <w:numPr>
          <w:ilvl w:val="0"/>
          <w:numId w:val="4"/>
        </w:numPr>
        <w:tabs>
          <w:tab w:val="clear" w:pos="708"/>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4"/>
        </w:numPr>
        <w:tabs>
          <w:tab w:val="clear" w:pos="708"/>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tabs>
          <w:tab w:val="clear" w:pos="708"/>
          <w:tab w:val="left" w:pos="0" w:leader="none"/>
        </w:tabs>
        <w:ind w:left="0" w:firstLine="709"/>
        <w:jc w:val="both"/>
        <w:rPr>
          <w:bCs/>
          <w:sz w:val="24"/>
          <w:szCs w:val="24"/>
        </w:rPr>
      </w:pPr>
      <w:r>
        <w:rPr>
          <w:bCs/>
          <w:sz w:val="24"/>
          <w:szCs w:val="24"/>
        </w:rPr>
        <w:t xml:space="preserve">Вместе с требованием о предъявлении суммы обеспечения к оплате Покупатель направляет Банку-Гаранту копию Банковской гарантии. </w:t>
      </w:r>
    </w:p>
    <w:p>
      <w:pPr>
        <w:pStyle w:val="ListParagraph"/>
        <w:shd w:val="clear" w:color="auto" w:fill="FFFFFF"/>
        <w:tabs>
          <w:tab w:val="clear" w:pos="708"/>
          <w:tab w:val="left" w:pos="0" w:leader="none"/>
          <w:tab w:val="left" w:pos="1418" w:leader="none"/>
        </w:tabs>
        <w:ind w:left="0" w:firstLine="709"/>
        <w:jc w:val="both"/>
        <w:rPr>
          <w:bCs/>
          <w:sz w:val="24"/>
          <w:szCs w:val="24"/>
        </w:rPr>
      </w:pPr>
      <w:r>
        <w:rPr>
          <w:bCs/>
          <w:sz w:val="24"/>
          <w:szCs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numPr>
          <w:ilvl w:val="2"/>
          <w:numId w:val="2"/>
        </w:numPr>
        <w:shd w:val="clear" w:color="auto" w:fill="FFFFFF"/>
        <w:tabs>
          <w:tab w:val="clear" w:pos="708"/>
          <w:tab w:val="left" w:pos="0" w:leader="none"/>
          <w:tab w:val="left" w:pos="1418" w:leader="none"/>
          <w:tab w:val="left" w:pos="1701" w:leader="none"/>
        </w:tabs>
        <w:ind w:left="0" w:firstLine="709"/>
        <w:jc w:val="both"/>
        <w:rPr>
          <w:b/>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8"/>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widowControl/>
        <w:numPr>
          <w:ilvl w:val="1"/>
          <w:numId w:val="2"/>
        </w:numPr>
        <w:tabs>
          <w:tab w:val="clear" w:pos="708"/>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6"/>
        </w:numPr>
        <w:shd w:val="clear" w:color="auto" w:fill="FFFFFF"/>
        <w:tabs>
          <w:tab w:val="clear" w:pos="708"/>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6"/>
        </w:numPr>
        <w:shd w:val="clear" w:color="auto" w:fill="FFFFFF"/>
        <w:tabs>
          <w:tab w:val="clear" w:pos="708"/>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8"/>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8"/>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2"/>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Положения пункта 2.4.1 Договора применяются, если совокупный размер авансовых платежей, уплаченных и подлежащих уплате по Договору в соответствии </w:t>
        <w:br/>
        <w:t>с выставленными счетами Поставщика, составляет 5 000 000 (Пять миллионов) рублей без учета НДС.</w:t>
      </w:r>
    </w:p>
    <w:p>
      <w:pPr>
        <w:pStyle w:val="ListParagraph"/>
        <w:widowControl/>
        <w:numPr>
          <w:ilvl w:val="1"/>
          <w:numId w:val="2"/>
        </w:numPr>
        <w:tabs>
          <w:tab w:val="clear" w:pos="708"/>
          <w:tab w:val="left" w:pos="1134" w:leader="none"/>
          <w:tab w:val="left" w:pos="1985" w:leader="none"/>
        </w:tabs>
        <w:ind w:left="0" w:firstLine="709"/>
        <w:jc w:val="both"/>
        <w:rPr>
          <w:bCs/>
          <w:sz w:val="24"/>
          <w:szCs w:val="24"/>
        </w:rPr>
      </w:pPr>
      <w:r>
        <w:rPr>
          <w:sz w:val="24"/>
          <w:szCs w:val="24"/>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sz w:val="24"/>
          <w:szCs w:val="24"/>
        </w:rPr>
        <w:footnoteReference w:id="3"/>
      </w:r>
      <w:r>
        <w:rPr>
          <w:sz w:val="24"/>
          <w:szCs w:val="24"/>
        </w:rPr>
        <w:t>.</w:t>
      </w:r>
    </w:p>
    <w:p>
      <w:pPr>
        <w:pStyle w:val="ListParagraph"/>
        <w:widowControl/>
        <w:numPr>
          <w:ilvl w:val="1"/>
          <w:numId w:val="2"/>
        </w:numPr>
        <w:shd w:val="clear" w:color="auto" w:fill="FFFFFF"/>
        <w:ind w:left="0" w:firstLine="709"/>
        <w:jc w:val="both"/>
        <w:rPr>
          <w:bCs/>
          <w:sz w:val="24"/>
          <w:szCs w:val="24"/>
        </w:rPr>
      </w:pPr>
      <w:r>
        <w:rPr>
          <w:sz w:val="24"/>
        </w:rPr>
        <w: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shd w:val="clear" w:color="auto" w:fill="FFFFFF"/>
        <w:rPr>
          <w:b/>
          <w:sz w:val="24"/>
          <w:szCs w:val="24"/>
        </w:rPr>
      </w:pPr>
      <w:r>
        <w:rPr>
          <w:b/>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1134"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8"/>
          <w:tab w:val="left" w:pos="1134"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30день просрочки не начисляется). </w:t>
      </w:r>
    </w:p>
    <w:p>
      <w:pPr>
        <w:pStyle w:val="Normal"/>
        <w:widowControl/>
        <w:numPr>
          <w:ilvl w:val="1"/>
          <w:numId w:val="2"/>
        </w:numPr>
        <w:tabs>
          <w:tab w:val="clear" w:pos="708"/>
          <w:tab w:val="left" w:pos="1134" w:leader="none"/>
        </w:tabs>
        <w:ind w:left="0" w:firstLine="709"/>
        <w:jc w:val="both"/>
        <w:rPr>
          <w:bCs/>
          <w:sz w:val="24"/>
          <w:szCs w:val="24"/>
        </w:rPr>
      </w:pPr>
      <w:r>
        <w:rPr>
          <w:bCs/>
          <w:sz w:val="24"/>
          <w:szCs w:val="24"/>
        </w:rPr>
        <w:t>В случае нарушения Поставщиком обязательств по поставке Товара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numPr>
          <w:ilvl w:val="1"/>
          <w:numId w:val="2"/>
        </w:numPr>
        <w:tabs>
          <w:tab w:val="clear" w:pos="708"/>
          <w:tab w:val="left" w:pos="1134" w:leader="none"/>
        </w:tabs>
        <w:ind w:left="0" w:firstLine="709"/>
        <w:jc w:val="both"/>
        <w:rPr>
          <w:bCs/>
          <w:sz w:val="24"/>
          <w:szCs w:val="24"/>
        </w:rPr>
      </w:pPr>
      <w:r>
        <w:rPr>
          <w:bCs/>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pPr>
        <w:pStyle w:val="ListParagraph"/>
        <w:widowControl/>
        <w:numPr>
          <w:ilvl w:val="2"/>
          <w:numId w:val="2"/>
        </w:numPr>
        <w:tabs>
          <w:tab w:val="clear" w:pos="708"/>
          <w:tab w:val="left" w:pos="1135" w:leader="none"/>
          <w:tab w:val="left" w:pos="1418" w:leader="none"/>
        </w:tabs>
        <w:ind w:left="0" w:firstLine="709"/>
        <w:jc w:val="both"/>
        <w:rPr>
          <w:sz w:val="24"/>
          <w:szCs w:val="24"/>
          <w:lang w:eastAsia="en-US"/>
        </w:rPr>
      </w:pPr>
      <w:r>
        <w:rPr>
          <w:sz w:val="24"/>
          <w:szCs w:val="24"/>
          <w:lang w:eastAsia="en-US"/>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влияющих на возможность эксплуатации (использования) Товара в целом;</w:t>
      </w:r>
    </w:p>
    <w:p>
      <w:pPr>
        <w:pStyle w:val="ListParagraph"/>
        <w:widowControl/>
        <w:numPr>
          <w:ilvl w:val="2"/>
          <w:numId w:val="2"/>
        </w:numPr>
        <w:tabs>
          <w:tab w:val="clear" w:pos="708"/>
          <w:tab w:val="left" w:pos="1135" w:leader="none"/>
          <w:tab w:val="left" w:pos="1418" w:leader="none"/>
        </w:tabs>
        <w:ind w:left="0" w:firstLine="709"/>
        <w:jc w:val="both"/>
        <w:rPr>
          <w:sz w:val="24"/>
          <w:szCs w:val="24"/>
          <w:lang w:eastAsia="en-US"/>
        </w:rPr>
      </w:pPr>
      <w:r>
        <w:rPr>
          <w:sz w:val="24"/>
          <w:szCs w:val="24"/>
          <w:lang w:eastAsia="en-US"/>
        </w:rPr>
        <w:t>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Normal"/>
        <w:widowControl/>
        <w:numPr>
          <w:ilvl w:val="1"/>
          <w:numId w:val="2"/>
        </w:numPr>
        <w:tabs>
          <w:tab w:val="clear" w:pos="708"/>
          <w:tab w:val="left" w:pos="1134" w:leader="none"/>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8"/>
          <w:tab w:val="left" w:pos="1134" w:leader="none"/>
        </w:tabs>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2"/>
        </w:numPr>
        <w:shd w:val="clear" w:color="auto" w:fill="FFFFFF"/>
        <w:tabs>
          <w:tab w:val="clear" w:pos="708"/>
          <w:tab w:val="left" w:pos="1134" w:leader="none"/>
        </w:tabs>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три сотых) процента от Цены Договора за каждый день просрочки.</w:t>
      </w:r>
    </w:p>
    <w:p>
      <w:pPr>
        <w:pStyle w:val="ListParagraph"/>
        <w:widowControl/>
        <w:numPr>
          <w:ilvl w:val="1"/>
          <w:numId w:val="2"/>
        </w:numPr>
        <w:shd w:val="clear" w:color="auto" w:fill="FFFFFF"/>
        <w:ind w:left="0" w:firstLine="709"/>
        <w:jc w:val="both"/>
        <w:rPr>
          <w:bCs/>
          <w:sz w:val="24"/>
          <w:szCs w:val="24"/>
        </w:rPr>
      </w:pPr>
      <w:r>
        <w:rPr>
          <w:bCs/>
          <w:sz w:val="24"/>
          <w:szCs w:val="24"/>
        </w:rPr>
        <w:t>В случае если неисполнение / ненадлежащее исполнение Поставщиком обязательств по Договору повлекло за собой нарушение Покупателем обязательств на оптовом и / или розничных рынках электрической энергии и мощности, Поставщик несет ответственность перед Покупателем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Покупателем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t>
      </w:r>
    </w:p>
    <w:p>
      <w:pPr>
        <w:pStyle w:val="Normal"/>
        <w:ind w:firstLine="709"/>
        <w:jc w:val="both"/>
        <w:rPr>
          <w:sz w:val="24"/>
          <w:szCs w:val="24"/>
        </w:rPr>
      </w:pPr>
      <w:r>
        <w:rPr>
          <w:sz w:val="24"/>
          <w:szCs w:val="24"/>
        </w:rPr>
        <w:t xml:space="preserve">Кроме суммы реального ущерба, Поставщик компенсирует </w:t>
      </w:r>
      <w:r>
        <w:rPr>
          <w:bCs/>
          <w:sz w:val="24"/>
          <w:szCs w:val="24"/>
        </w:rPr>
        <w:t>Покупателем</w:t>
      </w:r>
      <w:r>
        <w:rPr>
          <w:sz w:val="24"/>
          <w:szCs w:val="24"/>
        </w:rPr>
        <w: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ind w:firstLine="709"/>
        <w:jc w:val="both"/>
        <w:rPr>
          <w:sz w:val="24"/>
          <w:szCs w:val="24"/>
        </w:rPr>
      </w:pPr>
      <w:r>
        <w:rPr>
          <w:sz w:val="24"/>
          <w:szCs w:val="24"/>
        </w:rPr>
        <w:t xml:space="preserve">Размер упущенной выгоды (выручки) подтверждается (по выбору </w:t>
      </w:r>
      <w:r>
        <w:rPr>
          <w:bCs/>
          <w:sz w:val="24"/>
          <w:szCs w:val="24"/>
        </w:rPr>
        <w:t>Покупателя</w:t>
      </w:r>
      <w:r>
        <w:rPr>
          <w:sz w:val="24"/>
          <w:szCs w:val="24"/>
        </w:rPr>
        <w:t>):</w:t>
      </w:r>
    </w:p>
    <w:p>
      <w:pPr>
        <w:pStyle w:val="Normal"/>
        <w:widowControl/>
        <w:numPr>
          <w:ilvl w:val="0"/>
          <w:numId w:val="13"/>
        </w:numPr>
        <w:spacing w:lineRule="auto" w:line="252"/>
        <w:ind w:left="0" w:firstLine="709"/>
        <w:jc w:val="both"/>
        <w:rPr>
          <w:sz w:val="24"/>
          <w:szCs w:val="24"/>
        </w:rPr>
      </w:pPr>
      <w:r>
        <w:rPr>
          <w:sz w:val="24"/>
          <w:szCs w:val="24"/>
        </w:rPr>
        <w:t>в ценовых зонах:</w:t>
      </w:r>
    </w:p>
    <w:p>
      <w:pPr>
        <w:pStyle w:val="Normal"/>
        <w:ind w:firstLine="709"/>
        <w:jc w:val="both"/>
        <w:rPr>
          <w:sz w:val="24"/>
          <w:szCs w:val="24"/>
        </w:rPr>
      </w:pPr>
      <w:r>
        <w:rPr>
          <w:sz w:val="24"/>
          <w:szCs w:val="24"/>
        </w:rPr>
        <w:t xml:space="preserve">расчетом, подготовленным Коммерческим оператором оптового рынка; </w:t>
      </w:r>
    </w:p>
    <w:p>
      <w:pPr>
        <w:pStyle w:val="Normal"/>
        <w:ind w:firstLine="709"/>
        <w:jc w:val="both"/>
        <w:rPr>
          <w:sz w:val="24"/>
          <w:szCs w:val="24"/>
        </w:rPr>
      </w:pPr>
      <w:r>
        <w:rPr>
          <w:sz w:val="24"/>
          <w:szCs w:val="24"/>
        </w:rPr>
        <w:t>и / или</w:t>
      </w:r>
    </w:p>
    <w:p>
      <w:pPr>
        <w:pStyle w:val="Normal"/>
        <w:ind w:firstLine="709"/>
        <w:jc w:val="both"/>
        <w:rPr>
          <w:sz w:val="24"/>
          <w:szCs w:val="24"/>
        </w:rPr>
      </w:pPr>
      <w:r>
        <w:rPr>
          <w:sz w:val="24"/>
          <w:szCs w:val="24"/>
        </w:rPr>
        <w:t xml:space="preserve">расчетом, подготовленным </w:t>
      </w:r>
      <w:r>
        <w:rPr>
          <w:bCs/>
          <w:sz w:val="24"/>
          <w:szCs w:val="24"/>
        </w:rPr>
        <w:t>Покупателем</w:t>
      </w:r>
      <w:r>
        <w:rPr>
          <w:sz w:val="24"/>
          <w:szCs w:val="24"/>
        </w:rPr>
        <w:t xml:space="preserve">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Ассоциация «НП Совета рынка»).</w:t>
      </w:r>
    </w:p>
    <w:p>
      <w:pPr>
        <w:pStyle w:val="Normal"/>
        <w:ind w:firstLine="709"/>
        <w:jc w:val="both"/>
        <w:rPr>
          <w:sz w:val="24"/>
          <w:szCs w:val="24"/>
        </w:rPr>
      </w:pPr>
      <w:r>
        <w:rPr>
          <w:sz w:val="24"/>
          <w:szCs w:val="24"/>
        </w:rPr>
        <w:t xml:space="preserve">В отношении вновь вводимого оборудования ГЭС / ГАЭС – объектов ДПМ, ДПМ ВИЭ в ценовых зонах ОРЭМ Поставщик дополнительно компенсирует </w:t>
      </w:r>
      <w:r>
        <w:rPr>
          <w:bCs/>
          <w:sz w:val="24"/>
          <w:szCs w:val="24"/>
        </w:rPr>
        <w:t>Покупателю</w:t>
      </w:r>
      <w:r>
        <w:rPr>
          <w:sz w:val="24"/>
          <w:szCs w:val="24"/>
        </w:rPr>
        <w:t xml:space="preserve"> упущенную выгоду (выручку) в связи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ListParagraph"/>
        <w:widowControl/>
        <w:numPr>
          <w:ilvl w:val="1"/>
          <w:numId w:val="2"/>
        </w:numPr>
        <w:shd w:val="clear" w:color="auto" w:fill="FFFFFF"/>
        <w:tabs>
          <w:tab w:val="clear" w:pos="708"/>
          <w:tab w:val="left" w:pos="1141" w:leader="none"/>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8"/>
          <w:tab w:val="left" w:pos="1141" w:leader="none"/>
          <w:tab w:val="left" w:pos="1276" w:leader="none"/>
          <w:tab w:val="left" w:pos="1418"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8"/>
          <w:tab w:val="left" w:pos="1141" w:leader="none"/>
          <w:tab w:val="left" w:pos="1276" w:leader="none"/>
          <w:tab w:val="left" w:pos="1418"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8"/>
          <w:tab w:val="left" w:pos="1141" w:leader="none"/>
          <w:tab w:val="left" w:pos="1276" w:leader="none"/>
          <w:tab w:val="left" w:pos="1418"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8"/>
          <w:tab w:val="left" w:pos="1141" w:leader="none"/>
          <w:tab w:val="left" w:pos="1276" w:leader="none"/>
          <w:tab w:val="left" w:pos="1418"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8"/>
          <w:tab w:val="left" w:pos="0" w:leader="none"/>
          <w:tab w:val="left" w:pos="284"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clear" w:pos="708"/>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8"/>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bookmarkStart w:id="8"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8"/>
      <w:r>
        <w:rPr>
          <w:bCs/>
          <w:sz w:val="24"/>
          <w:szCs w:val="24"/>
        </w:rPr>
        <w:t xml:space="preserve">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bookmarkStart w:id="9"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9"/>
    </w:p>
    <w:p>
      <w:pPr>
        <w:pStyle w:val="ListParagraph"/>
        <w:widowControl/>
        <w:numPr>
          <w:ilvl w:val="2"/>
          <w:numId w:val="2"/>
        </w:numPr>
        <w:shd w:val="clear" w:color="auto" w:fill="FFFFFF"/>
        <w:tabs>
          <w:tab w:val="clear" w:pos="708"/>
          <w:tab w:val="left" w:pos="0" w:leader="none"/>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bCs/>
          <w:sz w:val="24"/>
          <w:szCs w:val="24"/>
        </w:rPr>
      </w:pPr>
      <w:bookmarkStart w:id="10"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10"/>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Условия защиты Информации, представляемой Поставщиком Покупателю, могут быть дополнительно урегулированы отдельно заключаемым Сторонами соглашением.</w:t>
      </w:r>
    </w:p>
    <w:p>
      <w:pPr>
        <w:pStyle w:val="Normal"/>
        <w:shd w:val="clear" w:color="auto" w:fill="FFFFFF"/>
        <w:tabs>
          <w:tab w:val="clear" w:pos="708"/>
          <w:tab w:val="left" w:pos="1134" w:leader="none"/>
          <w:tab w:val="left" w:pos="1283" w:leader="none"/>
        </w:tabs>
        <w:ind w:left="709" w:hanging="0"/>
        <w:jc w:val="both"/>
        <w:rPr>
          <w:bCs/>
          <w:sz w:val="24"/>
          <w:szCs w:val="24"/>
        </w:rPr>
      </w:pPr>
      <w:r>
        <w:rPr>
          <w:bCs/>
          <w:sz w:val="24"/>
          <w:szCs w:val="24"/>
        </w:rPr>
        <w:t xml:space="preserve"> </w:t>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bCs/>
          <w:sz w:val="24"/>
          <w:szCs w:val="24"/>
        </w:rPr>
      </w:pPr>
      <w:r>
        <w:rPr>
          <w:bCs/>
          <w:sz w:val="24"/>
          <w:szCs w:val="24"/>
        </w:rPr>
        <w:t>Споры, указанные в пункте 8.1 Договора, которые не были урегулированы Сторонами путем переговоров, подлежат разрешению в Арбитражном суде Республики Хакасия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8"/>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5 (пяти) рабочих дней с даты получения письменного уведомления.</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5 (пяти) календарных дней до даты прекращения действия Договора. </w:t>
      </w:r>
    </w:p>
    <w:p>
      <w:pPr>
        <w:pStyle w:val="Normal"/>
        <w:shd w:val="clear" w:color="auto" w:fill="FFFFFF"/>
        <w:tabs>
          <w:tab w:val="clear" w:pos="708"/>
          <w:tab w:val="left" w:pos="567" w:leader="none"/>
          <w:tab w:val="left" w:pos="1134" w:leader="none"/>
        </w:tabs>
        <w:ind w:firstLine="709"/>
        <w:jc w:val="both"/>
        <w:rPr>
          <w:color w:val="000000"/>
          <w:sz w:val="24"/>
          <w:szCs w:val="24"/>
        </w:rPr>
      </w:pPr>
      <w:r>
        <w:rPr>
          <w:color w:val="000000"/>
          <w:sz w:val="24"/>
          <w:szCs w:val="24"/>
        </w:rPr>
        <w:t xml:space="preserve">9.7.  Каналы связи Линии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9.7.2. 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8"/>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8"/>
          <w:tab w:val="left" w:pos="0" w:leader="none"/>
          <w:tab w:val="left" w:pos="568" w:leader="none"/>
          <w:tab w:val="left" w:pos="1141"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8"/>
          <w:tab w:val="left" w:pos="426" w:leader="none"/>
        </w:tabs>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851"/>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2"/>
        </w:numPr>
        <w:shd w:val="clear" w:color="auto" w:fill="FFFFFF"/>
        <w:tabs>
          <w:tab w:val="clear" w:pos="708"/>
          <w:tab w:val="left" w:pos="0" w:leader="none"/>
          <w:tab w:val="left" w:pos="568" w:leader="none"/>
          <w:tab w:val="left" w:pos="1141" w:leader="none"/>
          <w:tab w:val="left" w:pos="1418"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8"/>
          <w:tab w:val="left" w:pos="0" w:leader="none"/>
          <w:tab w:val="left" w:pos="568" w:leader="none"/>
          <w:tab w:val="left" w:pos="1141" w:leader="none"/>
          <w:tab w:val="left" w:pos="1418" w:leader="none"/>
        </w:tabs>
        <w:ind w:left="0" w:firstLine="709"/>
        <w:jc w:val="both"/>
        <w:rPr>
          <w:bCs/>
          <w:sz w:val="24"/>
          <w:szCs w:val="24"/>
        </w:rPr>
      </w:pPr>
      <w:r>
        <w:rPr>
          <w:bCs/>
          <w:sz w:val="24"/>
          <w:szCs w:val="24"/>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8"/>
          <w:tab w:val="left" w:pos="0" w:leader="none"/>
          <w:tab w:val="left" w:pos="568" w:leader="none"/>
          <w:tab w:val="left" w:pos="1141" w:leader="none"/>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8"/>
          <w:tab w:val="left" w:pos="0" w:leader="none"/>
          <w:tab w:val="left" w:pos="568" w:leader="none"/>
          <w:tab w:val="left" w:pos="1141" w:leader="none"/>
          <w:tab w:val="left" w:pos="1418"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8"/>
          <w:tab w:val="left" w:pos="0" w:leader="none"/>
          <w:tab w:val="left" w:pos="568" w:leader="none"/>
          <w:tab w:val="left" w:pos="1141" w:leader="none"/>
          <w:tab w:val="left" w:pos="1418"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8"/>
          <w:tab w:val="left" w:pos="0" w:leader="none"/>
          <w:tab w:val="left" w:pos="568" w:leader="none"/>
          <w:tab w:val="left" w:pos="1141" w:leader="none"/>
          <w:tab w:val="left" w:pos="1418"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8"/>
          <w:tab w:val="left" w:pos="1134" w:leader="none"/>
        </w:tabs>
        <w:ind w:firstLine="709"/>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 w:val="left" w:pos="567"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8"/>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8"/>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8"/>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8"/>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8"/>
        </w:numPr>
        <w:shd w:val="clear" w:color="auto" w:fill="FFFFFF"/>
        <w:tabs>
          <w:tab w:val="clear" w:pos="708"/>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0"/>
        </w:numPr>
        <w:shd w:val="clear" w:color="auto" w:fill="FFFFFF"/>
        <w:tabs>
          <w:tab w:val="clear" w:pos="708"/>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0"/>
        </w:numPr>
        <w:shd w:val="clear" w:color="auto" w:fill="FFFFFF"/>
        <w:tabs>
          <w:tab w:val="clear" w:pos="708"/>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0"/>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0"/>
        </w:numPr>
        <w:shd w:val="clear" w:color="auto" w:fill="FFFFFF"/>
        <w:tabs>
          <w:tab w:val="clear" w:pos="708"/>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9"/>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9"/>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9"/>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9"/>
        </w:numPr>
        <w:shd w:val="clear" w:color="auto" w:fill="FFFFFF"/>
        <w:tabs>
          <w:tab w:val="clear" w:pos="708"/>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8"/>
          <w:tab w:val="left" w:pos="0" w:leader="none"/>
          <w:tab w:val="left" w:pos="1141" w:leader="none"/>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left="0" w:hanging="0"/>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8"/>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7"/>
        </w:numPr>
        <w:tabs>
          <w:tab w:val="clear" w:pos="708"/>
          <w:tab w:val="left" w:pos="0" w:leader="none"/>
          <w:tab w:val="left" w:pos="1418" w:leader="none"/>
        </w:tabs>
        <w:ind w:left="0" w:firstLine="709"/>
        <w:jc w:val="both"/>
        <w:rPr>
          <w:sz w:val="24"/>
          <w:szCs w:val="24"/>
        </w:rPr>
      </w:pPr>
      <w:r>
        <w:rPr>
          <w:sz w:val="24"/>
          <w:szCs w:val="24"/>
        </w:rPr>
        <w:t>нарушение Поставщиком общего срока поставки Товара по Договору более чем на 60 (шестьдесят) календарных дней по причинам, не зависящим от Покупателя;</w:t>
      </w:r>
    </w:p>
    <w:p>
      <w:pPr>
        <w:pStyle w:val="ListParagraph"/>
        <w:widowControl/>
        <w:numPr>
          <w:ilvl w:val="0"/>
          <w:numId w:val="7"/>
        </w:numPr>
        <w:tabs>
          <w:tab w:val="clear" w:pos="708"/>
          <w:tab w:val="left" w:pos="0" w:leader="none"/>
          <w:tab w:val="left" w:pos="1418" w:leader="none"/>
        </w:tabs>
        <w:ind w:left="0"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7"/>
        </w:numPr>
        <w:tabs>
          <w:tab w:val="clear" w:pos="708"/>
          <w:tab w:val="left" w:pos="0" w:leader="none"/>
          <w:tab w:val="left" w:pos="1418" w:leader="none"/>
        </w:tabs>
        <w:ind w:left="0"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7"/>
        </w:numPr>
        <w:tabs>
          <w:tab w:val="clear" w:pos="708"/>
          <w:tab w:val="left" w:pos="0" w:leader="none"/>
          <w:tab w:val="left" w:pos="1418" w:leader="none"/>
        </w:tabs>
        <w:ind w:left="0"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7"/>
        </w:numPr>
        <w:tabs>
          <w:tab w:val="clear" w:pos="708"/>
          <w:tab w:val="left" w:pos="0" w:leader="none"/>
          <w:tab w:val="left" w:pos="1418" w:leader="none"/>
        </w:tabs>
        <w:ind w:left="0" w:firstLine="709"/>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8"/>
          <w:tab w:val="left" w:pos="1134" w:leader="none"/>
        </w:tabs>
        <w:ind w:left="0" w:hanging="0"/>
        <w:jc w:val="both"/>
        <w:rPr>
          <w:sz w:val="24"/>
          <w:szCs w:val="24"/>
        </w:rPr>
      </w:pPr>
      <w:r>
        <w:rPr>
          <w:sz w:val="24"/>
          <w:szCs w:val="24"/>
        </w:rPr>
      </w:r>
    </w:p>
    <w:p>
      <w:pPr>
        <w:pStyle w:val="ListParagraph"/>
        <w:widowControl/>
        <w:shd w:val="clear" w:color="auto" w:fill="FFFFFF"/>
        <w:tabs>
          <w:tab w:val="clear" w:pos="708"/>
          <w:tab w:val="left" w:pos="1134" w:leader="none"/>
        </w:tabs>
        <w:ind w:left="0" w:hanging="0"/>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до полного исполнения ими принятых на себя обязательств.</w:t>
      </w:r>
    </w:p>
    <w:p>
      <w:pPr>
        <w:pStyle w:val="ListParagraph"/>
        <w:widowControl/>
        <w:numPr>
          <w:ilvl w:val="1"/>
          <w:numId w:val="2"/>
        </w:numPr>
        <w:shd w:val="clear" w:color="auto" w:fill="FFFFFF"/>
        <w:tabs>
          <w:tab w:val="clear" w:pos="708"/>
          <w:tab w:val="left" w:pos="0" w:leader="none"/>
          <w:tab w:val="left" w:pos="1418" w:leader="none"/>
          <w:tab w:val="left" w:pos="1851" w:leader="none"/>
        </w:tabs>
        <w:ind w:left="0" w:firstLine="709"/>
        <w:jc w:val="both"/>
        <w:rPr>
          <w:sz w:val="24"/>
          <w:szCs w:val="24"/>
        </w:rPr>
      </w:pPr>
      <w:r>
        <w:rPr>
          <w:sz w:val="24"/>
          <w:szCs w:val="24"/>
        </w:rP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ListParagraph"/>
        <w:widowControl/>
        <w:shd w:val="clear" w:color="auto" w:fill="FFFFFF"/>
        <w:tabs>
          <w:tab w:val="clear" w:pos="708"/>
          <w:tab w:val="left" w:pos="0" w:leader="none"/>
          <w:tab w:val="left" w:pos="1418" w:leader="none"/>
        </w:tabs>
        <w:ind w:left="0" w:firstLine="567"/>
        <w:jc w:val="both"/>
        <w:rPr>
          <w:sz w:val="24"/>
          <w:szCs w:val="24"/>
        </w:rPr>
      </w:pPr>
      <w:r>
        <w:rPr>
          <w:sz w:val="24"/>
          <w:szCs w:val="24"/>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14.8 Договора. </w:t>
      </w:r>
      <w:bookmarkStart w:id="11" w:name="_Ref361338004"/>
    </w:p>
    <w:p>
      <w:pPr>
        <w:pStyle w:val="ListParagraph"/>
        <w:widowControl/>
        <w:numPr>
          <w:ilvl w:val="1"/>
          <w:numId w:val="2"/>
        </w:numPr>
        <w:shd w:val="clear" w:color="auto" w:fill="FFFFFF"/>
        <w:tabs>
          <w:tab w:val="clear" w:pos="708"/>
          <w:tab w:val="left" w:pos="0" w:leader="none"/>
          <w:tab w:val="left" w:pos="1141" w:leader="none"/>
          <w:tab w:val="left" w:pos="1418" w:leader="none"/>
        </w:tabs>
        <w:ind w:left="0" w:firstLine="709"/>
        <w:jc w:val="both"/>
        <w:rPr>
          <w:sz w:val="24"/>
          <w:szCs w:val="24"/>
        </w:rPr>
      </w:pPr>
      <w:r>
        <w:rPr>
          <w:sz w:val="24"/>
          <w:szCs w:val="24"/>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w:t>
      </w:r>
      <w:bookmarkEnd w:id="11"/>
      <w:r>
        <w:rPr>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 14.8.2 Договора. </w:t>
      </w:r>
    </w:p>
    <w:p>
      <w:pPr>
        <w:pStyle w:val="Normal"/>
        <w:widowControl/>
        <w:numPr>
          <w:ilvl w:val="1"/>
          <w:numId w:val="2"/>
        </w:numPr>
        <w:tabs>
          <w:tab w:val="clear" w:pos="708"/>
          <w:tab w:val="left" w:pos="0" w:leader="none"/>
          <w:tab w:val="left" w:pos="1141"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numPr>
          <w:ilvl w:val="1"/>
          <w:numId w:val="2"/>
        </w:numPr>
        <w:tabs>
          <w:tab w:val="clear" w:pos="708"/>
          <w:tab w:val="left" w:pos="0" w:leader="none"/>
          <w:tab w:val="left" w:pos="1141" w:leader="none"/>
          <w:tab w:val="left" w:pos="1418" w:leader="none"/>
        </w:tabs>
        <w:ind w:left="0" w:firstLine="709"/>
        <w:jc w:val="both"/>
        <w:rPr>
          <w:bCs/>
          <w:sz w:val="24"/>
          <w:szCs w:val="24"/>
        </w:rPr>
      </w:pPr>
      <w:r>
        <w:rPr>
          <w:bCs/>
          <w:sz w:val="24"/>
          <w:szCs w:val="24"/>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p>
    <w:p>
      <w:pPr>
        <w:pStyle w:val="Normal"/>
        <w:widowControl/>
        <w:tabs>
          <w:tab w:val="clear" w:pos="708"/>
          <w:tab w:val="left" w:pos="0" w:leader="none"/>
          <w:tab w:val="left" w:pos="1418" w:leader="none"/>
        </w:tabs>
        <w:ind w:firstLine="709"/>
        <w:jc w:val="both"/>
        <w:rPr>
          <w:bCs/>
          <w:sz w:val="24"/>
          <w:szCs w:val="24"/>
        </w:rPr>
      </w:pPr>
      <w:r>
        <w:rPr>
          <w:bCs/>
          <w:sz w:val="24"/>
          <w:szCs w:val="24"/>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p>
    <w:p>
      <w:pPr>
        <w:pStyle w:val="ListParagraph"/>
        <w:numPr>
          <w:ilvl w:val="1"/>
          <w:numId w:val="2"/>
        </w:numPr>
        <w:tabs>
          <w:tab w:val="clear" w:pos="708"/>
          <w:tab w:val="left" w:pos="1141"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8"/>
          <w:tab w:val="left" w:pos="284" w:leader="none"/>
        </w:tabs>
        <w:spacing w:before="0" w:after="0"/>
        <w:ind w:left="0" w:hanging="36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0" w:leader="none"/>
        </w:tabs>
        <w:suppressAutoHyphens w:val="true"/>
        <w:ind w:firstLine="709"/>
        <w:jc w:val="both"/>
        <w:rPr>
          <w:rFonts w:eastAsia="Calibri"/>
          <w:sz w:val="24"/>
          <w:szCs w:val="24"/>
          <w:lang w:eastAsia="en-US"/>
        </w:rPr>
      </w:pPr>
      <w:bookmarkStart w:id="12" w:name="sub_1"/>
      <w:r>
        <w:rPr>
          <w:rFonts w:eastAsia="Calibri"/>
          <w:sz w:val="24"/>
          <w:szCs w:val="24"/>
          <w:lang w:eastAsia="en-US"/>
        </w:rPr>
        <w:t>Приложение № 1 – Спецификация.</w:t>
      </w:r>
    </w:p>
    <w:p>
      <w:pPr>
        <w:pStyle w:val="Normal"/>
        <w:widowControl/>
        <w:shd w:val="clear" w:color="auto" w:fill="FFFFFF"/>
        <w:tabs>
          <w:tab w:val="clear" w:pos="708"/>
          <w:tab w:val="left" w:pos="0" w:leader="none"/>
          <w:tab w:val="left" w:pos="2694" w:leader="none"/>
        </w:tabs>
        <w:suppressAutoHyphens w:val="true"/>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8"/>
          <w:tab w:val="left" w:pos="0" w:leader="none"/>
          <w:tab w:val="left" w:pos="2694" w:leader="none"/>
        </w:tabs>
        <w:suppressAutoHyphens w:val="true"/>
        <w:ind w:firstLine="709"/>
        <w:jc w:val="both"/>
        <w:rPr>
          <w:sz w:val="24"/>
          <w:szCs w:val="24"/>
        </w:rPr>
      </w:pPr>
      <w:bookmarkStart w:id="13" w:name="sub_1"/>
      <w:r>
        <w:rPr>
          <w:rFonts w:eastAsia="Calibri"/>
          <w:sz w:val="24"/>
          <w:szCs w:val="24"/>
          <w:lang w:eastAsia="en-US"/>
        </w:rPr>
        <w:t>Приложение № 3 – Критерии отбора Банков-Гарантов.</w:t>
      </w:r>
      <w:bookmarkEnd w:id="13"/>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left="0" w:hanging="0"/>
        <w:jc w:val="center"/>
        <w:rPr>
          <w:b/>
          <w:bCs/>
          <w:sz w:val="24"/>
          <w:szCs w:val="24"/>
        </w:rPr>
      </w:pPr>
      <w:r>
        <w:rPr>
          <w:b/>
          <w:bCs/>
          <w:sz w:val="24"/>
          <w:szCs w:val="24"/>
        </w:rPr>
        <w:t>Адреса и платежные реквизиты Сторон</w:t>
      </w:r>
    </w:p>
    <w:tbl>
      <w:tblPr>
        <w:tblW w:w="9639" w:type="dxa"/>
        <w:jc w:val="left"/>
        <w:tblInd w:w="-5" w:type="dxa"/>
        <w:tblLayout w:type="fixed"/>
        <w:tblCellMar>
          <w:top w:w="0" w:type="dxa"/>
          <w:left w:w="108" w:type="dxa"/>
          <w:bottom w:w="0" w:type="dxa"/>
          <w:right w:w="108" w:type="dxa"/>
        </w:tblCellMar>
        <w:tblLook w:val="01e0" w:noHBand="0" w:noVBand="0" w:firstColumn="1" w:lastRow="1" w:lastColumn="1" w:firstRow="1"/>
      </w:tblPr>
      <w:tblGrid>
        <w:gridCol w:w="2522"/>
        <w:gridCol w:w="2262"/>
        <w:gridCol w:w="1453"/>
        <w:gridCol w:w="3333"/>
        <w:gridCol w:w="69"/>
      </w:tblGrid>
      <w:tr>
        <w:trPr>
          <w:tblHeader w:val="true"/>
          <w:trHeight w:val="387"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ind w:left="360" w:hanging="0"/>
              <w:jc w:val="center"/>
              <w:rPr>
                <w:b/>
                <w:color w:val="000000"/>
                <w:sz w:val="24"/>
                <w:szCs w:val="24"/>
                <w:lang w:eastAsia="en-US"/>
              </w:rPr>
            </w:pPr>
            <w:r>
              <w:rPr>
                <w:b/>
                <w:color w:val="000000"/>
                <w:sz w:val="24"/>
                <w:szCs w:val="24"/>
                <w:lang w:eastAsia="en-US"/>
              </w:rPr>
              <w:t>Наименование реквизита</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jc w:val="center"/>
              <w:rPr>
                <w:b/>
                <w:color w:val="000000"/>
                <w:sz w:val="24"/>
                <w:szCs w:val="24"/>
                <w:lang w:eastAsia="en-US"/>
              </w:rPr>
            </w:pPr>
            <w:r>
              <w:rPr>
                <w:b/>
                <w:color w:val="000000"/>
                <w:sz w:val="24"/>
                <w:szCs w:val="24"/>
                <w:lang w:eastAsia="en-US"/>
              </w:rPr>
              <w:t>Покупатель</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16"/>
              <w:jc w:val="center"/>
              <w:rPr>
                <w:b/>
                <w:color w:val="000000"/>
                <w:sz w:val="24"/>
                <w:szCs w:val="24"/>
                <w:lang w:eastAsia="en-US"/>
              </w:rPr>
            </w:pPr>
            <w:r>
              <w:rPr>
                <w:b/>
                <w:color w:val="000000"/>
                <w:sz w:val="24"/>
                <w:szCs w:val="24"/>
                <w:lang w:eastAsia="en-US"/>
              </w:rPr>
              <w:t>Поставщик</w:t>
            </w:r>
          </w:p>
        </w:tc>
      </w:tr>
      <w:tr>
        <w:trPr>
          <w:trHeight w:val="558"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color w:val="000000"/>
                <w:sz w:val="24"/>
                <w:szCs w:val="24"/>
                <w:lang w:eastAsia="en-US"/>
              </w:rPr>
            </w:pPr>
            <w:r>
              <w:rPr>
                <w:color w:val="000000"/>
                <w:sz w:val="24"/>
                <w:szCs w:val="24"/>
                <w:lang w:eastAsia="en-US"/>
              </w:rPr>
              <w:t>Полное наименование</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16"/>
              <w:rPr>
                <w:sz w:val="24"/>
                <w:szCs w:val="24"/>
                <w:lang w:eastAsia="en-US"/>
              </w:rPr>
            </w:pPr>
            <w:r>
              <w:rPr>
                <w:sz w:val="24"/>
                <w:szCs w:val="24"/>
                <w:lang w:eastAsia="en-US"/>
              </w:rPr>
              <w:t>Публичное акционерное общество «Федеральная гидрогенерирующая компания-РусГидро»</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16"/>
              <w:rPr>
                <w:sz w:val="24"/>
                <w:szCs w:val="24"/>
              </w:rPr>
            </w:pPr>
            <w:r>
              <w:rPr>
                <w:sz w:val="24"/>
                <w:szCs w:val="24"/>
              </w:rPr>
            </w:r>
          </w:p>
        </w:tc>
      </w:tr>
      <w:tr>
        <w:trPr>
          <w:trHeight w:val="60"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color w:val="000000"/>
                <w:sz w:val="24"/>
                <w:szCs w:val="24"/>
                <w:lang w:eastAsia="en-US"/>
              </w:rPr>
            </w:pPr>
            <w:r>
              <w:rPr>
                <w:color w:val="000000"/>
                <w:sz w:val="24"/>
                <w:szCs w:val="24"/>
                <w:lang w:eastAsia="en-US"/>
              </w:rPr>
              <w:t>Сокращенное наименование</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16"/>
              <w:rPr>
                <w:sz w:val="24"/>
                <w:szCs w:val="24"/>
                <w:lang w:eastAsia="en-US"/>
              </w:rPr>
            </w:pPr>
            <w:r>
              <w:rPr>
                <w:sz w:val="24"/>
                <w:szCs w:val="24"/>
                <w:lang w:eastAsia="en-US"/>
              </w:rPr>
              <w:t>ПАО «РусГидро»</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16"/>
              <w:rPr>
                <w:sz w:val="24"/>
                <w:szCs w:val="24"/>
              </w:rPr>
            </w:pPr>
            <w:r>
              <w:rPr>
                <w:sz w:val="24"/>
                <w:szCs w:val="24"/>
              </w:rPr>
            </w:r>
          </w:p>
        </w:tc>
      </w:tr>
      <w:tr>
        <w:trPr>
          <w:trHeight w:val="771"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color w:val="000000"/>
                <w:sz w:val="24"/>
                <w:szCs w:val="24"/>
                <w:lang w:eastAsia="en-US"/>
              </w:rPr>
            </w:pPr>
            <w:r>
              <w:rPr>
                <w:color w:val="000000"/>
                <w:sz w:val="24"/>
                <w:szCs w:val="24"/>
                <w:lang w:eastAsia="en-US"/>
              </w:rPr>
              <w:t>Место нахождения Общества</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16"/>
              <w:rPr>
                <w:sz w:val="24"/>
                <w:szCs w:val="24"/>
                <w:lang w:eastAsia="en-US"/>
              </w:rPr>
            </w:pPr>
            <w:r>
              <w:rPr>
                <w:sz w:val="24"/>
                <w:szCs w:val="24"/>
                <w:lang w:eastAsia="en-US"/>
              </w:rPr>
              <w:t xml:space="preserve">660049, Российская Федерация, Красноярский край, </w:t>
            </w:r>
          </w:p>
          <w:p>
            <w:pPr>
              <w:pStyle w:val="Normal"/>
              <w:widowControl w:val="false"/>
              <w:snapToGrid w:val="false"/>
              <w:spacing w:lineRule="auto" w:line="216"/>
              <w:rPr>
                <w:sz w:val="24"/>
                <w:szCs w:val="24"/>
                <w:lang w:eastAsia="en-US"/>
              </w:rPr>
            </w:pPr>
            <w:r>
              <w:rPr>
                <w:sz w:val="24"/>
                <w:szCs w:val="24"/>
                <w:lang w:eastAsia="en-US"/>
              </w:rPr>
              <w:t xml:space="preserve">г.о. город Красноярск, </w:t>
            </w:r>
          </w:p>
          <w:p>
            <w:pPr>
              <w:pStyle w:val="Normal"/>
              <w:widowControl w:val="false"/>
              <w:snapToGrid w:val="false"/>
              <w:spacing w:lineRule="auto" w:line="216"/>
              <w:rPr>
                <w:sz w:val="24"/>
                <w:szCs w:val="24"/>
                <w:lang w:eastAsia="en-US"/>
              </w:rPr>
            </w:pPr>
            <w:r>
              <w:rPr>
                <w:sz w:val="24"/>
                <w:szCs w:val="24"/>
                <w:lang w:eastAsia="en-US"/>
              </w:rPr>
              <w:t xml:space="preserve">г. Красноярск, ул. Перенсона, </w:t>
            </w:r>
          </w:p>
          <w:p>
            <w:pPr>
              <w:pStyle w:val="Normal"/>
              <w:widowControl w:val="false"/>
              <w:snapToGrid w:val="false"/>
              <w:spacing w:lineRule="auto" w:line="216"/>
              <w:rPr>
                <w:sz w:val="24"/>
                <w:szCs w:val="24"/>
                <w:lang w:eastAsia="en-US"/>
              </w:rPr>
            </w:pPr>
            <w:r>
              <w:rPr>
                <w:sz w:val="24"/>
                <w:szCs w:val="24"/>
                <w:lang w:eastAsia="en-US"/>
              </w:rPr>
              <w:t>зд. 2а, помещ. 1</w:t>
            </w:r>
          </w:p>
        </w:tc>
        <w:tc>
          <w:tcPr>
            <w:tcW w:w="340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uto" w:line="216"/>
              <w:rPr>
                <w:sz w:val="24"/>
                <w:szCs w:val="24"/>
              </w:rPr>
            </w:pPr>
            <w:r>
              <w:rPr>
                <w:sz w:val="24"/>
                <w:szCs w:val="24"/>
              </w:rPr>
            </w:r>
          </w:p>
        </w:tc>
      </w:tr>
      <w:tr>
        <w:trPr>
          <w:trHeight w:val="447"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color w:val="000000"/>
                <w:sz w:val="24"/>
                <w:szCs w:val="24"/>
                <w:lang w:eastAsia="en-US"/>
              </w:rPr>
            </w:pPr>
            <w:r>
              <w:rPr>
                <w:color w:val="000000"/>
                <w:sz w:val="24"/>
                <w:szCs w:val="24"/>
                <w:lang w:eastAsia="en-US"/>
              </w:rPr>
              <w:t>Почтовый адрес для отправки корреспонденции</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16"/>
              <w:rPr>
                <w:sz w:val="24"/>
                <w:szCs w:val="24"/>
                <w:lang w:eastAsia="en-US"/>
              </w:rPr>
            </w:pPr>
            <w:r>
              <w:rPr>
                <w:sz w:val="24"/>
                <w:szCs w:val="24"/>
                <w:lang w:eastAsia="en-US"/>
              </w:rPr>
              <w:t xml:space="preserve">655619, Российская Федерация, </w:t>
            </w:r>
          </w:p>
          <w:p>
            <w:pPr>
              <w:pStyle w:val="Normal"/>
              <w:widowControl w:val="false"/>
              <w:snapToGrid w:val="false"/>
              <w:spacing w:lineRule="auto" w:line="216"/>
              <w:rPr>
                <w:sz w:val="24"/>
                <w:szCs w:val="24"/>
                <w:lang w:eastAsia="en-US"/>
              </w:rPr>
            </w:pPr>
            <w:r>
              <w:rPr>
                <w:sz w:val="24"/>
                <w:szCs w:val="24"/>
                <w:lang w:eastAsia="en-US"/>
              </w:rPr>
              <w:t xml:space="preserve">Республика Хакасия, </w:t>
            </w:r>
          </w:p>
          <w:p>
            <w:pPr>
              <w:pStyle w:val="Normal"/>
              <w:widowControl w:val="false"/>
              <w:snapToGrid w:val="false"/>
              <w:spacing w:lineRule="auto" w:line="216"/>
              <w:rPr>
                <w:sz w:val="24"/>
                <w:szCs w:val="24"/>
                <w:lang w:eastAsia="en-US"/>
              </w:rPr>
            </w:pPr>
            <w:r>
              <w:rPr>
                <w:sz w:val="24"/>
                <w:szCs w:val="24"/>
                <w:lang w:eastAsia="en-US"/>
              </w:rPr>
              <w:t xml:space="preserve">г. Саяногорск, рп. Черемушки, </w:t>
            </w:r>
          </w:p>
          <w:p>
            <w:pPr>
              <w:pStyle w:val="Normal"/>
              <w:widowControl w:val="false"/>
              <w:snapToGrid w:val="false"/>
              <w:spacing w:lineRule="auto" w:line="216"/>
              <w:rPr>
                <w:sz w:val="24"/>
                <w:szCs w:val="24"/>
                <w:lang w:eastAsia="en-US"/>
              </w:rPr>
            </w:pPr>
            <w:r>
              <w:rPr>
                <w:sz w:val="24"/>
                <w:szCs w:val="24"/>
                <w:lang w:eastAsia="en-US"/>
              </w:rPr>
              <w:t>а/я 39</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16"/>
              <w:rPr>
                <w:sz w:val="24"/>
                <w:szCs w:val="24"/>
              </w:rPr>
            </w:pPr>
            <w:r>
              <w:rPr>
                <w:sz w:val="24"/>
                <w:szCs w:val="24"/>
              </w:rPr>
            </w:r>
          </w:p>
        </w:tc>
      </w:tr>
      <w:tr>
        <w:trPr>
          <w:trHeight w:val="921"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color w:val="000000"/>
                <w:sz w:val="24"/>
                <w:szCs w:val="24"/>
                <w:lang w:eastAsia="en-US"/>
              </w:rPr>
            </w:pPr>
            <w:r>
              <w:rPr>
                <w:color w:val="000000"/>
                <w:sz w:val="24"/>
                <w:szCs w:val="24"/>
                <w:lang w:eastAsia="en-US"/>
              </w:rPr>
              <w:t>Полное наименование филиала</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16"/>
              <w:rPr>
                <w:sz w:val="24"/>
                <w:szCs w:val="24"/>
                <w:lang w:eastAsia="en-US"/>
              </w:rPr>
            </w:pPr>
            <w:r>
              <w:rPr>
                <w:sz w:val="24"/>
                <w:szCs w:val="24"/>
                <w:lang w:eastAsia="en-US"/>
              </w:rPr>
              <w:t>Филиал Публичного акционерного общества «Федеральная гидрогенерирующая компания - РусГидро» - «Саяно-Шушенская ГЭС имени П.С. Непорожнего»</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rHeight w:val="725"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color w:val="000000"/>
                <w:sz w:val="24"/>
                <w:szCs w:val="24"/>
                <w:lang w:eastAsia="en-US"/>
              </w:rPr>
            </w:pPr>
            <w:r>
              <w:rPr>
                <w:color w:val="000000"/>
                <w:sz w:val="24"/>
                <w:szCs w:val="24"/>
                <w:lang w:eastAsia="en-US"/>
              </w:rPr>
              <w:t>Сокращенное наименование филиала</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16"/>
              <w:rPr>
                <w:sz w:val="24"/>
                <w:szCs w:val="24"/>
                <w:lang w:eastAsia="en-US"/>
              </w:rPr>
            </w:pPr>
            <w:r>
              <w:rPr>
                <w:sz w:val="24"/>
                <w:szCs w:val="24"/>
                <w:lang w:eastAsia="en-US"/>
              </w:rPr>
              <w:t>Филиал ПАО «РусГидро» – «Саяно-Шушенская ГЭС имени П.С. Непорожнего»</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rHeight w:val="884"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color w:val="000000"/>
                <w:sz w:val="24"/>
                <w:szCs w:val="24"/>
                <w:lang w:eastAsia="en-US"/>
              </w:rPr>
            </w:pPr>
            <w:r>
              <w:rPr>
                <w:color w:val="000000"/>
                <w:sz w:val="24"/>
                <w:szCs w:val="24"/>
                <w:lang w:eastAsia="en-US"/>
              </w:rPr>
              <w:t>Место нахождения филиала</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16"/>
              <w:rPr>
                <w:sz w:val="24"/>
                <w:szCs w:val="24"/>
                <w:lang w:eastAsia="en-US"/>
              </w:rPr>
            </w:pPr>
            <w:r>
              <w:rPr>
                <w:sz w:val="24"/>
                <w:szCs w:val="24"/>
                <w:lang w:eastAsia="en-US"/>
              </w:rPr>
              <w:t xml:space="preserve">655619, Российская Федерация, </w:t>
            </w:r>
          </w:p>
          <w:p>
            <w:pPr>
              <w:pStyle w:val="Normal"/>
              <w:widowControl w:val="false"/>
              <w:snapToGrid w:val="false"/>
              <w:spacing w:lineRule="auto" w:line="216"/>
              <w:rPr>
                <w:sz w:val="24"/>
                <w:szCs w:val="24"/>
                <w:lang w:eastAsia="en-US"/>
              </w:rPr>
            </w:pPr>
            <w:r>
              <w:rPr>
                <w:sz w:val="24"/>
                <w:szCs w:val="24"/>
                <w:lang w:eastAsia="en-US"/>
              </w:rPr>
              <w:t xml:space="preserve">Республика Хакасия, </w:t>
            </w:r>
          </w:p>
          <w:p>
            <w:pPr>
              <w:pStyle w:val="Normal"/>
              <w:widowControl w:val="false"/>
              <w:snapToGrid w:val="false"/>
              <w:spacing w:lineRule="auto" w:line="216"/>
              <w:rPr>
                <w:sz w:val="24"/>
                <w:szCs w:val="24"/>
                <w:lang w:eastAsia="en-US"/>
              </w:rPr>
            </w:pPr>
            <w:r>
              <w:rPr>
                <w:sz w:val="24"/>
                <w:szCs w:val="24"/>
                <w:lang w:eastAsia="en-US"/>
              </w:rPr>
              <w:t>г.о. г. Саяногорск, рп. Черемушки</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rHeight w:val="527"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color w:val="000000"/>
                <w:sz w:val="24"/>
                <w:szCs w:val="24"/>
                <w:lang w:eastAsia="en-US"/>
              </w:rPr>
            </w:pPr>
            <w:r>
              <w:rPr>
                <w:color w:val="000000"/>
                <w:sz w:val="24"/>
                <w:szCs w:val="24"/>
                <w:lang w:eastAsia="en-US"/>
              </w:rPr>
              <w:t>Получатель</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16"/>
              <w:rPr>
                <w:sz w:val="24"/>
                <w:szCs w:val="24"/>
                <w:highlight w:val="lightGray"/>
                <w:lang w:eastAsia="en-US"/>
              </w:rPr>
            </w:pPr>
            <w:r>
              <w:rPr>
                <w:sz w:val="24"/>
                <w:szCs w:val="24"/>
                <w:lang w:eastAsia="en-US"/>
              </w:rPr>
              <w:t>Филиал ПАО «РусГидро» – «Саяно-Шушенская ГЭС имени П.С. Непорожнего»</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rHeight w:val="591"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color w:val="000000"/>
                <w:sz w:val="24"/>
                <w:szCs w:val="24"/>
                <w:lang w:eastAsia="en-US"/>
              </w:rPr>
            </w:pPr>
            <w:r>
              <w:rPr>
                <w:color w:val="000000"/>
                <w:sz w:val="24"/>
                <w:szCs w:val="24"/>
                <w:lang w:eastAsia="en-US"/>
              </w:rPr>
              <w:t>Банк получателя</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16"/>
              <w:jc w:val="both"/>
              <w:rPr>
                <w:sz w:val="24"/>
                <w:szCs w:val="24"/>
              </w:rPr>
            </w:pPr>
            <w:r>
              <w:rPr>
                <w:sz w:val="24"/>
                <w:szCs w:val="24"/>
              </w:rPr>
              <w:t>Абаканское отделение N8602</w:t>
            </w:r>
          </w:p>
          <w:p>
            <w:pPr>
              <w:pStyle w:val="Normal"/>
              <w:widowControl w:val="false"/>
              <w:shd w:val="clear" w:color="auto" w:fill="FFFFFF"/>
              <w:suppressAutoHyphens w:val="true"/>
              <w:spacing w:lineRule="exact" w:line="230"/>
              <w:rPr>
                <w:sz w:val="24"/>
                <w:szCs w:val="24"/>
                <w:highlight w:val="lightGray"/>
              </w:rPr>
            </w:pPr>
            <w:r>
              <w:rPr>
                <w:sz w:val="24"/>
                <w:szCs w:val="24"/>
              </w:rPr>
              <w:t>ПАО Сбербанк г. Абакан</w:t>
            </w:r>
          </w:p>
        </w:tc>
        <w:tc>
          <w:tcPr>
            <w:tcW w:w="340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16"/>
              <w:rPr>
                <w:sz w:val="24"/>
                <w:szCs w:val="24"/>
              </w:rPr>
            </w:pPr>
            <w:r>
              <w:rPr>
                <w:sz w:val="24"/>
                <w:szCs w:val="24"/>
              </w:rPr>
            </w:r>
          </w:p>
        </w:tc>
      </w:tr>
      <w:tr>
        <w:trPr>
          <w:trHeight w:val="413"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color w:val="000000"/>
                <w:sz w:val="24"/>
                <w:szCs w:val="24"/>
                <w:lang w:eastAsia="en-US"/>
              </w:rPr>
            </w:pPr>
            <w:r>
              <w:rPr>
                <w:color w:val="000000"/>
                <w:sz w:val="24"/>
                <w:szCs w:val="24"/>
                <w:lang w:eastAsia="en-US"/>
              </w:rPr>
              <w:t>Расчетный счет</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16"/>
              <w:rPr>
                <w:sz w:val="24"/>
                <w:szCs w:val="24"/>
                <w:highlight w:val="lightGray"/>
              </w:rPr>
            </w:pPr>
            <w:r>
              <w:rPr>
                <w:sz w:val="24"/>
                <w:szCs w:val="24"/>
              </w:rPr>
              <w:t>40702810071020127240</w:t>
            </w:r>
          </w:p>
        </w:tc>
        <w:tc>
          <w:tcPr>
            <w:tcW w:w="340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16"/>
              <w:rPr>
                <w:sz w:val="24"/>
                <w:szCs w:val="24"/>
              </w:rPr>
            </w:pPr>
            <w:r>
              <w:rPr>
                <w:sz w:val="24"/>
                <w:szCs w:val="24"/>
              </w:rPr>
            </w:r>
          </w:p>
        </w:tc>
      </w:tr>
      <w:tr>
        <w:trPr>
          <w:trHeight w:val="231"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color w:val="000000"/>
                <w:sz w:val="24"/>
                <w:szCs w:val="24"/>
                <w:lang w:eastAsia="en-US"/>
              </w:rPr>
            </w:pPr>
            <w:r>
              <w:rPr>
                <w:color w:val="000000"/>
                <w:sz w:val="24"/>
                <w:szCs w:val="24"/>
                <w:lang w:eastAsia="en-US"/>
              </w:rPr>
              <w:t>Корреспондентский счет</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16"/>
              <w:rPr>
                <w:sz w:val="24"/>
                <w:szCs w:val="24"/>
                <w:highlight w:val="lightGray"/>
              </w:rPr>
            </w:pPr>
            <w:r>
              <w:rPr>
                <w:sz w:val="24"/>
                <w:szCs w:val="24"/>
              </w:rPr>
              <w:t>30101810500000000608</w:t>
            </w:r>
          </w:p>
        </w:tc>
        <w:tc>
          <w:tcPr>
            <w:tcW w:w="340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16"/>
              <w:rPr>
                <w:sz w:val="24"/>
                <w:szCs w:val="24"/>
              </w:rPr>
            </w:pPr>
            <w:r>
              <w:rPr>
                <w:sz w:val="24"/>
                <w:szCs w:val="24"/>
              </w:rPr>
            </w:r>
          </w:p>
        </w:tc>
      </w:tr>
      <w:tr>
        <w:trPr>
          <w:trHeight w:val="175"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color w:val="000000"/>
                <w:sz w:val="24"/>
                <w:szCs w:val="24"/>
                <w:lang w:eastAsia="en-US"/>
              </w:rPr>
            </w:pPr>
            <w:r>
              <w:rPr>
                <w:color w:val="000000"/>
                <w:sz w:val="24"/>
                <w:szCs w:val="24"/>
                <w:lang w:eastAsia="en-US"/>
              </w:rPr>
              <w:t>БИК</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16"/>
              <w:rPr>
                <w:sz w:val="24"/>
                <w:szCs w:val="24"/>
                <w:highlight w:val="lightGray"/>
              </w:rPr>
            </w:pPr>
            <w:r>
              <w:rPr>
                <w:sz w:val="24"/>
                <w:szCs w:val="24"/>
              </w:rPr>
              <w:t>049514608</w:t>
            </w:r>
          </w:p>
        </w:tc>
        <w:tc>
          <w:tcPr>
            <w:tcW w:w="340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16"/>
              <w:rPr>
                <w:sz w:val="24"/>
                <w:szCs w:val="24"/>
              </w:rPr>
            </w:pPr>
            <w:r>
              <w:rPr>
                <w:sz w:val="24"/>
                <w:szCs w:val="24"/>
              </w:rPr>
            </w:r>
          </w:p>
        </w:tc>
      </w:tr>
      <w:tr>
        <w:trPr>
          <w:trHeight w:val="157"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color w:val="000000"/>
                <w:sz w:val="24"/>
                <w:szCs w:val="24"/>
                <w:lang w:eastAsia="en-US"/>
              </w:rPr>
            </w:pPr>
            <w:r>
              <w:rPr>
                <w:color w:val="000000"/>
                <w:sz w:val="24"/>
                <w:szCs w:val="24"/>
                <w:lang w:eastAsia="en-US"/>
              </w:rPr>
              <w:t>ИНН/КПП</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16"/>
              <w:rPr>
                <w:sz w:val="24"/>
                <w:szCs w:val="24"/>
                <w:highlight w:val="lightGray"/>
              </w:rPr>
            </w:pPr>
            <w:r>
              <w:rPr>
                <w:sz w:val="24"/>
                <w:szCs w:val="24"/>
              </w:rPr>
              <w:t>2460066195/190202001</w:t>
            </w:r>
          </w:p>
        </w:tc>
        <w:tc>
          <w:tcPr>
            <w:tcW w:w="340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napToGrid w:val="false"/>
              <w:spacing w:lineRule="auto" w:line="216"/>
              <w:rPr>
                <w:sz w:val="24"/>
                <w:szCs w:val="24"/>
              </w:rPr>
            </w:pPr>
            <w:r>
              <w:rPr>
                <w:sz w:val="24"/>
                <w:szCs w:val="24"/>
              </w:rPr>
            </w:r>
          </w:p>
        </w:tc>
      </w:tr>
      <w:tr>
        <w:trPr>
          <w:trHeight w:val="55"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color w:val="000000"/>
                <w:sz w:val="24"/>
                <w:szCs w:val="24"/>
                <w:lang w:eastAsia="en-US"/>
              </w:rPr>
            </w:pPr>
            <w:r>
              <w:rPr>
                <w:color w:val="000000"/>
                <w:sz w:val="24"/>
                <w:szCs w:val="24"/>
                <w:lang w:eastAsia="en-US"/>
              </w:rPr>
              <w:t>ОГРН</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16"/>
              <w:rPr>
                <w:sz w:val="24"/>
                <w:szCs w:val="24"/>
                <w:highlight w:val="lightGray"/>
              </w:rPr>
            </w:pPr>
            <w:r>
              <w:rPr>
                <w:sz w:val="24"/>
                <w:szCs w:val="24"/>
              </w:rPr>
              <w:t>1042401810494</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16"/>
              <w:rPr>
                <w:sz w:val="24"/>
                <w:szCs w:val="24"/>
              </w:rPr>
            </w:pPr>
            <w:r>
              <w:rPr>
                <w:sz w:val="24"/>
                <w:szCs w:val="24"/>
              </w:rPr>
            </w:r>
          </w:p>
        </w:tc>
      </w:tr>
      <w:tr>
        <w:trPr>
          <w:trHeight w:val="225"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color w:val="000000"/>
                <w:sz w:val="24"/>
                <w:szCs w:val="24"/>
                <w:lang w:eastAsia="en-US"/>
              </w:rPr>
            </w:pPr>
            <w:r>
              <w:rPr>
                <w:color w:val="000000"/>
                <w:sz w:val="24"/>
                <w:szCs w:val="24"/>
                <w:lang w:eastAsia="en-US"/>
              </w:rPr>
              <w:t>Тел./ факс</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16"/>
              <w:rPr>
                <w:sz w:val="24"/>
                <w:szCs w:val="24"/>
                <w:highlight w:val="lightGray"/>
              </w:rPr>
            </w:pPr>
            <w:r>
              <w:rPr>
                <w:sz w:val="24"/>
                <w:szCs w:val="24"/>
              </w:rPr>
              <w:t>8 390 423-26-05</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16"/>
              <w:rPr>
                <w:sz w:val="24"/>
                <w:szCs w:val="24"/>
              </w:rPr>
            </w:pPr>
            <w:r>
              <w:rPr>
                <w:sz w:val="24"/>
                <w:szCs w:val="24"/>
              </w:rPr>
            </w:r>
          </w:p>
        </w:tc>
      </w:tr>
      <w:tr>
        <w:trPr>
          <w:trHeight w:val="150"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color w:val="000000"/>
                <w:sz w:val="24"/>
                <w:szCs w:val="24"/>
                <w:lang w:eastAsia="en-US"/>
              </w:rPr>
            </w:pPr>
            <w:r>
              <w:rPr>
                <w:color w:val="000000"/>
                <w:sz w:val="24"/>
                <w:szCs w:val="24"/>
                <w:lang w:eastAsia="en-US"/>
              </w:rPr>
              <w:t>Руководитель стороны Договора</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16"/>
              <w:jc w:val="both"/>
              <w:rPr>
                <w:sz w:val="24"/>
                <w:szCs w:val="24"/>
              </w:rPr>
            </w:pPr>
            <w:r>
              <w:rPr>
                <w:sz w:val="24"/>
                <w:szCs w:val="24"/>
              </w:rPr>
              <w:t>Председатель Правления – Генеральный директор</w:t>
            </w:r>
          </w:p>
          <w:p>
            <w:pPr>
              <w:pStyle w:val="Normal"/>
              <w:widowControl w:val="false"/>
              <w:snapToGrid w:val="false"/>
              <w:spacing w:lineRule="auto" w:line="216"/>
              <w:jc w:val="both"/>
              <w:rPr>
                <w:sz w:val="24"/>
                <w:szCs w:val="24"/>
              </w:rPr>
            </w:pPr>
            <w:r>
              <w:rPr>
                <w:sz w:val="24"/>
                <w:szCs w:val="24"/>
              </w:rPr>
              <w:t>ПАО «РусГидро»</w:t>
            </w:r>
          </w:p>
          <w:p>
            <w:pPr>
              <w:pStyle w:val="Normal"/>
              <w:widowControl w:val="false"/>
              <w:suppressAutoHyphens w:val="true"/>
              <w:snapToGrid w:val="false"/>
              <w:spacing w:lineRule="auto" w:line="216"/>
              <w:rPr>
                <w:sz w:val="24"/>
                <w:szCs w:val="24"/>
                <w:highlight w:val="lightGray"/>
              </w:rPr>
            </w:pPr>
            <w:r>
              <w:rPr>
                <w:sz w:val="24"/>
                <w:szCs w:val="24"/>
              </w:rPr>
              <w:t>Хмарин Виктор Викторович</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rHeight w:val="150"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color w:val="000000"/>
                <w:sz w:val="24"/>
                <w:szCs w:val="24"/>
                <w:lang w:eastAsia="en-US"/>
              </w:rPr>
            </w:pPr>
            <w:r>
              <w:rPr>
                <w:color w:val="000000"/>
                <w:sz w:val="24"/>
                <w:szCs w:val="24"/>
                <w:lang w:eastAsia="en-US"/>
              </w:rPr>
              <w:t>Руководитель Филиала</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16"/>
              <w:jc w:val="both"/>
              <w:rPr>
                <w:sz w:val="24"/>
                <w:szCs w:val="24"/>
              </w:rPr>
            </w:pPr>
            <w:r>
              <w:rPr>
                <w:sz w:val="24"/>
                <w:szCs w:val="24"/>
              </w:rPr>
              <w:t>Директор филиала</w:t>
            </w:r>
          </w:p>
          <w:p>
            <w:pPr>
              <w:pStyle w:val="Normal"/>
              <w:widowControl w:val="false"/>
              <w:snapToGrid w:val="false"/>
              <w:spacing w:lineRule="auto" w:line="216"/>
              <w:jc w:val="both"/>
              <w:rPr>
                <w:sz w:val="24"/>
                <w:szCs w:val="24"/>
              </w:rPr>
            </w:pPr>
            <w:r>
              <w:rPr>
                <w:sz w:val="24"/>
                <w:szCs w:val="24"/>
              </w:rPr>
              <w:t>ПАО «РусГидро» – «Саяно-Шушенская ГЭС имени П.С. Непорожнего»</w:t>
            </w:r>
          </w:p>
          <w:p>
            <w:pPr>
              <w:pStyle w:val="Normal"/>
              <w:widowControl w:val="false"/>
              <w:suppressAutoHyphens w:val="true"/>
              <w:snapToGrid w:val="false"/>
              <w:spacing w:lineRule="auto" w:line="216"/>
              <w:rPr>
                <w:sz w:val="24"/>
                <w:szCs w:val="24"/>
                <w:highlight w:val="lightGray"/>
              </w:rPr>
            </w:pPr>
            <w:r>
              <w:rPr>
                <w:sz w:val="24"/>
                <w:szCs w:val="24"/>
              </w:rPr>
              <w:t>Полтаранин Святослав Иванович</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rHeight w:val="266" w:hRule="atLeast"/>
        </w:trPr>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napToGrid w:val="false"/>
              <w:spacing w:lineRule="auto" w:line="254"/>
              <w:rPr>
                <w:sz w:val="24"/>
                <w:szCs w:val="24"/>
                <w:lang w:eastAsia="en-US"/>
              </w:rPr>
            </w:pPr>
            <w:r>
              <w:rPr>
                <w:color w:val="000000"/>
                <w:sz w:val="24"/>
                <w:szCs w:val="24"/>
                <w:lang w:eastAsia="en-US"/>
              </w:rPr>
              <w:t>Контактное лицо</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highlight w:val="lightGray"/>
                <w:lang w:eastAsia="en-US"/>
              </w:rPr>
            </w:pPr>
            <w:r>
              <w:rPr>
                <w:sz w:val="24"/>
                <w:szCs w:val="24"/>
                <w:highlight w:val="lightGray"/>
                <w:lang w:eastAsia="en-US"/>
              </w:rPr>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c>
          <w:tcPr>
            <w:tcW w:w="4784" w:type="dxa"/>
            <w:gridSpan w:val="2"/>
            <w:tcBorders/>
          </w:tcPr>
          <w:p>
            <w:pPr>
              <w:pStyle w:val="Normal"/>
              <w:widowControl w:val="false"/>
              <w:rPr>
                <w:sz w:val="24"/>
                <w:szCs w:val="24"/>
              </w:rPr>
            </w:pPr>
            <w:r>
              <w:rPr>
                <w:sz w:val="24"/>
                <w:szCs w:val="24"/>
              </w:rPr>
            </w:r>
          </w:p>
        </w:tc>
        <w:tc>
          <w:tcPr>
            <w:tcW w:w="4786" w:type="dxa"/>
            <w:gridSpan w:val="2"/>
            <w:tcBorders/>
          </w:tcPr>
          <w:p>
            <w:pPr>
              <w:pStyle w:val="Normal"/>
              <w:widowControl w:val="false"/>
              <w:rPr>
                <w:sz w:val="24"/>
                <w:szCs w:val="24"/>
              </w:rPr>
            </w:pPr>
            <w:r>
              <w:rPr>
                <w:sz w:val="24"/>
                <w:szCs w:val="24"/>
              </w:rPr>
            </w:r>
          </w:p>
        </w:tc>
        <w:tc>
          <w:tcPr>
            <w:tcW w:w="69" w:type="dxa"/>
            <w:tcBorders/>
          </w:tcPr>
          <w:p>
            <w:pPr>
              <w:pStyle w:val="Normal"/>
              <w:widowControl w:val="false"/>
              <w:rPr/>
            </w:pPr>
            <w:r>
              <w:rPr/>
            </w:r>
          </w:p>
        </w:tc>
      </w:tr>
    </w:tbl>
    <w:p>
      <w:pPr>
        <w:pStyle w:val="Normal"/>
        <w:numPr>
          <w:ilvl w:val="0"/>
          <w:numId w:val="0"/>
        </w:numPr>
        <w:jc w:val="center"/>
        <w:outlineLvl w:val="0"/>
        <w:rPr>
          <w:b/>
          <w:bCs/>
          <w:sz w:val="24"/>
          <w:szCs w:val="24"/>
        </w:rPr>
      </w:pPr>
      <w:r>
        <w:rPr>
          <w:b/>
          <w:bCs/>
          <w:sz w:val="24"/>
          <w:szCs w:val="24"/>
        </w:rPr>
      </w:r>
    </w:p>
    <w:p>
      <w:pPr>
        <w:pStyle w:val="Normal"/>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jc w:val="center"/>
        <w:outlineLvl w:val="0"/>
        <w:rPr>
          <w:bCs/>
          <w:sz w:val="24"/>
          <w:szCs w:val="24"/>
        </w:rPr>
      </w:pPr>
      <w:r>
        <w:rPr>
          <w:bCs/>
          <w:sz w:val="24"/>
          <w:szCs w:val="24"/>
        </w:rPr>
      </w:r>
    </w:p>
    <w:tbl>
      <w:tblPr>
        <w:tblW w:w="10099"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5103"/>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rPr>
                <w:sz w:val="24"/>
                <w:szCs w:val="24"/>
              </w:rPr>
            </w:pPr>
            <w:r>
              <w:rPr>
                <w:sz w:val="24"/>
                <w:szCs w:val="24"/>
              </w:rPr>
            </w:r>
          </w:p>
        </w:tc>
        <w:tc>
          <w:tcPr>
            <w:tcW w:w="5103"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33"/>
              <w:rPr>
                <w:b/>
                <w:sz w:val="24"/>
                <w:szCs w:val="24"/>
              </w:rPr>
            </w:pPr>
            <w:r>
              <w:rPr>
                <w:b/>
                <w:sz w:val="24"/>
                <w:szCs w:val="24"/>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2268"/>
          <w:pgNumType w:fmt="decimal"/>
          <w:formProt w:val="false"/>
          <w:titlePg/>
          <w:textDirection w:val="lrTb"/>
          <w:docGrid w:type="default" w:linePitch="360" w:charSpace="0"/>
        </w:sectPr>
      </w:pPr>
    </w:p>
    <w:p>
      <w:pPr>
        <w:pStyle w:val="Normal"/>
        <w:suppressAutoHyphens w:val="true"/>
        <w:ind w:left="5103" w:hanging="0"/>
        <w:rPr>
          <w:sz w:val="22"/>
          <w:szCs w:val="22"/>
        </w:rPr>
      </w:pPr>
      <w:r>
        <w:rPr>
          <w:sz w:val="22"/>
          <w:szCs w:val="22"/>
        </w:rPr>
        <w:t>Приложение № 1</w:t>
      </w:r>
    </w:p>
    <w:p>
      <w:pPr>
        <w:pStyle w:val="Normal"/>
        <w:suppressAutoHyphens w:val="true"/>
        <w:ind w:left="5103" w:hanging="0"/>
        <w:rPr>
          <w:sz w:val="22"/>
          <w:szCs w:val="22"/>
        </w:rPr>
      </w:pPr>
      <w:r>
        <w:rPr>
          <w:sz w:val="22"/>
          <w:szCs w:val="22"/>
        </w:rPr>
        <w:t>к Договору поставки</w:t>
      </w:r>
    </w:p>
    <w:p>
      <w:pPr>
        <w:pStyle w:val="Normal"/>
        <w:suppressAutoHyphens w:val="true"/>
        <w:ind w:left="5103" w:hanging="0"/>
        <w:rPr>
          <w:sz w:val="22"/>
          <w:szCs w:val="22"/>
        </w:rPr>
      </w:pPr>
      <w:r>
        <w:rPr>
          <w:sz w:val="22"/>
          <w:szCs w:val="22"/>
        </w:rPr>
        <w:t xml:space="preserve">от «____» ________ 20 _ г. № </w:t>
      </w:r>
    </w:p>
    <w:p>
      <w:pPr>
        <w:pStyle w:val="Normal"/>
        <w:widowControl/>
        <w:suppressAutoHyphens w:val="true"/>
        <w:jc w:val="right"/>
        <w:rPr>
          <w:rFonts w:eastAsia="Calibri"/>
          <w:b/>
          <w:sz w:val="24"/>
          <w:szCs w:val="24"/>
          <w:lang w:eastAsia="en-US"/>
        </w:rPr>
      </w:pPr>
      <w:r>
        <w:rPr>
          <w:rFonts w:eastAsia="Calibri"/>
          <w:b/>
          <w:sz w:val="24"/>
          <w:szCs w:val="24"/>
          <w:lang w:eastAsia="en-US"/>
        </w:rPr>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458"/>
        <w:gridCol w:w="387"/>
        <w:gridCol w:w="602"/>
        <w:gridCol w:w="611"/>
        <w:gridCol w:w="612"/>
        <w:gridCol w:w="771"/>
        <w:gridCol w:w="730"/>
        <w:gridCol w:w="618"/>
        <w:gridCol w:w="731"/>
        <w:gridCol w:w="689"/>
        <w:gridCol w:w="514"/>
        <w:gridCol w:w="644"/>
        <w:gridCol w:w="551"/>
        <w:gridCol w:w="514"/>
        <w:gridCol w:w="715"/>
        <w:gridCol w:w="487"/>
      </w:tblGrid>
      <w:tr>
        <w:trPr>
          <w:trHeight w:val="526" w:hRule="atLeast"/>
        </w:trPr>
        <w:tc>
          <w:tcPr>
            <w:tcW w:w="4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4"/>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5"/>
            </w:r>
          </w:p>
          <w:p>
            <w:pPr>
              <w:pStyle w:val="Normal"/>
              <w:widowControl w:val="false"/>
              <w:jc w:val="center"/>
              <w:rPr>
                <w:bCs/>
              </w:rPr>
            </w:pPr>
            <w:r>
              <w:rPr>
                <w:bCs/>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3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p>
        </w:tc>
        <w:tc>
          <w:tcPr>
            <w:tcW w:w="12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3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p>
        </w:tc>
        <w:tc>
          <w:tcPr>
            <w:tcW w:w="12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3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2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rPr>
          <w:i/>
          <w:i/>
          <w:sz w:val="24"/>
          <w:szCs w:val="24"/>
          <w:highlight w:val="yellow"/>
        </w:rPr>
      </w:pPr>
      <w:r>
        <w:rPr>
          <w:i/>
          <w:sz w:val="24"/>
          <w:szCs w:val="24"/>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29"/>
        <w:gridCol w:w="4807"/>
      </w:tblGrid>
      <w:tr>
        <w:trPr>
          <w:trHeight w:val="269" w:hRule="atLeast"/>
        </w:trPr>
        <w:tc>
          <w:tcPr>
            <w:tcW w:w="4829" w:type="dxa"/>
            <w:tcBorders/>
          </w:tcPr>
          <w:p>
            <w:pPr>
              <w:pStyle w:val="Normal"/>
              <w:widowControl w:val="false"/>
              <w:rPr>
                <w:b/>
                <w:sz w:val="24"/>
              </w:rPr>
            </w:pPr>
            <w:r>
              <w:rPr>
                <w:b/>
                <w:sz w:val="24"/>
              </w:rPr>
              <w:t>Покупатель:</w:t>
            </w:r>
          </w:p>
        </w:tc>
        <w:tc>
          <w:tcPr>
            <w:tcW w:w="4807" w:type="dxa"/>
            <w:tcBorders/>
          </w:tcPr>
          <w:p>
            <w:pPr>
              <w:pStyle w:val="Normal"/>
              <w:widowControl w:val="false"/>
              <w:rPr>
                <w:b/>
                <w:sz w:val="24"/>
              </w:rPr>
            </w:pPr>
            <w:r>
              <w:rPr>
                <w:b/>
                <w:sz w:val="24"/>
              </w:rPr>
              <w:t>Поставщик:</w:t>
            </w:r>
          </w:p>
        </w:tc>
      </w:tr>
    </w:tbl>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suppressAutoHyphens w:val="true"/>
        <w:rPr>
          <w:rFonts w:eastAsia="Calibri"/>
          <w:b/>
          <w:sz w:val="24"/>
          <w:szCs w:val="24"/>
          <w:lang w:eastAsia="en-US"/>
        </w:rPr>
      </w:pPr>
      <w:r>
        <w:rPr>
          <w:rFonts w:eastAsia="Calibri"/>
          <w:b/>
          <w:sz w:val="24"/>
          <w:szCs w:val="24"/>
          <w:lang w:eastAsia="en-US"/>
        </w:rPr>
      </w:r>
    </w:p>
    <w:p>
      <w:pPr>
        <w:pStyle w:val="Normal"/>
        <w:widowControl/>
        <w:suppressAutoHyphens w:val="true"/>
        <w:rPr>
          <w:rFonts w:eastAsia="Calibri"/>
          <w:b/>
          <w:sz w:val="24"/>
          <w:szCs w:val="24"/>
          <w:lang w:eastAsia="en-US"/>
        </w:rPr>
      </w:pPr>
      <w:r>
        <w:rPr>
          <w:rFonts w:eastAsia="Calibri"/>
          <w:b/>
          <w:sz w:val="24"/>
          <w:szCs w:val="24"/>
          <w:lang w:eastAsia="en-US"/>
        </w:rPr>
      </w:r>
    </w:p>
    <w:p>
      <w:pPr>
        <w:pStyle w:val="Normal"/>
        <w:widowControl/>
        <w:suppressAutoHyphens w:val="true"/>
        <w:jc w:val="center"/>
        <w:rPr>
          <w:rFonts w:eastAsia="Calibri"/>
          <w:b/>
          <w:sz w:val="24"/>
          <w:szCs w:val="24"/>
          <w:lang w:eastAsia="en-US"/>
        </w:rPr>
      </w:pPr>
      <w:r>
        <w:rPr>
          <w:rFonts w:eastAsia="Calibri"/>
          <w:b/>
          <w:sz w:val="24"/>
          <w:szCs w:val="24"/>
          <w:lang w:eastAsia="en-US"/>
        </w:rPr>
      </w:r>
    </w:p>
    <w:p>
      <w:pPr>
        <w:pStyle w:val="Normal"/>
        <w:widowControl/>
        <w:suppressAutoHyphens w:val="true"/>
        <w:jc w:val="center"/>
        <w:rPr>
          <w:rFonts w:eastAsia="Calibri"/>
          <w:b/>
          <w:sz w:val="24"/>
          <w:szCs w:val="24"/>
          <w:lang w:eastAsia="en-US"/>
        </w:rPr>
      </w:pPr>
      <w:r>
        <w:rPr>
          <w:rFonts w:eastAsia="Calibri"/>
          <w:b/>
          <w:sz w:val="24"/>
          <w:szCs w:val="24"/>
          <w:lang w:eastAsia="en-US"/>
        </w:rPr>
      </w:r>
    </w:p>
    <w:p>
      <w:pPr>
        <w:pStyle w:val="Normal"/>
        <w:widowControl/>
        <w:suppressAutoHyphens w:val="true"/>
        <w:jc w:val="center"/>
        <w:rPr>
          <w:rFonts w:eastAsia="Calibri"/>
          <w:b/>
          <w:sz w:val="24"/>
          <w:szCs w:val="24"/>
          <w:lang w:eastAsia="en-US"/>
        </w:rPr>
      </w:pPr>
      <w:r>
        <w:rPr>
          <w:rFonts w:eastAsia="Calibri"/>
          <w:b/>
          <w:sz w:val="24"/>
          <w:szCs w:val="24"/>
          <w:lang w:eastAsia="en-US"/>
        </w:rPr>
      </w:r>
    </w:p>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709" w:top="1134" w:footer="709" w:bottom="1134"/>
          <w:pgNumType w:fmt="decimal"/>
          <w:formProt w:val="false"/>
          <w:textDirection w:val="lrTb"/>
          <w:docGrid w:type="default" w:linePitch="299" w:charSpace="0"/>
        </w:sectPr>
        <w:pStyle w:val="Normal"/>
        <w:widowControl/>
        <w:suppressAutoHyphens w:val="true"/>
        <w:jc w:val="center"/>
        <w:rPr>
          <w:rFonts w:eastAsia="Calibri"/>
          <w:b/>
          <w:sz w:val="24"/>
          <w:szCs w:val="24"/>
          <w:lang w:eastAsia="en-US"/>
        </w:rPr>
      </w:pPr>
      <w:r>
        <w:rPr>
          <w:rFonts w:eastAsia="Calibri"/>
          <w:b/>
          <w:sz w:val="24"/>
          <w:szCs w:val="24"/>
          <w:lang w:eastAsia="en-US"/>
        </w:rPr>
      </w:r>
    </w:p>
    <w:p>
      <w:pPr>
        <w:pStyle w:val="Normal"/>
        <w:suppressAutoHyphens w:val="true"/>
        <w:ind w:left="5103" w:hanging="0"/>
        <w:rPr>
          <w:sz w:val="22"/>
          <w:szCs w:val="22"/>
        </w:rPr>
      </w:pPr>
      <w:r>
        <w:rPr>
          <w:sz w:val="22"/>
          <w:szCs w:val="22"/>
        </w:rPr>
        <w:t>Приложение № 2</w:t>
      </w:r>
    </w:p>
    <w:p>
      <w:pPr>
        <w:pStyle w:val="Normal"/>
        <w:suppressAutoHyphens w:val="true"/>
        <w:ind w:left="5103" w:hanging="0"/>
        <w:rPr>
          <w:sz w:val="22"/>
          <w:szCs w:val="22"/>
        </w:rPr>
      </w:pPr>
      <w:r>
        <w:rPr>
          <w:sz w:val="22"/>
          <w:szCs w:val="22"/>
        </w:rPr>
        <w:t xml:space="preserve">к Договору поставки </w:t>
      </w:r>
    </w:p>
    <w:p>
      <w:pPr>
        <w:pStyle w:val="Normal"/>
        <w:suppressAutoHyphens w:val="true"/>
        <w:ind w:left="5103" w:hanging="0"/>
        <w:rPr>
          <w:sz w:val="22"/>
          <w:szCs w:val="22"/>
        </w:rPr>
      </w:pPr>
      <w:r>
        <w:rPr>
          <w:sz w:val="22"/>
          <w:szCs w:val="22"/>
        </w:rPr>
        <w:t xml:space="preserve">от «____» ________ 20 _ г. № </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33"/>
              <w:rPr>
                <w:b/>
                <w:sz w:val="24"/>
                <w:szCs w:val="24"/>
              </w:rPr>
            </w:pPr>
            <w:r>
              <w:rPr>
                <w:b/>
                <w:sz w:val="24"/>
                <w:szCs w:val="24"/>
              </w:rPr>
            </w:r>
          </w:p>
        </w:tc>
      </w:tr>
    </w:tbl>
    <w:p>
      <w:pPr>
        <w:pStyle w:val="Normal"/>
        <w:rPr>
          <w:sz w:val="24"/>
          <w:szCs w:val="24"/>
        </w:rPr>
      </w:pPr>
      <w:r>
        <w:rPr>
          <w:sz w:val="24"/>
          <w:szCs w:val="24"/>
        </w:rPr>
      </w:r>
    </w:p>
    <w:p>
      <w:pPr>
        <w:pStyle w:val="Normal"/>
        <w:widowControl/>
        <w:spacing w:lineRule="auto" w:line="259" w:before="0" w:after="160"/>
        <w:rPr>
          <w:sz w:val="24"/>
          <w:szCs w:val="24"/>
        </w:rPr>
      </w:pPr>
      <w:r>
        <w:rPr>
          <w:sz w:val="24"/>
          <w:szCs w:val="24"/>
        </w:rPr>
      </w:r>
      <w:r>
        <w:br w:type="page"/>
      </w:r>
    </w:p>
    <w:p>
      <w:pPr>
        <w:pStyle w:val="Normal"/>
        <w:suppressAutoHyphens w:val="true"/>
        <w:ind w:firstLine="6237"/>
        <w:jc w:val="right"/>
        <w:rPr>
          <w:sz w:val="24"/>
          <w:szCs w:val="24"/>
        </w:rPr>
      </w:pPr>
      <w:r>
        <w:rPr>
          <w:sz w:val="24"/>
          <w:szCs w:val="24"/>
        </w:rPr>
        <w:t>Приложение № 3</w:t>
      </w:r>
    </w:p>
    <w:p>
      <w:pPr>
        <w:pStyle w:val="Normal"/>
        <w:suppressAutoHyphens w:val="true"/>
        <w:ind w:firstLine="6237"/>
        <w:jc w:val="right"/>
        <w:rPr>
          <w:sz w:val="24"/>
          <w:szCs w:val="24"/>
        </w:rPr>
      </w:pPr>
      <w:r>
        <w:rPr>
          <w:sz w:val="24"/>
          <w:szCs w:val="24"/>
        </w:rPr>
        <w:t>к Договору поставки</w:t>
      </w:r>
    </w:p>
    <w:p>
      <w:pPr>
        <w:pStyle w:val="Normal"/>
        <w:suppressAutoHyphens w:val="true"/>
        <w:ind w:firstLine="6237"/>
        <w:jc w:val="right"/>
        <w:rPr>
          <w:sz w:val="24"/>
          <w:szCs w:val="24"/>
        </w:rPr>
      </w:pPr>
      <w:r>
        <w:rPr>
          <w:sz w:val="24"/>
          <w:szCs w:val="24"/>
        </w:rPr>
        <w:t xml:space="preserve">от «____» ________ 2026 г. </w:t>
      </w:r>
    </w:p>
    <w:p>
      <w:pPr>
        <w:pStyle w:val="Normal"/>
        <w:suppressAutoHyphens w:val="true"/>
        <w:ind w:firstLine="6237"/>
        <w:jc w:val="right"/>
        <w:rPr>
          <w:sz w:val="24"/>
          <w:szCs w:val="24"/>
        </w:rPr>
      </w:pPr>
      <w:r>
        <w:rPr>
          <w:sz w:val="24"/>
          <w:szCs w:val="24"/>
        </w:rPr>
        <w:t>№</w:t>
      </w:r>
      <w:r>
        <w:rPr/>
        <w:t xml:space="preserve"> </w:t>
      </w:r>
      <w:r>
        <w:rPr>
          <w:sz w:val="24"/>
          <w:szCs w:val="24"/>
        </w:rPr>
        <w:t xml:space="preserve">_ </w:t>
      </w:r>
    </w:p>
    <w:p>
      <w:pPr>
        <w:pStyle w:val="Normal"/>
        <w:widowControl/>
        <w:shd w:val="clear" w:color="auto" w:fill="FFFFFF"/>
        <w:tabs>
          <w:tab w:val="clear" w:pos="708"/>
          <w:tab w:val="left" w:pos="1418" w:leader="none"/>
        </w:tabs>
        <w:spacing w:before="0" w:after="0"/>
        <w:contextualSpacing/>
        <w:rPr>
          <w:b/>
          <w:bCs/>
          <w:sz w:val="24"/>
          <w:szCs w:val="24"/>
        </w:rPr>
      </w:pPr>
      <w:r>
        <w:rPr>
          <w:b/>
          <w:bCs/>
          <w:sz w:val="24"/>
          <w:szCs w:val="24"/>
        </w:rPr>
      </w:r>
    </w:p>
    <w:p>
      <w:pPr>
        <w:pStyle w:val="Normal"/>
        <w:widowControl/>
        <w:shd w:val="clear" w:color="auto" w:fill="FFFFFF"/>
        <w:tabs>
          <w:tab w:val="clear" w:pos="708"/>
          <w:tab w:val="left" w:pos="1418" w:leader="none"/>
        </w:tabs>
        <w:spacing w:before="0" w:after="0"/>
        <w:contextualSpacing/>
        <w:jc w:val="center"/>
        <w:rPr>
          <w:b/>
          <w:bCs/>
          <w:sz w:val="24"/>
          <w:szCs w:val="24"/>
        </w:rPr>
      </w:pPr>
      <w:r>
        <w:rPr>
          <w:b/>
          <w:bCs/>
          <w:sz w:val="24"/>
          <w:szCs w:val="24"/>
        </w:rPr>
        <w:t>Критерии отбора Банков – Гарантов</w:t>
      </w:r>
    </w:p>
    <w:p>
      <w:pPr>
        <w:pStyle w:val="Normal"/>
        <w:widowControl/>
        <w:shd w:val="clear" w:color="auto" w:fill="FFFFFF"/>
        <w:tabs>
          <w:tab w:val="clear" w:pos="708"/>
          <w:tab w:val="left" w:pos="1418" w:leader="none"/>
        </w:tabs>
        <w:spacing w:before="0" w:after="0"/>
        <w:contextualSpacing/>
        <w:jc w:val="center"/>
        <w:rPr>
          <w:b/>
          <w:bCs/>
          <w:sz w:val="24"/>
          <w:szCs w:val="24"/>
        </w:rPr>
      </w:pPr>
      <w:r>
        <w:rPr>
          <w:b/>
          <w:bCs/>
          <w:sz w:val="24"/>
          <w:szCs w:val="24"/>
        </w:rPr>
      </w:r>
    </w:p>
    <w:p>
      <w:pPr>
        <w:pStyle w:val="Normal"/>
        <w:widowControl/>
        <w:tabs>
          <w:tab w:val="clear" w:pos="708"/>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rPr>
        <w:footnoteReference w:id="6"/>
      </w:r>
      <w:r>
        <w:rPr>
          <w:sz w:val="24"/>
          <w:szCs w:val="24"/>
        </w:rPr>
        <w:t>, а также соответствовать следующим критериям:</w:t>
      </w:r>
    </w:p>
    <w:p>
      <w:pPr>
        <w:pStyle w:val="Normal"/>
        <w:widowControl/>
        <w:numPr>
          <w:ilvl w:val="1"/>
          <w:numId w:val="15"/>
        </w:numPr>
        <w:tabs>
          <w:tab w:val="clear" w:pos="708"/>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1"/>
        </w:numPr>
        <w:tabs>
          <w:tab w:val="clear" w:pos="708"/>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widowControl/>
        <w:numPr>
          <w:ilvl w:val="1"/>
          <w:numId w:val="11"/>
        </w:numPr>
        <w:tabs>
          <w:tab w:val="clear" w:pos="708"/>
          <w:tab w:val="left" w:pos="1134" w:leader="none"/>
        </w:tabs>
        <w:ind w:left="0" w:firstLine="710"/>
        <w:jc w:val="both"/>
        <w:rPr>
          <w:sz w:val="24"/>
          <w:szCs w:val="24"/>
        </w:rPr>
      </w:pPr>
      <w:r>
        <w:rPr>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pPr>
        <w:pStyle w:val="Normal"/>
        <w:widowControl/>
        <w:numPr>
          <w:ilvl w:val="1"/>
          <w:numId w:val="11"/>
        </w:numPr>
        <w:tabs>
          <w:tab w:val="clear" w:pos="708"/>
          <w:tab w:val="left" w:pos="1134" w:leader="none"/>
        </w:tabs>
        <w:ind w:left="0" w:firstLine="710"/>
        <w:jc w:val="both"/>
        <w:rPr>
          <w:sz w:val="24"/>
          <w:szCs w:val="24"/>
        </w:rPr>
      </w:pPr>
      <w:r>
        <w:rPr>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sz w:val="24"/>
          <w:szCs w:val="24"/>
          <w:vertAlign w:val="superscript"/>
        </w:rPr>
        <w:footnoteReference w:id="7"/>
      </w:r>
      <w:r>
        <w:rPr>
          <w:sz w:val="24"/>
          <w:szCs w:val="24"/>
        </w:rPr>
        <w:t xml:space="preserve">. </w:t>
      </w:r>
    </w:p>
    <w:p>
      <w:pPr>
        <w:pStyle w:val="Normal"/>
        <w:widowControl/>
        <w:numPr>
          <w:ilvl w:val="1"/>
          <w:numId w:val="11"/>
        </w:numPr>
        <w:tabs>
          <w:tab w:val="clear" w:pos="708"/>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sz w:val="24"/>
          <w:szCs w:val="24"/>
          <w:vertAlign w:val="superscript"/>
        </w:rPr>
        <w:footnoteReference w:id="8"/>
      </w:r>
      <w:r>
        <w:rPr>
          <w:sz w:val="24"/>
          <w:szCs w:val="24"/>
        </w:rPr>
        <w:t>.</w:t>
      </w:r>
    </w:p>
    <w:p>
      <w:pPr>
        <w:pStyle w:val="Normal"/>
        <w:widowControl/>
        <w:numPr>
          <w:ilvl w:val="1"/>
          <w:numId w:val="11"/>
        </w:numPr>
        <w:tabs>
          <w:tab w:val="clear" w:pos="708"/>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pPr>
        <w:pStyle w:val="Normal"/>
        <w:widowControl/>
        <w:numPr>
          <w:ilvl w:val="1"/>
          <w:numId w:val="11"/>
        </w:numPr>
        <w:tabs>
          <w:tab w:val="clear" w:pos="708"/>
          <w:tab w:val="left" w:pos="1134" w:leader="none"/>
        </w:tabs>
        <w:ind w:left="0" w:firstLine="710"/>
        <w:jc w:val="both"/>
        <w:rPr>
          <w:sz w:val="24"/>
          <w:szCs w:val="24"/>
        </w:rPr>
      </w:pPr>
      <w:r>
        <w:rPr>
          <w:sz w:val="24"/>
          <w:szCs w:val="24"/>
        </w:rPr>
        <w:t>Не иметь просроченную задолженность перед ПАО «РусГидро» и компаниями Группы РусГидро.</w:t>
      </w:r>
    </w:p>
    <w:p>
      <w:pPr>
        <w:pStyle w:val="Normal"/>
        <w:widowControl/>
        <w:numPr>
          <w:ilvl w:val="1"/>
          <w:numId w:val="11"/>
        </w:numPr>
        <w:tabs>
          <w:tab w:val="clear" w:pos="708"/>
          <w:tab w:val="left" w:pos="1134" w:leader="none"/>
        </w:tabs>
        <w:ind w:left="0" w:firstLine="710"/>
        <w:jc w:val="both"/>
        <w:rPr>
          <w:sz w:val="24"/>
          <w:szCs w:val="24"/>
        </w:rPr>
      </w:pPr>
      <w:r>
        <w:rPr>
          <w:sz w:val="24"/>
          <w:szCs w:val="24"/>
        </w:rPr>
        <w:t>Присутствовать (иметь отделение, филиал) по месту нахождения ПАО «РусГидро», его обособленного подразделения или Филиала, для нужд которого заключается Договор.</w:t>
      </w:r>
    </w:p>
    <w:p>
      <w:pPr>
        <w:pStyle w:val="Normal"/>
        <w:widowControl/>
        <w:numPr>
          <w:ilvl w:val="1"/>
          <w:numId w:val="11"/>
        </w:numPr>
        <w:tabs>
          <w:tab w:val="clear" w:pos="708"/>
          <w:tab w:val="left" w:pos="1134" w:leader="none"/>
        </w:tabs>
        <w:ind w:left="0" w:firstLine="710"/>
        <w:jc w:val="both"/>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widowControl/>
        <w:numPr>
          <w:ilvl w:val="1"/>
          <w:numId w:val="16"/>
        </w:numPr>
        <w:tabs>
          <w:tab w:val="clear" w:pos="708"/>
          <w:tab w:val="left" w:pos="1134" w:leader="none"/>
        </w:tabs>
        <w:ind w:left="0" w:firstLine="709"/>
        <w:jc w:val="both"/>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2"/>
        </w:numPr>
        <w:tabs>
          <w:tab w:val="clear" w:pos="708"/>
          <w:tab w:val="left" w:pos="1134" w:leader="none"/>
        </w:tabs>
        <w:ind w:left="0" w:firstLine="709"/>
        <w:jc w:val="both"/>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2"/>
        </w:numPr>
        <w:tabs>
          <w:tab w:val="clear" w:pos="708"/>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2"/>
        </w:numPr>
        <w:tabs>
          <w:tab w:val="clear" w:pos="708"/>
          <w:tab w:val="left" w:pos="1134" w:leader="none"/>
        </w:tabs>
        <w:ind w:left="0" w:firstLine="709"/>
        <w:jc w:val="both"/>
        <w:rPr>
          <w:sz w:val="24"/>
          <w:szCs w:val="24"/>
        </w:rPr>
      </w:pPr>
      <w:r>
        <w:rPr>
          <w:sz w:val="24"/>
          <w:szCs w:val="24"/>
        </w:rPr>
        <w:t xml:space="preserve"> </w:t>
      </w:r>
      <w:r>
        <w:rPr>
          <w:sz w:val="24"/>
          <w:szCs w:val="24"/>
        </w:rPr>
        <w:t>ВЭБ.РФ.</w:t>
      </w:r>
    </w:p>
    <w:p>
      <w:pPr>
        <w:pStyle w:val="Normal"/>
        <w:widowControl/>
        <w:numPr>
          <w:ilvl w:val="1"/>
          <w:numId w:val="11"/>
        </w:numPr>
        <w:tabs>
          <w:tab w:val="clear" w:pos="708"/>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Подрядчика/Исполнителя перед Группой РусГидро, не должна превышать размер лимита риска, определяемого по формуле:</w:t>
      </w:r>
    </w:p>
    <w:p>
      <w:pPr>
        <w:pStyle w:val="Normal"/>
        <w:tabs>
          <w:tab w:val="clear" w:pos="708"/>
          <w:tab w:val="left" w:pos="1134" w:leader="none"/>
        </w:tabs>
        <w:ind w:firstLine="709"/>
        <w:jc w:val="center"/>
        <w:rPr>
          <w:sz w:val="24"/>
          <w:szCs w:val="24"/>
        </w:rPr>
      </w:pPr>
      <w:r>
        <w:rPr>
          <w:b/>
          <w:i/>
          <w:sz w:val="24"/>
          <w:szCs w:val="24"/>
        </w:rPr>
        <w:t>Lim</w:t>
      </w:r>
      <w:r>
        <w:rPr>
          <w:b/>
          <w:i/>
          <w:sz w:val="24"/>
          <w:szCs w:val="24"/>
          <w:vertAlign w:val="subscript"/>
        </w:rPr>
        <w:t>Ai</w:t>
      </w:r>
      <w:r>
        <w:rPr>
          <w:b/>
          <w:i/>
          <w:sz w:val="24"/>
          <w:szCs w:val="24"/>
        </w:rPr>
        <w:t xml:space="preserve">  = r</w:t>
      </w:r>
      <w:r>
        <w:rPr>
          <w:b/>
          <w:i/>
          <w:sz w:val="24"/>
          <w:szCs w:val="24"/>
          <w:vertAlign w:val="subscript"/>
        </w:rPr>
        <w:t>i</w:t>
      </w:r>
      <w:r>
        <w:rPr>
          <w:b/>
          <w:i/>
          <w:sz w:val="24"/>
          <w:szCs w:val="24"/>
        </w:rPr>
        <w:t xml:space="preserve"> × СK</w:t>
      </w:r>
      <w:r>
        <w:rPr>
          <w:b/>
          <w:i/>
          <w:sz w:val="24"/>
          <w:szCs w:val="24"/>
          <w:vertAlign w:val="subscript"/>
        </w:rPr>
        <w:t>i</w:t>
      </w:r>
      <w:r>
        <w:rPr>
          <w:sz w:val="24"/>
          <w:szCs w:val="24"/>
        </w:rPr>
        <w:t>, где</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3"/>
        <w:gridCol w:w="8506"/>
      </w:tblGrid>
      <w:tr>
        <w:trPr>
          <w:trHeight w:val="426" w:hRule="atLeast"/>
        </w:trPr>
        <w:tc>
          <w:tcPr>
            <w:tcW w:w="817" w:type="dxa"/>
            <w:tcBorders/>
          </w:tcPr>
          <w:p>
            <w:pPr>
              <w:pStyle w:val="Normal"/>
              <w:widowControl w:val="false"/>
              <w:ind w:right="-108" w:hanging="0"/>
              <w:jc w:val="both"/>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3" w:type="dxa"/>
            <w:tcBorders/>
          </w:tcPr>
          <w:p>
            <w:pPr>
              <w:pStyle w:val="Normal"/>
              <w:widowControl w:val="false"/>
              <w:ind w:left="317" w:right="-108" w:hanging="317"/>
              <w:jc w:val="both"/>
              <w:rPr>
                <w:color w:val="000000"/>
                <w:sz w:val="24"/>
                <w:szCs w:val="24"/>
              </w:rPr>
            </w:pPr>
            <w:r>
              <w:rPr>
                <w:sz w:val="24"/>
                <w:szCs w:val="24"/>
              </w:rPr>
              <w:t xml:space="preserve">-  </w:t>
            </w:r>
          </w:p>
        </w:tc>
        <w:tc>
          <w:tcPr>
            <w:tcW w:w="8506" w:type="dxa"/>
            <w:tcBorders/>
          </w:tcPr>
          <w:p>
            <w:pPr>
              <w:pStyle w:val="Normal"/>
              <w:widowControl w:val="false"/>
              <w:ind w:left="-75" w:right="-108" w:hanging="0"/>
              <w:jc w:val="both"/>
              <w:rPr>
                <w:color w:val="000000"/>
                <w:sz w:val="24"/>
                <w:szCs w:val="24"/>
              </w:rPr>
            </w:pPr>
            <w:r>
              <w:rPr>
                <w:sz w:val="24"/>
                <w:szCs w:val="24"/>
              </w:rPr>
              <w:t>Лимит риска для i-ой кредитной организации</w:t>
            </w:r>
            <w:r>
              <w:rPr>
                <w:rStyle w:val="FootnoteReference"/>
                <w:sz w:val="24"/>
                <w:szCs w:val="24"/>
                <w:vertAlign w:val="superscript"/>
              </w:rPr>
              <w:footnoteReference w:id="9"/>
            </w:r>
            <w:r>
              <w:rPr>
                <w:sz w:val="24"/>
                <w:szCs w:val="24"/>
                <w:vertAlign w:val="superscript"/>
              </w:rPr>
              <w:t>.</w:t>
            </w:r>
            <w:r>
              <w:rPr>
                <w:sz w:val="24"/>
                <w:szCs w:val="24"/>
              </w:rPr>
              <w:t xml:space="preserve"> </w:t>
            </w:r>
          </w:p>
        </w:tc>
      </w:tr>
      <w:tr>
        <w:trPr>
          <w:trHeight w:val="280" w:hRule="atLeast"/>
        </w:trPr>
        <w:tc>
          <w:tcPr>
            <w:tcW w:w="817" w:type="dxa"/>
            <w:tcBorders/>
          </w:tcPr>
          <w:p>
            <w:pPr>
              <w:pStyle w:val="Normal"/>
              <w:widowControl w:val="false"/>
              <w:ind w:right="-108" w:hanging="0"/>
              <w:jc w:val="both"/>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tc>
        <w:tc>
          <w:tcPr>
            <w:tcW w:w="283" w:type="dxa"/>
            <w:tcBorders/>
          </w:tcPr>
          <w:p>
            <w:pPr>
              <w:pStyle w:val="Normal"/>
              <w:widowControl w:val="false"/>
              <w:ind w:right="-108" w:hanging="0"/>
              <w:jc w:val="both"/>
              <w:rPr>
                <w:color w:val="000000"/>
                <w:sz w:val="24"/>
                <w:szCs w:val="24"/>
              </w:rPr>
            </w:pPr>
            <w:r>
              <w:rPr>
                <w:sz w:val="24"/>
                <w:szCs w:val="24"/>
              </w:rPr>
              <w:t>-</w:t>
            </w:r>
            <w:r>
              <w:rPr>
                <w:color w:val="000000"/>
                <w:sz w:val="24"/>
                <w:szCs w:val="24"/>
              </w:rPr>
              <w:t xml:space="preserve">  </w:t>
            </w:r>
          </w:p>
        </w:tc>
        <w:tc>
          <w:tcPr>
            <w:tcW w:w="8506" w:type="dxa"/>
            <w:tcBorders/>
          </w:tcPr>
          <w:p>
            <w:pPr>
              <w:pStyle w:val="Normal"/>
              <w:widowControl w:val="false"/>
              <w:ind w:left="-75" w:right="-108" w:hanging="0"/>
              <w:jc w:val="both"/>
              <w:rPr>
                <w:color w:val="000000"/>
                <w:sz w:val="24"/>
                <w:szCs w:val="24"/>
              </w:rPr>
            </w:pPr>
            <w:r>
              <w:rPr>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12">
              <w:r>
                <w:rPr>
                  <w:rStyle w:val="Hyperlink"/>
                  <w:sz w:val="24"/>
                  <w:szCs w:val="24"/>
                </w:rPr>
                <w:t>www.cbr.ru</w:t>
              </w:r>
            </w:hyperlink>
            <w:r>
              <w:rPr>
                <w:sz w:val="24"/>
                <w:szCs w:val="24"/>
              </w:rPr>
              <w:t>) по строке 000 «Расчет собственных средств (капитала) («Базель III»)», код формы 0409123;</w:t>
            </w:r>
          </w:p>
        </w:tc>
      </w:tr>
      <w:tr>
        <w:trPr>
          <w:trHeight w:val="993" w:hRule="atLeast"/>
        </w:trPr>
        <w:tc>
          <w:tcPr>
            <w:tcW w:w="817" w:type="dxa"/>
            <w:tcBorders/>
          </w:tcPr>
          <w:p>
            <w:pPr>
              <w:pStyle w:val="Normal"/>
              <w:widowControl w:val="false"/>
              <w:ind w:right="-108" w:hanging="0"/>
              <w:jc w:val="both"/>
              <w:rPr>
                <w:b/>
                <w:i/>
                <w:i/>
                <w:color w:val="000000"/>
                <w:sz w:val="24"/>
                <w:szCs w:val="24"/>
              </w:rPr>
            </w:pPr>
            <w:r>
              <w:rPr>
                <w:b/>
                <w:i/>
                <w:color w:val="000000"/>
                <w:sz w:val="24"/>
                <w:szCs w:val="24"/>
              </w:rPr>
              <w:t>r</w:t>
            </w:r>
            <w:r>
              <w:rPr>
                <w:b/>
                <w:i/>
                <w:color w:val="000000"/>
                <w:sz w:val="24"/>
                <w:szCs w:val="24"/>
                <w:vertAlign w:val="subscript"/>
              </w:rPr>
              <w:t>i</w:t>
            </w:r>
          </w:p>
        </w:tc>
        <w:tc>
          <w:tcPr>
            <w:tcW w:w="283" w:type="dxa"/>
            <w:tcBorders/>
          </w:tcPr>
          <w:p>
            <w:pPr>
              <w:pStyle w:val="Normal"/>
              <w:widowControl w:val="false"/>
              <w:ind w:right="-108" w:hanging="0"/>
              <w:jc w:val="both"/>
              <w:rPr>
                <w:sz w:val="24"/>
                <w:szCs w:val="24"/>
              </w:rPr>
            </w:pPr>
            <w:r>
              <w:rPr>
                <w:sz w:val="24"/>
                <w:szCs w:val="24"/>
              </w:rPr>
              <w:t>-</w:t>
            </w:r>
          </w:p>
        </w:tc>
        <w:tc>
          <w:tcPr>
            <w:tcW w:w="8506" w:type="dxa"/>
            <w:tcBorders/>
          </w:tcPr>
          <w:p>
            <w:pPr>
              <w:pStyle w:val="Normal"/>
              <w:widowControl w:val="false"/>
              <w:tabs>
                <w:tab w:val="clear" w:pos="708"/>
                <w:tab w:val="left" w:pos="7130" w:leader="none"/>
              </w:tabs>
              <w:ind w:right="-108" w:hanging="0"/>
              <w:jc w:val="both"/>
              <w:rPr>
                <w:sz w:val="24"/>
                <w:szCs w:val="24"/>
              </w:rPr>
            </w:pPr>
            <w:r>
              <w:rPr>
                <w:sz w:val="24"/>
                <w:szCs w:val="24"/>
              </w:rPr>
              <w:t>рейтинговый коэффициент</w:t>
            </w:r>
            <w:r>
              <w:rPr>
                <w:rStyle w:val="FootnoteReference"/>
                <w:sz w:val="24"/>
                <w:szCs w:val="24"/>
              </w:rPr>
              <w:footnoteReference w:id="10"/>
            </w:r>
            <w:r>
              <w:rPr>
                <w:sz w:val="24"/>
                <w:szCs w:val="24"/>
              </w:rPr>
              <w:t xml:space="preserve"> для i-ой кредитной организации, равный:</w:t>
            </w:r>
          </w:p>
          <w:p>
            <w:pPr>
              <w:pStyle w:val="Normal"/>
              <w:widowControl w:val="false"/>
              <w:ind w:firstLine="492"/>
              <w:jc w:val="both"/>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ind w:left="67" w:firstLine="425"/>
              <w:jc w:val="both"/>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ind w:firstLine="492"/>
              <w:jc w:val="both"/>
              <w:rPr>
                <w:sz w:val="24"/>
                <w:szCs w:val="24"/>
              </w:rPr>
            </w:pPr>
            <w:r>
              <w:rPr>
                <w:b/>
                <w:sz w:val="24"/>
                <w:szCs w:val="24"/>
              </w:rPr>
              <w:t>0,015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shd w:val="clear" w:color="auto" w:fill="FFFFFF"/>
        <w:tabs>
          <w:tab w:val="clear" w:pos="708"/>
          <w:tab w:val="left" w:pos="1418" w:leader="none"/>
        </w:tabs>
        <w:spacing w:before="0" w:after="0"/>
        <w:contextualSpacing/>
        <w:jc w:val="center"/>
        <w:rPr>
          <w:b/>
          <w:bCs/>
          <w:sz w:val="24"/>
          <w:szCs w:val="24"/>
        </w:rPr>
      </w:pPr>
      <w:r>
        <w:rPr>
          <w:b/>
          <w:bCs/>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33"/>
              <w:rPr>
                <w:b/>
                <w:sz w:val="24"/>
                <w:szCs w:val="24"/>
              </w:rPr>
            </w:pPr>
            <w:r>
              <w:rPr>
                <w:b/>
                <w:sz w:val="24"/>
                <w:szCs w:val="24"/>
              </w:rPr>
            </w:r>
          </w:p>
        </w:tc>
      </w:tr>
    </w:tbl>
    <w:p>
      <w:pPr>
        <w:pStyle w:val="Normal"/>
        <w:numPr>
          <w:ilvl w:val="0"/>
          <w:numId w:val="0"/>
        </w:numPr>
        <w:jc w:val="center"/>
        <w:outlineLvl w:val="0"/>
        <w:rPr>
          <w:b/>
          <w:bCs/>
          <w:sz w:val="24"/>
          <w:szCs w:val="24"/>
        </w:rPr>
      </w:pPr>
      <w:r>
        <w:rPr>
          <w:b/>
          <w:bCs/>
          <w:sz w:val="24"/>
          <w:szCs w:val="24"/>
        </w:rPr>
      </w:r>
    </w:p>
    <w:p>
      <w:pPr>
        <w:pStyle w:val="Normal"/>
        <w:numPr>
          <w:ilvl w:val="0"/>
          <w:numId w:val="0"/>
        </w:numPr>
        <w:jc w:val="center"/>
        <w:outlineLvl w:val="0"/>
        <w:rPr>
          <w:bCs/>
          <w:sz w:val="24"/>
          <w:szCs w:val="24"/>
        </w:rPr>
      </w:pPr>
      <w:r>
        <w:rPr>
          <w:bCs/>
          <w:sz w:val="24"/>
          <w:szCs w:val="24"/>
        </w:rPr>
      </w:r>
    </w:p>
    <w:p>
      <w:pPr>
        <w:pStyle w:val="Normal"/>
        <w:widowControl/>
        <w:shd w:val="clear" w:color="auto" w:fill="FFFFFF"/>
        <w:tabs>
          <w:tab w:val="clear" w:pos="708"/>
          <w:tab w:val="left" w:pos="1418" w:leader="none"/>
        </w:tabs>
        <w:spacing w:before="0" w:after="0"/>
        <w:contextualSpacing/>
        <w:rPr>
          <w:b/>
          <w:bCs/>
          <w:sz w:val="24"/>
          <w:szCs w:val="24"/>
        </w:rPr>
      </w:pPr>
      <w:r>
        <w:rPr>
          <w:b/>
          <w:bCs/>
          <w:sz w:val="24"/>
          <w:szCs w:val="24"/>
        </w:rPr>
      </w:r>
    </w:p>
    <w:p>
      <w:pPr>
        <w:pStyle w:val="Normal"/>
        <w:widowControl/>
        <w:spacing w:lineRule="auto" w:line="259" w:before="0" w:after="160"/>
        <w:rPr>
          <w:b/>
          <w:bCs/>
          <w:sz w:val="24"/>
          <w:szCs w:val="24"/>
        </w:rPr>
      </w:pPr>
      <w:r>
        <w:rPr>
          <w:b/>
          <w:bCs/>
          <w:sz w:val="24"/>
          <w:szCs w:val="24"/>
        </w:rPr>
      </w:r>
      <w:r>
        <w:br w:type="page"/>
      </w:r>
    </w:p>
    <w:p>
      <w:pPr>
        <w:pStyle w:val="Normal"/>
        <w:suppressAutoHyphens w:val="true"/>
        <w:ind w:firstLine="6237"/>
        <w:jc w:val="right"/>
        <w:rPr>
          <w:sz w:val="24"/>
          <w:szCs w:val="24"/>
        </w:rPr>
      </w:pPr>
      <w:r>
        <w:rPr>
          <w:sz w:val="24"/>
          <w:szCs w:val="24"/>
        </w:rPr>
        <w:t>Приложение № 4</w:t>
      </w:r>
    </w:p>
    <w:p>
      <w:pPr>
        <w:pStyle w:val="Normal"/>
        <w:suppressAutoHyphens w:val="true"/>
        <w:ind w:firstLine="6237"/>
        <w:jc w:val="right"/>
        <w:rPr>
          <w:sz w:val="24"/>
          <w:szCs w:val="24"/>
        </w:rPr>
      </w:pPr>
      <w:r>
        <w:rPr>
          <w:sz w:val="24"/>
          <w:szCs w:val="24"/>
        </w:rPr>
        <w:t>к Договору поставки</w:t>
      </w:r>
    </w:p>
    <w:p>
      <w:pPr>
        <w:pStyle w:val="Normal"/>
        <w:suppressAutoHyphens w:val="true"/>
        <w:ind w:firstLine="6237"/>
        <w:jc w:val="right"/>
        <w:rPr>
          <w:sz w:val="24"/>
          <w:szCs w:val="24"/>
        </w:rPr>
      </w:pPr>
      <w:r>
        <w:rPr>
          <w:sz w:val="24"/>
          <w:szCs w:val="24"/>
        </w:rPr>
        <w:t xml:space="preserve">от «____» ________ 2026 г. </w:t>
      </w:r>
    </w:p>
    <w:p>
      <w:pPr>
        <w:pStyle w:val="Normal"/>
        <w:suppressAutoHyphens w:val="true"/>
        <w:ind w:firstLine="6237"/>
        <w:jc w:val="right"/>
        <w:rPr>
          <w:sz w:val="24"/>
          <w:szCs w:val="24"/>
        </w:rPr>
      </w:pPr>
      <w:r>
        <w:rPr>
          <w:sz w:val="24"/>
          <w:szCs w:val="24"/>
        </w:rPr>
        <w:t>№</w:t>
      </w:r>
      <w:r>
        <w:rPr/>
        <w:t xml:space="preserve"> </w:t>
      </w:r>
      <w:r>
        <w:rPr>
          <w:sz w:val="24"/>
          <w:szCs w:val="24"/>
        </w:rPr>
        <w:t xml:space="preserve">_ </w:t>
      </w:r>
    </w:p>
    <w:p>
      <w:pPr>
        <w:pStyle w:val="Normal"/>
        <w:widowControl/>
        <w:suppressAutoHyphens w:val="true"/>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1.1. Нарушение ППБ без возникновения пожара</w:t>
            </w:r>
          </w:p>
          <w:p>
            <w:pPr>
              <w:pStyle w:val="Normal"/>
              <w:widowControl w:val="false"/>
              <w:jc w:val="both"/>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33"/>
              <w:rPr>
                <w:b/>
                <w:sz w:val="24"/>
                <w:szCs w:val="24"/>
              </w:rPr>
            </w:pPr>
            <w:r>
              <w:rPr>
                <w:b/>
                <w:sz w:val="24"/>
                <w:szCs w:val="24"/>
              </w:rPr>
            </w:r>
          </w:p>
        </w:tc>
      </w:tr>
    </w:tbl>
    <w:p>
      <w:pPr>
        <w:pStyle w:val="Normal"/>
        <w:rPr/>
      </w:pPr>
      <w:r>
        <w:rPr/>
      </w:r>
    </w:p>
    <w:p>
      <w:pPr>
        <w:pStyle w:val="Normal"/>
        <w:rPr/>
      </w:pPr>
      <w:r>
        <w:rPr/>
      </w:r>
    </w:p>
    <w:sectPr>
      <w:headerReference w:type="default" r:id="rId13"/>
      <w:headerReference w:type="first" r:id="rId14"/>
      <w:footerReference w:type="default" r:id="rId15"/>
      <w:footerReference w:type="first" r:id="rId16"/>
      <w:footnotePr>
        <w:numFmt w:val="decimal"/>
      </w:footnotePr>
      <w:type w:val="nextPage"/>
      <w:pgSz w:w="11906" w:h="16838"/>
      <w:pgMar w:left="1418" w:right="851" w:gutter="0" w:header="709" w:top="1134" w:footer="709" w:bottom="226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Segoe UI">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enter" w:pos="4677" w:leader="none"/>
        <w:tab w:val="right" w:pos="9355" w:leader="none"/>
        <w:tab w:val="right" w:pos="9632" w:leader="none"/>
      </w:tabs>
      <w:rPr/>
    </w:pPr>
    <w:r>
      <w:rPr/>
      <w:tab/>
      <w:tab/>
      <w:tab/>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enter" w:pos="4677" w:leader="none"/>
        <w:tab w:val="right" w:pos="9355" w:leader="none"/>
        <w:tab w:val="right" w:pos="9632" w:leader="none"/>
      </w:tabs>
      <w:rPr/>
    </w:pPr>
    <w:r>
      <w:rPr/>
      <w:tab/>
      <w:tab/>
      <w:tab/>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2"/>
        <w:szCs w:val="22"/>
      </w:rPr>
    </w:pPr>
    <w:r>
      <w:rPr>
        <w:sz w:val="22"/>
        <w:szCs w:val="22"/>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1"/>
        </w:rPr>
        <w:footnoteRef/>
      </w:r>
      <w:r>
        <w:rPr/>
        <w:t xml:space="preserve"> </w:t>
      </w:r>
      <w:r>
        <w:rPr/>
        <w:t>В случае непредоставления новой Банковской гарантии возврата авансового платежа.</w:t>
      </w:r>
    </w:p>
  </w:footnote>
  <w:footnote w:id="3">
    <w:p>
      <w:pPr>
        <w:pStyle w:val="FootnoteText"/>
        <w:jc w:val="both"/>
        <w:rPr/>
      </w:pPr>
      <w:r>
        <w:rPr>
          <w:rStyle w:val="Style11"/>
        </w:rPr>
        <w:footnoteRef/>
      </w:r>
      <w:r>
        <w:rPr/>
        <w:t xml:space="preserve"> </w:t>
      </w:r>
      <w:r>
        <w:rPr/>
        <w:t>Данный пункт применяется только в случае, если в отношении Поставщика введены санкции/ограничительные меры. Форма допсоглашения утверждается Покупателем и является типовой.</w:t>
      </w:r>
    </w:p>
  </w:footnote>
  <w:footnote w:id="4">
    <w:p>
      <w:pPr>
        <w:pStyle w:val="FootnoteText"/>
        <w:jc w:val="both"/>
        <w:rPr/>
      </w:pPr>
      <w:r>
        <w:rPr>
          <w:rStyle w:val="Style11"/>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5">
    <w:p>
      <w:pPr>
        <w:pStyle w:val="FootnoteText"/>
        <w:jc w:val="both"/>
        <w:rPr/>
      </w:pPr>
      <w:r>
        <w:rPr>
          <w:rStyle w:val="Style11"/>
        </w:rPr>
        <w:footnoteRef/>
      </w:r>
      <w:r>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 w:id="6">
    <w:p>
      <w:pPr>
        <w:pStyle w:val="FootnoteText"/>
        <w:jc w:val="both"/>
        <w:rPr/>
      </w:pPr>
      <w:r>
        <w:rPr>
          <w:rStyle w:val="Style11"/>
        </w:rPr>
        <w:footnoteRef/>
      </w:r>
      <w:r>
        <w:rPr/>
        <w:t xml:space="preserve"> </w:t>
      </w:r>
      <w:r>
        <w:rPr/>
        <w:t>Актуальный Перечень Банков-Гарантов Группы РусГидро размещен на официальном сайте ПАО «РусГидро» http://zakupki.rushydro.ru/PublicContent/Section/6</w:t>
      </w:r>
    </w:p>
  </w:footnote>
  <w:footnote w:id="7">
    <w:p>
      <w:pPr>
        <w:pStyle w:val="FootnoteText"/>
        <w:jc w:val="both"/>
        <w:rPr/>
      </w:pPr>
      <w:r>
        <w:rPr>
          <w:rStyle w:val="Style11"/>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8">
    <w:p>
      <w:pPr>
        <w:pStyle w:val="FootnoteText"/>
        <w:jc w:val="both"/>
        <w:rPr/>
      </w:pPr>
      <w:r>
        <w:rPr>
          <w:rStyle w:val="Style11"/>
        </w:rPr>
        <w:footnoteRef/>
      </w:r>
      <w:r>
        <w:rPr/>
        <w:t xml:space="preserve"> </w:t>
      </w:r>
      <w:r>
        <w:rPr/>
        <w:t>Данное требование не применяется в отношении небанковских кредитных организаций.</w:t>
      </w:r>
    </w:p>
  </w:footnote>
  <w:footnote w:id="9">
    <w:p>
      <w:pPr>
        <w:pStyle w:val="FootnoteText"/>
        <w:jc w:val="both"/>
        <w:rPr/>
      </w:pPr>
      <w:r>
        <w:rPr>
          <w:rStyle w:val="Style11"/>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10">
    <w:p>
      <w:pPr>
        <w:pStyle w:val="FootnoteText"/>
        <w:jc w:val="both"/>
        <w:rPr/>
      </w:pPr>
      <w:r>
        <w:rPr>
          <w:rStyle w:val="Style11"/>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jc w:val="right"/>
      <w:rPr/>
    </w:pPr>
    <w:r>
      <w:rPr/>
      <w:tab/>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jc w:val="right"/>
      <w:rPr/>
    </w:pPr>
    <w:r>
      <w:rPr/>
      <w:tab/>
      <w:tab/>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432"/>
        </w:tabs>
        <w:ind w:left="43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12">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abstractNum w:abstractNumId="13">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numFmt w:val="bullet"/>
      <w:lvlText w:val="–"/>
      <w:lvlJc w:val="left"/>
      <w:pPr>
        <w:tabs>
          <w:tab w:val="num" w:pos="360"/>
        </w:tabs>
        <w:ind w:left="360" w:hanging="360"/>
      </w:pPr>
      <w:rPr>
        <w:rFonts w:ascii="Times New Roman" w:hAnsi="Times New Roman" w:cs="Times New Roman" w:hint="default"/>
        <w:color w:val="000000"/>
      </w:rPr>
    </w:lvl>
    <w:lvl w:ilvl="1">
      <w:start w:val="1"/>
      <w:numFmt w:val="decimal"/>
      <w:lvlText w:val="%1.%2."/>
      <w:lvlJc w:val="left"/>
      <w:pPr>
        <w:tabs>
          <w:tab w:val="num" w:pos="432"/>
        </w:tabs>
        <w:ind w:left="432"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1"/>
    <w:lvlOverride w:ilvl="0">
      <w:startOverride w:val="1"/>
    </w:lvlOverride>
    <w:lvlOverride w:ilvl="1">
      <w:startOverride w:val="1"/>
    </w:lvlOverride>
  </w:num>
  <w:num w:numId="16">
    <w:abstractNumId w:val="12"/>
    <w:lvlOverride w:ilvl="0">
      <w:startOverride w:val="9"/>
    </w:lvlOverride>
    <w:lvlOverride w:ilvl="1">
      <w:startOverride w:val="1"/>
    </w:lvlOverride>
  </w:num>
</w:numbering>
</file>

<file path=word/settings.xml><?xml version="1.0" encoding="utf-8"?>
<w:settings xmlns:w="http://schemas.openxmlformats.org/wordprocessingml/2006/main">
  <w:zoom w:percent="92"/>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76ed5"/>
    <w:pPr>
      <w:widowControl w:val="false"/>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Heading3">
    <w:name w:val="Heading 3"/>
    <w:basedOn w:val="Normal"/>
    <w:next w:val="Normal"/>
    <w:link w:val="3"/>
    <w:qFormat/>
    <w:rsid w:val="00a76ed5"/>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3" w:customStyle="1">
    <w:name w:val="Заголовок 3 Знак"/>
    <w:basedOn w:val="DefaultParagraphFont"/>
    <w:qFormat/>
    <w:rsid w:val="00a76ed5"/>
    <w:rPr>
      <w:rFonts w:ascii="Cambria" w:hAnsi="Cambria" w:eastAsia="Times New Roman" w:cs="Times New Roman"/>
      <w:b/>
      <w:bCs/>
      <w:color w:val="4F81BD"/>
      <w:sz w:val="20"/>
      <w:szCs w:val="20"/>
      <w:lang w:val="x-none" w:eastAsia="x-none"/>
    </w:rPr>
  </w:style>
  <w:style w:type="character" w:styleId="Style8" w:customStyle="1">
    <w:name w:val="Нижний колонтитул Знак"/>
    <w:basedOn w:val="DefaultParagraphFont"/>
    <w:uiPriority w:val="99"/>
    <w:qFormat/>
    <w:rsid w:val="00a76ed5"/>
    <w:rPr>
      <w:rFonts w:ascii="Times New Roman" w:hAnsi="Times New Roman" w:eastAsia="Times New Roman" w:cs="Times New Roman"/>
      <w:sz w:val="20"/>
      <w:szCs w:val="20"/>
      <w:lang w:eastAsia="ru-RU"/>
    </w:rPr>
  </w:style>
  <w:style w:type="character" w:styleId="Style9" w:customStyle="1">
    <w:name w:val="Абзац списка Знак"/>
    <w:link w:val="ListParagraph"/>
    <w:uiPriority w:val="34"/>
    <w:qFormat/>
    <w:locked/>
    <w:rsid w:val="00a76ed5"/>
    <w:rPr>
      <w:rFonts w:ascii="Times New Roman" w:hAnsi="Times New Roman" w:eastAsia="Times New Roman" w:cs="Times New Roman"/>
      <w:sz w:val="20"/>
      <w:szCs w:val="20"/>
      <w:lang w:eastAsia="ru-RU"/>
    </w:rPr>
  </w:style>
  <w:style w:type="character" w:styleId="Style10" w:customStyle="1">
    <w:name w:val="Текст сноски Знак"/>
    <w:basedOn w:val="DefaultParagraphFont"/>
    <w:uiPriority w:val="99"/>
    <w:qFormat/>
    <w:rsid w:val="00a76ed5"/>
    <w:rPr>
      <w:rFonts w:ascii="Times New Roman" w:hAnsi="Times New Roman" w:eastAsia="Times New Roman" w:cs="Times New Roman"/>
      <w:sz w:val="20"/>
      <w:szCs w:val="20"/>
      <w:lang w:eastAsia="ru-RU"/>
    </w:rPr>
  </w:style>
  <w:style w:type="character" w:styleId="Style11">
    <w:name w:val="Символ сноски"/>
    <w:qFormat/>
    <w:rsid w:val="00a76ed5"/>
    <w:rPr>
      <w:vertAlign w:val="superscript"/>
    </w:rPr>
  </w:style>
  <w:style w:type="character" w:styleId="FootnoteReference">
    <w:name w:val="Footnote Reference"/>
    <w:rPr>
      <w:vertAlign w:val="superscript"/>
    </w:rPr>
  </w:style>
  <w:style w:type="character" w:styleId="Style12" w:customStyle="1">
    <w:name w:val="Верхний колонтитул Знак"/>
    <w:basedOn w:val="DefaultParagraphFont"/>
    <w:qFormat/>
    <w:rsid w:val="00a76ed5"/>
    <w:rPr>
      <w:rFonts w:ascii="Times New Roman" w:hAnsi="Times New Roman" w:eastAsia="Times New Roman" w:cs="Times New Roman"/>
      <w:sz w:val="20"/>
      <w:szCs w:val="20"/>
      <w:lang w:eastAsia="ru-RU"/>
    </w:rPr>
  </w:style>
  <w:style w:type="character" w:styleId="Hyperlink">
    <w:name w:val="Hyperlink"/>
    <w:basedOn w:val="DefaultParagraphFont"/>
    <w:uiPriority w:val="99"/>
    <w:unhideWhenUsed/>
    <w:rsid w:val="00a76ed5"/>
    <w:rPr>
      <w:color w:val="0000FF"/>
      <w:u w:val="single"/>
    </w:rPr>
  </w:style>
  <w:style w:type="character" w:styleId="Annotationreference">
    <w:name w:val="annotation reference"/>
    <w:basedOn w:val="DefaultParagraphFont"/>
    <w:uiPriority w:val="99"/>
    <w:semiHidden/>
    <w:unhideWhenUsed/>
    <w:qFormat/>
    <w:rsid w:val="00a76ed5"/>
    <w:rPr>
      <w:sz w:val="16"/>
      <w:szCs w:val="16"/>
    </w:rPr>
  </w:style>
  <w:style w:type="character" w:styleId="Style13" w:customStyle="1">
    <w:name w:val="Текст примечания Знак"/>
    <w:basedOn w:val="DefaultParagraphFont"/>
    <w:link w:val="Annotationtext"/>
    <w:uiPriority w:val="99"/>
    <w:semiHidden/>
    <w:qFormat/>
    <w:rsid w:val="00a76ed5"/>
    <w:rPr>
      <w:rFonts w:ascii="Times New Roman" w:hAnsi="Times New Roman" w:eastAsia="Times New Roman" w:cs="Times New Roman"/>
      <w:sz w:val="20"/>
      <w:szCs w:val="20"/>
      <w:lang w:eastAsia="ru-RU"/>
    </w:rPr>
  </w:style>
  <w:style w:type="character" w:styleId="Style14" w:customStyle="1">
    <w:name w:val="Тема примечания Знак"/>
    <w:basedOn w:val="Style13"/>
    <w:link w:val="Annotationsubject"/>
    <w:uiPriority w:val="99"/>
    <w:semiHidden/>
    <w:qFormat/>
    <w:rsid w:val="00a76ed5"/>
    <w:rPr>
      <w:rFonts w:ascii="Times New Roman" w:hAnsi="Times New Roman" w:eastAsia="Times New Roman" w:cs="Times New Roman"/>
      <w:b/>
      <w:bCs/>
      <w:sz w:val="20"/>
      <w:szCs w:val="20"/>
      <w:lang w:eastAsia="ru-RU"/>
    </w:rPr>
  </w:style>
  <w:style w:type="character" w:styleId="Style15" w:customStyle="1">
    <w:name w:val="Текст выноски Знак"/>
    <w:basedOn w:val="DefaultParagraphFont"/>
    <w:link w:val="BalloonText"/>
    <w:uiPriority w:val="99"/>
    <w:semiHidden/>
    <w:qFormat/>
    <w:rsid w:val="00a76ed5"/>
    <w:rPr>
      <w:rFonts w:ascii="Segoe UI" w:hAnsi="Segoe UI" w:eastAsia="Times New Roman" w:cs="Segoe UI"/>
      <w:sz w:val="18"/>
      <w:szCs w:val="18"/>
      <w:lang w:eastAsia="ru-RU"/>
    </w:rPr>
  </w:style>
  <w:style w:type="character" w:styleId="EndnoteReference">
    <w:name w:val="Endnote Reference"/>
    <w:rPr>
      <w:vertAlign w:val="superscript"/>
    </w:rPr>
  </w:style>
  <w:style w:type="character" w:styleId="Style16">
    <w:name w:val="Символ концевой сноски"/>
    <w:qForma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Style19">
    <w:name w:val="Колонтитул"/>
    <w:basedOn w:val="Normal"/>
    <w:qFormat/>
    <w:pPr/>
    <w:rPr/>
  </w:style>
  <w:style w:type="paragraph" w:styleId="Footer">
    <w:name w:val="Footer"/>
    <w:basedOn w:val="Normal"/>
    <w:link w:val="Style8"/>
    <w:uiPriority w:val="99"/>
    <w:rsid w:val="00a76ed5"/>
    <w:pPr>
      <w:tabs>
        <w:tab w:val="clear" w:pos="708"/>
        <w:tab w:val="center" w:pos="4677" w:leader="none"/>
        <w:tab w:val="right" w:pos="9355" w:leader="none"/>
      </w:tabs>
    </w:pPr>
    <w:rPr/>
  </w:style>
  <w:style w:type="paragraph" w:styleId="ListParagraph">
    <w:name w:val="List Paragraph"/>
    <w:basedOn w:val="Normal"/>
    <w:link w:val="Style9"/>
    <w:uiPriority w:val="34"/>
    <w:qFormat/>
    <w:rsid w:val="00a76ed5"/>
    <w:pPr>
      <w:spacing w:before="0" w:after="0"/>
      <w:ind w:left="720" w:hanging="0"/>
      <w:contextualSpacing/>
    </w:pPr>
    <w:rPr/>
  </w:style>
  <w:style w:type="paragraph" w:styleId="FootnoteText">
    <w:name w:val="Footnote Text"/>
    <w:basedOn w:val="Normal"/>
    <w:link w:val="Style10"/>
    <w:uiPriority w:val="99"/>
    <w:rsid w:val="00a76ed5"/>
    <w:pPr/>
    <w:rPr/>
  </w:style>
  <w:style w:type="paragraph" w:styleId="Header">
    <w:name w:val="Header"/>
    <w:basedOn w:val="Normal"/>
    <w:link w:val="Style12"/>
    <w:rsid w:val="00a76ed5"/>
    <w:pPr>
      <w:tabs>
        <w:tab w:val="clear" w:pos="708"/>
        <w:tab w:val="center" w:pos="4677" w:leader="none"/>
        <w:tab w:val="right" w:pos="9355" w:leader="none"/>
      </w:tabs>
    </w:pPr>
    <w:rPr/>
  </w:style>
  <w:style w:type="paragraph" w:styleId="Annotationtext">
    <w:name w:val="annotation text"/>
    <w:basedOn w:val="Normal"/>
    <w:link w:val="Style13"/>
    <w:uiPriority w:val="99"/>
    <w:semiHidden/>
    <w:unhideWhenUsed/>
    <w:qFormat/>
    <w:rsid w:val="00a76ed5"/>
    <w:pPr/>
    <w:rPr/>
  </w:style>
  <w:style w:type="paragraph" w:styleId="Annotationsubject">
    <w:name w:val="annotation subject"/>
    <w:basedOn w:val="Annotationtext"/>
    <w:next w:val="Annotationtext"/>
    <w:link w:val="Style14"/>
    <w:uiPriority w:val="99"/>
    <w:semiHidden/>
    <w:unhideWhenUsed/>
    <w:qFormat/>
    <w:rsid w:val="00a76ed5"/>
    <w:pPr/>
    <w:rPr>
      <w:b/>
      <w:bCs/>
    </w:rPr>
  </w:style>
  <w:style w:type="paragraph" w:styleId="BalloonText">
    <w:name w:val="Balloon Text"/>
    <w:basedOn w:val="Normal"/>
    <w:link w:val="Style15"/>
    <w:uiPriority w:val="99"/>
    <w:semiHidden/>
    <w:unhideWhenUsed/>
    <w:qFormat/>
    <w:rsid w:val="00a76ed5"/>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yperlink" Target="http://www.cbr.ru/" TargetMode="Externa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Application>AlterOffice/3.4.0.9$Linux_X86_64 LibreOffice_project/b8daf9e823b1a5463a2f48435ddc2e8696e7d4fc</Application>
  <AppVersion>15.0000</AppVersion>
  <Pages>28</Pages>
  <Words>9194</Words>
  <Characters>65632</Characters>
  <CharactersWithSpaces>74478</CharactersWithSpaces>
  <Paragraphs>445</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2026-04-06T09:49:00Z</dcterms:created>
  <dc:creator>Капленко Инна Викторовна</dc:creator>
  <dc:description/>
  <dc:language>ru-RU</dc:language>
  <cp:lastModifiedBy>dvortcovea@corp.gidroogk.com</cp:lastModifiedBy>
  <dcterms:modified xsi:type="dcterms:W3CDTF">2026-07-27T16:08:19Z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