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highlight w:val="none"/>
          <w:shd w:fill="auto" w:val="clear"/>
        </w:rPr>
      </w:pPr>
      <w:r>
        <w:rPr>
          <w:rFonts w:eastAsia="Calibri"/>
          <w:shd w:fill="auto" w:val="clear"/>
          <w:lang w:val="en-US"/>
        </w:rPr>
        <w:t xml:space="preserve"> </w:t>
      </w:r>
    </w:p>
    <w:p>
      <w:pPr>
        <w:pStyle w:val="Normal"/>
        <w:tabs>
          <w:tab w:val="clear" w:pos="709"/>
          <w:tab w:val="left" w:pos="0" w:leader="none"/>
        </w:tabs>
        <w:spacing w:before="0" w:after="0"/>
        <w:contextualSpacing/>
        <w:jc w:val="center"/>
        <w:rPr>
          <w:highlight w:val="none"/>
          <w:shd w:fill="auto" w:val="clear"/>
        </w:rPr>
      </w:pPr>
      <w:r>
        <w:rPr>
          <w:b/>
          <w:shd w:fill="auto" w:val="clear"/>
        </w:rPr>
        <w:t>Техническое задание</w:t>
      </w:r>
    </w:p>
    <w:p>
      <w:pPr>
        <w:pStyle w:val="Normal"/>
        <w:tabs>
          <w:tab w:val="clear" w:pos="709"/>
          <w:tab w:val="left" w:pos="0" w:leader="none"/>
        </w:tabs>
        <w:spacing w:before="0" w:after="0"/>
        <w:contextualSpacing/>
        <w:jc w:val="center"/>
        <w:rPr>
          <w:b/>
          <w:highlight w:val="none"/>
          <w:shd w:fill="auto" w:val="clear"/>
        </w:rPr>
      </w:pPr>
      <w:r>
        <w:rPr>
          <w:b/>
          <w:shd w:fill="auto" w:val="clear"/>
        </w:rPr>
      </w:r>
    </w:p>
    <w:p>
      <w:pPr>
        <w:pStyle w:val="Normal"/>
        <w:ind w:firstLine="426"/>
        <w:jc w:val="both"/>
        <w:rPr>
          <w:b w:val="false"/>
          <w:bCs w:val="false"/>
          <w:i w:val="false"/>
          <w:iCs w:val="false"/>
          <w:highlight w:val="none"/>
          <w:shd w:fill="auto" w:val="clear"/>
        </w:rPr>
      </w:pPr>
      <w:r>
        <w:rPr>
          <w:b w:val="false"/>
          <w:bCs w:val="false"/>
          <w:i w:val="false"/>
          <w:iCs w:val="false"/>
          <w:shd w:fill="auto" w:val="clear"/>
        </w:rPr>
        <w:t xml:space="preserve">на </w:t>
      </w:r>
      <w:r>
        <w:rPr>
          <w:b w:val="false"/>
          <w:bCs w:val="false"/>
          <w:i w:val="false"/>
          <w:iCs w:val="false"/>
          <w:shd w:fill="auto" w:val="clear"/>
        </w:rPr>
        <w:t>оказание комплекса услуг</w:t>
      </w:r>
      <w:r>
        <w:rPr>
          <w:b w:val="false"/>
          <w:bCs w:val="false"/>
          <w:i w:val="false"/>
          <w:iCs w:val="false"/>
          <w:shd w:fill="auto" w:val="clear"/>
        </w:rPr>
        <w:t xml:space="preserve"> работ по созданию системы защиты информации, анализу информационной системы «РСОН», принадлежащей ГКУ Приморского края по пожарной безопасности, ГОЧС, на предмет соответствия требованиям по безопасности информации с поставкой необходимых средств защиты информации, программно-аппаратных комплексов, передачу несключительных прав на программное обеспечение, и оформление заключения</w:t>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О</w:t>
      </w:r>
      <w:r>
        <w:rPr>
          <w:rFonts w:eastAsia="Calibri"/>
          <w:b/>
          <w:shd w:fill="auto" w:val="clear"/>
        </w:rPr>
        <w:t>писание</w:t>
      </w:r>
    </w:p>
    <w:p>
      <w:pPr>
        <w:pStyle w:val="ListParagraph"/>
        <w:ind w:firstLine="360" w:start="0"/>
        <w:jc w:val="both"/>
        <w:rPr>
          <w:highlight w:val="none"/>
          <w:shd w:fill="auto" w:val="clear"/>
        </w:rPr>
      </w:pPr>
      <w:r>
        <w:rPr>
          <w:rFonts w:eastAsia="Calibri"/>
          <w:bCs/>
          <w:shd w:fill="auto" w:val="clear"/>
        </w:rPr>
        <w:t>оказание</w:t>
      </w:r>
      <w:r>
        <w:rPr>
          <w:rFonts w:eastAsia="Calibri"/>
          <w:bCs/>
          <w:shd w:fill="auto" w:val="clear"/>
        </w:rPr>
        <w:t xml:space="preserve"> комплекса </w:t>
      </w:r>
      <w:r>
        <w:rPr>
          <w:rFonts w:eastAsia="Calibri"/>
          <w:bCs/>
          <w:shd w:fill="auto" w:val="clear"/>
        </w:rPr>
        <w:t>услуг</w:t>
      </w:r>
      <w:r>
        <w:rPr>
          <w:rFonts w:eastAsia="Calibri"/>
          <w:bCs/>
          <w:shd w:fill="auto" w:val="clear"/>
        </w:rPr>
        <w:t xml:space="preserve"> по созданию системы защиты информации, анализу информационной системы «РСОН», принадлежащей ГКУ Приморского края по пожарной безопасности, ГОЧС, на предмет соответствия требованиям по безопасности информации с поставкой необходимых средств защиты информации, программно-аппаратных комплексов, передачу несключительных прав на программное обеспечение, и оформление заключения.</w:t>
      </w:r>
    </w:p>
    <w:p>
      <w:pPr>
        <w:pStyle w:val="ListParagraph"/>
        <w:ind w:firstLine="360" w:start="0"/>
        <w:jc w:val="both"/>
        <w:rPr>
          <w:highlight w:val="none"/>
          <w:shd w:fill="auto" w:val="clear"/>
        </w:rPr>
      </w:pPr>
      <w:r>
        <w:rPr>
          <w:rFonts w:eastAsia="Calibri"/>
          <w:bCs/>
          <w:shd w:fill="auto" w:val="clear"/>
        </w:rPr>
        <w:t xml:space="preserve">Закупка оборудования, программного обеспечения, оказание услуг и оформление заключения, указанных в настоящем </w:t>
      </w:r>
      <w:r>
        <w:rPr>
          <w:rFonts w:eastAsia="Calibri"/>
          <w:bCs/>
          <w:shd w:fill="auto" w:val="clear"/>
        </w:rPr>
        <w:t>ТЗ</w:t>
      </w:r>
      <w:r>
        <w:rPr>
          <w:rFonts w:eastAsia="Calibri"/>
          <w:bCs/>
          <w:shd w:fill="auto" w:val="clear"/>
        </w:rPr>
        <w:t>, непосредственно направлены на создание системы защиты информации для региональной системы оповещения населения Приморского края.</w:t>
      </w:r>
    </w:p>
    <w:p>
      <w:pPr>
        <w:pStyle w:val="ListParagraph"/>
        <w:ind w:firstLine="360" w:start="0"/>
        <w:jc w:val="both"/>
        <w:rPr>
          <w:highlight w:val="none"/>
          <w:shd w:fill="auto" w:val="clear"/>
        </w:rPr>
      </w:pPr>
      <w:r>
        <w:rPr>
          <w:shd w:fill="auto" w:val="clear"/>
        </w:rPr>
        <w:t>Система защиты информации создается для предотвращения несанкционированного доступа, блокировки или подделки сигналов. Ее главная цель — гарантировать, что в случае реальной угрозы (ЧС или военных действий) экстренные команды дойдут до населения и служб вовремя, а ложные сигналы не вызовут панику. Безопасность достигается за счет комплекса программно-аппаратных мер (шифрование данных, использование защищенных каналов связи, контроль доступа), которые строго регламентируются государственными стандартами.</w:t>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 xml:space="preserve">Порядок </w:t>
      </w:r>
      <w:r>
        <w:rPr>
          <w:rFonts w:eastAsia="Calibri"/>
          <w:b/>
          <w:shd w:fill="auto" w:val="clear"/>
        </w:rPr>
        <w:t>оказания услуг</w:t>
      </w:r>
    </w:p>
    <w:p>
      <w:pPr>
        <w:pStyle w:val="ListParagraph"/>
        <w:numPr>
          <w:ilvl w:val="1"/>
          <w:numId w:val="11"/>
        </w:numPr>
        <w:ind w:firstLine="426" w:start="0" w:end="-257"/>
        <w:jc w:val="both"/>
        <w:rPr>
          <w:highlight w:val="none"/>
          <w:shd w:fill="auto" w:val="clear"/>
        </w:rPr>
      </w:pPr>
      <w:r>
        <w:rPr>
          <w:shd w:fill="auto" w:val="clear"/>
        </w:rPr>
        <w:t xml:space="preserve">Права на использование программного обеспечения передаются Заказчику ключевым файлом (электронный тип лицензии), содержащем код активации лицензии и учетные данные (пароль и логин) для доступа к ресурсам Производителя. </w:t>
      </w:r>
    </w:p>
    <w:p>
      <w:pPr>
        <w:pStyle w:val="ListParagraph"/>
        <w:numPr>
          <w:ilvl w:val="1"/>
          <w:numId w:val="11"/>
        </w:numPr>
        <w:ind w:firstLine="426" w:start="0" w:end="-257"/>
        <w:jc w:val="both"/>
        <w:rPr>
          <w:highlight w:val="none"/>
          <w:shd w:fill="auto" w:val="clear"/>
        </w:rPr>
      </w:pPr>
      <w:r>
        <w:rPr>
          <w:b/>
          <w:shd w:fill="auto" w:val="clear"/>
        </w:rPr>
        <w:t xml:space="preserve">Ключевой файл передается Исполнителем Заказчику по адресу электронной почты Головного Заказчика: </w:t>
      </w:r>
      <w:r>
        <w:rPr>
          <w:b/>
          <w:color w:val="0070C0"/>
          <w:shd w:fill="auto" w:val="clear"/>
          <w:lang w:val="en-US"/>
        </w:rPr>
        <w:t>osuo</w:t>
      </w:r>
      <w:r>
        <w:rPr>
          <w:b/>
          <w:color w:val="0070C0"/>
          <w:shd w:fill="auto" w:val="clear"/>
        </w:rPr>
        <w:t>@primgochs.ru.</w:t>
      </w:r>
    </w:p>
    <w:p>
      <w:pPr>
        <w:pStyle w:val="ListParagraph"/>
        <w:numPr>
          <w:ilvl w:val="1"/>
          <w:numId w:val="11"/>
        </w:numPr>
        <w:ind w:firstLine="426" w:start="0" w:end="-257"/>
        <w:jc w:val="both"/>
        <w:rPr>
          <w:highlight w:val="none"/>
          <w:shd w:fill="auto" w:val="clear"/>
        </w:rPr>
      </w:pPr>
      <w:r>
        <w:rPr>
          <w:shd w:fill="auto" w:val="clear"/>
        </w:rPr>
        <w:t xml:space="preserve">Поставка программно-аппаратных комплексов, сертификатов сервиса совместной технической поддержки, дистрибутивов программного обеспечения, а также оказание услуг, согласно Таблице №1, осуществляется Исполнителем по адресу Головного Заказчика: </w:t>
      </w:r>
      <w:r>
        <w:rPr>
          <w:b/>
          <w:shd w:fill="auto" w:val="clear"/>
        </w:rPr>
        <w:t>690033, Приморский край, г. Владивосток, Семеновская ул., д.36.</w:t>
      </w:r>
    </w:p>
    <w:p>
      <w:pPr>
        <w:pStyle w:val="ListParagraph"/>
        <w:numPr>
          <w:ilvl w:val="0"/>
          <w:numId w:val="11"/>
        </w:numPr>
        <w:spacing w:before="280" w:after="0"/>
        <w:ind w:firstLine="360" w:start="0"/>
        <w:contextualSpacing/>
        <w:jc w:val="both"/>
        <w:rPr>
          <w:b/>
          <w:highlight w:val="none"/>
          <w:shd w:fill="auto" w:val="clear"/>
        </w:rPr>
      </w:pPr>
      <w:r>
        <w:rPr>
          <w:b/>
          <w:shd w:fill="auto" w:val="clear"/>
        </w:rPr>
        <w:t xml:space="preserve">Технические характеристики поставляемых товаров, </w:t>
      </w:r>
      <w:r>
        <w:rPr>
          <w:b/>
          <w:shd w:fill="auto" w:val="clear"/>
        </w:rPr>
        <w:t>услуг</w:t>
      </w:r>
    </w:p>
    <w:p>
      <w:pPr>
        <w:pStyle w:val="ListParagraph"/>
        <w:spacing w:before="280" w:after="0"/>
        <w:ind w:firstLine="360" w:start="0"/>
        <w:contextualSpacing/>
        <w:jc w:val="both"/>
        <w:rPr>
          <w:rFonts w:eastAsia="Calibri"/>
          <w:b/>
          <w:highlight w:val="none"/>
          <w:shd w:fill="auto" w:val="clear"/>
        </w:rPr>
      </w:pPr>
      <w:r>
        <w:rPr>
          <w:rFonts w:eastAsia="Calibri"/>
          <w:b/>
          <w:shd w:fill="auto" w:val="clear"/>
        </w:rPr>
      </w:r>
    </w:p>
    <w:p>
      <w:pPr>
        <w:pStyle w:val="ListParagraph"/>
        <w:spacing w:before="280" w:after="0"/>
        <w:ind w:firstLine="360" w:start="0"/>
        <w:contextualSpacing/>
        <w:jc w:val="both"/>
        <w:rPr>
          <w:rFonts w:eastAsia="Calibri"/>
          <w:b/>
          <w:highlight w:val="none"/>
          <w:shd w:fill="auto" w:val="clear"/>
        </w:rPr>
      </w:pPr>
      <w:r>
        <w:rPr>
          <w:rFonts w:eastAsia="Calibri"/>
          <w:b/>
          <w:shd w:fill="auto" w:val="clear"/>
        </w:rPr>
      </w:r>
    </w:p>
    <w:p>
      <w:pPr>
        <w:pStyle w:val="ListParagraph"/>
        <w:spacing w:before="280" w:after="0"/>
        <w:ind w:firstLine="360" w:start="0"/>
        <w:contextualSpacing/>
        <w:jc w:val="both"/>
        <w:rPr>
          <w:rFonts w:eastAsia="Calibri"/>
          <w:b/>
          <w:highlight w:val="none"/>
          <w:shd w:fill="auto" w:val="clear"/>
        </w:rPr>
      </w:pPr>
      <w:r>
        <w:rPr>
          <w:rFonts w:eastAsia="Calibri"/>
          <w:b/>
          <w:shd w:fill="auto" w:val="clear"/>
        </w:rPr>
      </w:r>
    </w:p>
    <w:p>
      <w:pPr>
        <w:pStyle w:val="ListParagraph"/>
        <w:spacing w:before="280" w:after="0"/>
        <w:ind w:firstLine="360" w:start="0"/>
        <w:contextualSpacing/>
        <w:jc w:val="both"/>
        <w:rPr>
          <w:rFonts w:eastAsia="Calibri"/>
          <w:b/>
          <w:highlight w:val="none"/>
          <w:shd w:fill="auto" w:val="clear"/>
        </w:rPr>
      </w:pPr>
      <w:r>
        <w:rPr>
          <w:rFonts w:eastAsia="Calibri"/>
          <w:b/>
          <w:shd w:fill="auto" w:val="clear"/>
        </w:rPr>
      </w:r>
    </w:p>
    <w:p>
      <w:pPr>
        <w:pStyle w:val="ListParagraph"/>
        <w:spacing w:before="280" w:after="0"/>
        <w:ind w:firstLine="360" w:start="0"/>
        <w:contextualSpacing/>
        <w:jc w:val="both"/>
        <w:rPr>
          <w:rFonts w:eastAsia="Calibri"/>
          <w:b/>
          <w:highlight w:val="none"/>
          <w:shd w:fill="auto" w:val="clear"/>
        </w:rPr>
      </w:pPr>
      <w:r>
        <w:rPr>
          <w:rFonts w:eastAsia="Calibri"/>
          <w:b/>
          <w:shd w:fill="auto" w:val="clear"/>
        </w:rPr>
      </w:r>
    </w:p>
    <w:p>
      <w:pPr>
        <w:pStyle w:val="ListParagraph"/>
        <w:spacing w:before="280" w:after="0"/>
        <w:ind w:firstLine="360" w:start="0"/>
        <w:contextualSpacing/>
        <w:jc w:val="both"/>
        <w:rPr>
          <w:rFonts w:eastAsia="Calibri"/>
          <w:b/>
          <w:highlight w:val="none"/>
          <w:shd w:fill="auto" w:val="clear"/>
        </w:rPr>
      </w:pPr>
      <w:r>
        <w:rPr>
          <w:rFonts w:eastAsia="Calibri"/>
          <w:b/>
          <w:shd w:fill="auto" w:val="clear"/>
        </w:rPr>
      </w:r>
    </w:p>
    <w:p>
      <w:pPr>
        <w:pStyle w:val="ListParagraph"/>
        <w:spacing w:before="280" w:after="0"/>
        <w:ind w:firstLine="360" w:start="0"/>
        <w:contextualSpacing/>
        <w:jc w:val="both"/>
        <w:rPr>
          <w:rFonts w:eastAsia="Calibri"/>
          <w:b/>
          <w:highlight w:val="none"/>
          <w:shd w:fill="auto" w:val="clear"/>
        </w:rPr>
      </w:pPr>
      <w:r>
        <w:rPr>
          <w:rFonts w:eastAsia="Calibri"/>
          <w:b/>
          <w:shd w:fill="auto" w:val="clear"/>
        </w:rPr>
      </w:r>
    </w:p>
    <w:p>
      <w:pPr>
        <w:pStyle w:val="ListParagraph"/>
        <w:spacing w:before="280" w:after="0"/>
        <w:ind w:firstLine="360" w:start="0"/>
        <w:contextualSpacing/>
        <w:jc w:val="both"/>
        <w:rPr>
          <w:rFonts w:eastAsia="Calibri"/>
          <w:b/>
          <w:highlight w:val="none"/>
          <w:shd w:fill="auto" w:val="clear"/>
        </w:rPr>
      </w:pPr>
      <w:r>
        <w:rPr>
          <w:rFonts w:eastAsia="Calibri"/>
          <w:b/>
          <w:shd w:fill="auto" w:val="clear"/>
        </w:rPr>
      </w:r>
    </w:p>
    <w:p>
      <w:pPr>
        <w:pStyle w:val="ListParagraph"/>
        <w:spacing w:before="280" w:after="0"/>
        <w:ind w:firstLine="360" w:start="0"/>
        <w:contextualSpacing/>
        <w:jc w:val="both"/>
        <w:rPr>
          <w:rFonts w:eastAsia="Calibri"/>
          <w:b/>
          <w:highlight w:val="none"/>
          <w:shd w:fill="auto" w:val="clear"/>
        </w:rPr>
      </w:pPr>
      <w:r>
        <w:rPr>
          <w:rFonts w:eastAsia="Calibri"/>
          <w:b/>
          <w:shd w:fill="auto" w:val="clear"/>
        </w:rPr>
      </w:r>
    </w:p>
    <w:p>
      <w:pPr>
        <w:pStyle w:val="Normal"/>
        <w:spacing w:before="280" w:after="0"/>
        <w:ind w:start="710"/>
        <w:jc w:val="end"/>
        <w:rPr>
          <w:highlight w:val="none"/>
          <w:shd w:fill="auto" w:val="clear"/>
        </w:rPr>
      </w:pPr>
      <w:r>
        <w:rPr>
          <w:shd w:fill="auto" w:val="clear"/>
        </w:rPr>
        <w:t>Таблица 1</w:t>
      </w:r>
    </w:p>
    <w:tbl>
      <w:tblPr>
        <w:tblStyle w:val="16"/>
        <w:tblW w:w="9975" w:type="dxa"/>
        <w:jc w:val="start"/>
        <w:tblInd w:w="-5" w:type="dxa"/>
        <w:tblLayout w:type="fixed"/>
        <w:tblCellMar>
          <w:top w:w="0" w:type="dxa"/>
          <w:start w:w="0" w:type="dxa"/>
          <w:bottom w:w="0" w:type="dxa"/>
          <w:end w:w="0" w:type="dxa"/>
        </w:tblCellMar>
        <w:tblLook w:val="04a0" w:noHBand="0" w:noVBand="1" w:firstColumn="1" w:lastRow="0" w:lastColumn="0" w:firstRow="1"/>
      </w:tblPr>
      <w:tblGrid>
        <w:gridCol w:w="555"/>
        <w:gridCol w:w="1996"/>
        <w:gridCol w:w="850"/>
        <w:gridCol w:w="1985"/>
        <w:gridCol w:w="1799"/>
        <w:gridCol w:w="2565"/>
        <w:gridCol w:w="105"/>
        <w:gridCol w:w="120"/>
      </w:tblGrid>
      <w:tr>
        <w:trPr>
          <w:trHeight w:val="536" w:hRule="atLeast"/>
        </w:trPr>
        <w:tc>
          <w:tcPr>
            <w:tcW w:w="555" w:type="dxa"/>
            <w:vMerge w:val="restart"/>
            <w:tcBorders/>
            <w:vAlign w:val="center"/>
          </w:tcPr>
          <w:p>
            <w:pPr>
              <w:pStyle w:val="Normal"/>
              <w:widowControl/>
              <w:tabs>
                <w:tab w:val="clear" w:pos="709"/>
                <w:tab w:val="left" w:pos="0" w:leader="none"/>
              </w:tabs>
              <w:spacing w:lineRule="exact" w:line="240" w:before="0" w:after="0"/>
              <w:jc w:val="center"/>
              <w:rPr>
                <w:kern w:val="0"/>
                <w:highlight w:val="none"/>
                <w:shd w:fill="auto" w:val="clear"/>
                <w:lang w:val="ru-RU" w:bidi="ar-SA"/>
              </w:rPr>
            </w:pPr>
            <w:r>
              <w:rPr>
                <w:b/>
                <w:kern w:val="2"/>
                <w:sz w:val="20"/>
                <w:szCs w:val="20"/>
                <w:shd w:fill="auto" w:val="clear"/>
                <w:lang w:val="ru-RU" w:bidi="ar-SA"/>
              </w:rPr>
              <w:t xml:space="preserve">№ </w:t>
            </w:r>
            <w:r>
              <w:rPr>
                <w:b/>
                <w:kern w:val="2"/>
                <w:sz w:val="20"/>
                <w:szCs w:val="20"/>
                <w:shd w:fill="auto" w:val="clear"/>
                <w:lang w:val="ru-RU" w:bidi="ar-SA"/>
              </w:rPr>
              <w:t>п/п</w:t>
            </w:r>
          </w:p>
        </w:tc>
        <w:tc>
          <w:tcPr>
            <w:tcW w:w="1996" w:type="dxa"/>
            <w:vMerge w:val="restart"/>
            <w:tcBorders/>
            <w:vAlign w:val="center"/>
          </w:tcPr>
          <w:p>
            <w:pPr>
              <w:pStyle w:val="Normal"/>
              <w:widowControl/>
              <w:tabs>
                <w:tab w:val="clear" w:pos="709"/>
                <w:tab w:val="left" w:pos="0" w:leader="none"/>
              </w:tabs>
              <w:spacing w:lineRule="exact" w:line="240" w:before="0" w:after="0"/>
              <w:jc w:val="center"/>
              <w:rPr>
                <w:kern w:val="0"/>
                <w:highlight w:val="none"/>
                <w:shd w:fill="auto" w:val="clear"/>
                <w:lang w:val="ru-RU" w:bidi="ar-SA"/>
              </w:rPr>
            </w:pPr>
            <w:r>
              <w:rPr>
                <w:b/>
                <w:kern w:val="0"/>
                <w:sz w:val="20"/>
                <w:szCs w:val="20"/>
                <w:shd w:fill="auto" w:val="clear"/>
                <w:lang w:val="ru-RU" w:bidi="ar-SA"/>
              </w:rPr>
              <w:t>Наименование товара</w:t>
            </w:r>
          </w:p>
        </w:tc>
        <w:tc>
          <w:tcPr>
            <w:tcW w:w="850" w:type="dxa"/>
            <w:vMerge w:val="restart"/>
            <w:tcBorders/>
            <w:vAlign w:val="center"/>
          </w:tcPr>
          <w:p>
            <w:pPr>
              <w:pStyle w:val="Normal"/>
              <w:widowControl/>
              <w:tabs>
                <w:tab w:val="clear" w:pos="709"/>
                <w:tab w:val="left" w:pos="0" w:leader="none"/>
              </w:tabs>
              <w:spacing w:lineRule="exact" w:line="240" w:before="0" w:after="0"/>
              <w:jc w:val="center"/>
              <w:rPr>
                <w:kern w:val="0"/>
                <w:highlight w:val="none"/>
                <w:shd w:fill="auto" w:val="clear"/>
                <w:lang w:val="ru-RU" w:bidi="ar-SA"/>
              </w:rPr>
            </w:pPr>
            <w:r>
              <w:rPr>
                <w:b/>
                <w:kern w:val="2"/>
                <w:sz w:val="20"/>
                <w:szCs w:val="20"/>
                <w:shd w:fill="auto" w:val="clear"/>
                <w:lang w:val="ru-RU" w:bidi="ar-SA"/>
              </w:rPr>
              <w:t>Ед. изм.</w:t>
            </w:r>
          </w:p>
        </w:tc>
        <w:tc>
          <w:tcPr>
            <w:tcW w:w="1985" w:type="dxa"/>
            <w:vMerge w:val="restart"/>
            <w:tcBorders/>
            <w:tcMar>
              <w:start w:w="108" w:type="dxa"/>
              <w:end w:w="108" w:type="dxa"/>
            </w:tcMar>
            <w:vAlign w:val="center"/>
          </w:tcPr>
          <w:p>
            <w:pPr>
              <w:pStyle w:val="Normal"/>
              <w:widowControl/>
              <w:tabs>
                <w:tab w:val="clear" w:pos="709"/>
                <w:tab w:val="left" w:pos="0" w:leader="none"/>
              </w:tabs>
              <w:spacing w:lineRule="exact" w:line="240" w:before="0" w:after="0"/>
              <w:jc w:val="center"/>
              <w:rPr>
                <w:kern w:val="0"/>
                <w:highlight w:val="none"/>
                <w:shd w:fill="auto" w:val="clear"/>
                <w:lang w:val="ru-RU" w:bidi="ar-SA"/>
              </w:rPr>
            </w:pPr>
            <w:r>
              <w:rPr>
                <w:b/>
                <w:kern w:val="0"/>
                <w:sz w:val="20"/>
                <w:szCs w:val="20"/>
                <w:shd w:fill="auto" w:val="clear"/>
                <w:lang w:val="ru-RU" w:bidi="ar-SA"/>
              </w:rPr>
              <w:t>Кол-во</w:t>
            </w:r>
          </w:p>
        </w:tc>
        <w:tc>
          <w:tcPr>
            <w:tcW w:w="4364" w:type="dxa"/>
            <w:gridSpan w:val="2"/>
            <w:vMerge w:val="restart"/>
            <w:tcBorders/>
            <w:tcMar>
              <w:start w:w="108" w:type="dxa"/>
              <w:end w:w="108" w:type="dxa"/>
            </w:tcMar>
            <w:vAlign w:val="center"/>
          </w:tcPr>
          <w:p>
            <w:pPr>
              <w:pStyle w:val="Normal"/>
              <w:widowControl/>
              <w:tabs>
                <w:tab w:val="clear" w:pos="709"/>
                <w:tab w:val="left" w:pos="0" w:leader="none"/>
              </w:tabs>
              <w:spacing w:lineRule="exact" w:line="240" w:before="0" w:after="0"/>
              <w:jc w:val="center"/>
              <w:rPr>
                <w:kern w:val="0"/>
                <w:highlight w:val="none"/>
                <w:shd w:fill="auto" w:val="clear"/>
                <w:lang w:val="ru-RU" w:bidi="ar-SA"/>
              </w:rPr>
            </w:pPr>
            <w:r>
              <w:rPr>
                <w:b/>
                <w:kern w:val="0"/>
                <w:sz w:val="20"/>
                <w:szCs w:val="20"/>
                <w:shd w:fill="auto" w:val="clear"/>
                <w:lang w:val="ru-RU" w:bidi="ar-SA"/>
              </w:rPr>
              <w:t xml:space="preserve">Технические </w:t>
            </w:r>
            <w:r>
              <w:rPr>
                <w:b/>
                <w:kern w:val="0"/>
                <w:sz w:val="20"/>
                <w:szCs w:val="20"/>
                <w:shd w:fill="auto" w:val="clear"/>
                <w:lang w:val="ru-RU" w:bidi="ar-SA"/>
              </w:rPr>
              <w:t>характеристик</w:t>
            </w:r>
            <w:r>
              <w:rPr>
                <w:b/>
                <w:kern w:val="0"/>
                <w:sz w:val="20"/>
                <w:szCs w:val="20"/>
                <w:shd w:fill="auto" w:val="clear"/>
                <w:lang w:val="ru-RU" w:bidi="ar-SA"/>
              </w:rPr>
              <w:t>и</w:t>
            </w:r>
            <w:r>
              <w:rPr>
                <w:b/>
                <w:kern w:val="0"/>
                <w:sz w:val="20"/>
                <w:szCs w:val="20"/>
                <w:shd w:fill="auto" w:val="clear"/>
                <w:lang w:val="ru-RU" w:bidi="ar-SA"/>
              </w:rPr>
              <w:t xml:space="preserve"> </w:t>
            </w:r>
            <w:r>
              <w:rPr>
                <w:b/>
                <w:kern w:val="0"/>
                <w:sz w:val="20"/>
                <w:szCs w:val="20"/>
                <w:shd w:fill="auto" w:val="clear"/>
                <w:lang w:val="ru-RU" w:bidi="ar-SA"/>
              </w:rPr>
              <w:t xml:space="preserve">поставляемых </w:t>
            </w:r>
            <w:r>
              <w:rPr>
                <w:b/>
                <w:kern w:val="0"/>
                <w:sz w:val="20"/>
                <w:szCs w:val="20"/>
                <w:shd w:fill="auto" w:val="clear"/>
                <w:lang w:val="ru-RU" w:bidi="ar-SA"/>
              </w:rPr>
              <w:t xml:space="preserve">товаров, </w:t>
            </w:r>
            <w:r>
              <w:rPr>
                <w:b/>
                <w:kern w:val="0"/>
                <w:sz w:val="20"/>
                <w:szCs w:val="20"/>
                <w:shd w:fill="auto" w:val="clear"/>
                <w:lang w:val="ru-RU" w:bidi="ar-SA"/>
              </w:rPr>
              <w:t>услуг</w:t>
            </w:r>
            <w:r>
              <w:rPr>
                <w:b/>
                <w:kern w:val="0"/>
                <w:sz w:val="20"/>
                <w:szCs w:val="20"/>
                <w:shd w:fill="auto" w:val="clear"/>
                <w:lang w:val="ru-RU" w:bidi="ar-SA"/>
              </w:rPr>
              <w:t xml:space="preserve"> </w:t>
            </w:r>
          </w:p>
        </w:tc>
        <w:tc>
          <w:tcPr>
            <w:tcW w:w="105" w:type="dxa"/>
            <w:tcBorders/>
            <w:tcMar>
              <w:start w:w="108" w:type="dxa"/>
              <w:end w:w="108" w:type="dxa"/>
            </w:tcMar>
            <w:vAlign w:val="center"/>
          </w:tcPr>
          <w:p>
            <w:pPr>
              <w:pStyle w:val="Normal"/>
              <w:widowControl/>
              <w:tabs>
                <w:tab w:val="clear" w:pos="709"/>
                <w:tab w:val="left" w:pos="0" w:leader="none"/>
              </w:tabs>
              <w:spacing w:lineRule="exact" w:line="240" w:before="0" w:after="0"/>
              <w:jc w:val="center"/>
              <w:rPr>
                <w:b/>
                <w:kern w:val="0"/>
                <w:sz w:val="20"/>
                <w:szCs w:val="20"/>
                <w:highlight w:val="none"/>
                <w:shd w:fill="auto" w:val="clear"/>
                <w:lang w:val="ru-RU" w:bidi="ar-SA"/>
              </w:rPr>
            </w:pPr>
            <w:r>
              <w:rPr>
                <w:b/>
                <w:kern w:val="0"/>
                <w:sz w:val="20"/>
                <w:szCs w:val="20"/>
                <w:shd w:fill="auto" w:val="clear"/>
                <w:lang w:val="ru-RU" w:bidi="ar-SA"/>
              </w:rPr>
            </w:r>
          </w:p>
        </w:tc>
        <w:tc>
          <w:tcPr>
            <w:tcW w:w="120" w:type="dxa"/>
            <w:tcBorders/>
            <w:tcMar>
              <w:start w:w="108" w:type="dxa"/>
              <w:end w:w="108" w:type="dxa"/>
            </w:tcMar>
            <w:vAlign w:val="center"/>
          </w:tcPr>
          <w:p>
            <w:pPr>
              <w:pStyle w:val="Normal"/>
              <w:widowControl/>
              <w:tabs>
                <w:tab w:val="clear" w:pos="709"/>
                <w:tab w:val="left" w:pos="0" w:leader="none"/>
              </w:tabs>
              <w:spacing w:lineRule="exact" w:line="240" w:before="0" w:after="0"/>
              <w:jc w:val="center"/>
              <w:rPr>
                <w:b/>
                <w:kern w:val="0"/>
                <w:sz w:val="20"/>
                <w:szCs w:val="20"/>
                <w:highlight w:val="none"/>
                <w:shd w:fill="auto" w:val="clear"/>
                <w:lang w:val="ru-RU" w:bidi="ar-SA"/>
              </w:rPr>
            </w:pPr>
            <w:r>
              <w:rPr>
                <w:b/>
                <w:kern w:val="0"/>
                <w:sz w:val="20"/>
                <w:szCs w:val="20"/>
                <w:shd w:fill="auto" w:val="clear"/>
                <w:lang w:val="ru-RU" w:bidi="ar-SA"/>
              </w:rPr>
            </w:r>
          </w:p>
        </w:tc>
      </w:tr>
      <w:tr>
        <w:trPr>
          <w:trHeight w:val="536" w:hRule="atLeast"/>
        </w:trPr>
        <w:tc>
          <w:tcPr>
            <w:tcW w:w="555" w:type="dxa"/>
            <w:vMerge w:val="continue"/>
            <w:tcBorders/>
            <w:vAlign w:val="center"/>
          </w:tcPr>
          <w:p>
            <w:pPr>
              <w:pStyle w:val="Normal"/>
              <w:widowControl/>
              <w:tabs>
                <w:tab w:val="clear" w:pos="709"/>
                <w:tab w:val="left" w:pos="0" w:leader="none"/>
              </w:tabs>
              <w:spacing w:lineRule="exact" w:line="240" w:before="0" w:after="0"/>
              <w:jc w:val="center"/>
              <w:rPr>
                <w:b/>
                <w:kern w:val="2"/>
                <w:sz w:val="20"/>
                <w:szCs w:val="20"/>
                <w:highlight w:val="none"/>
                <w:shd w:fill="auto" w:val="clear"/>
                <w:lang w:val="ru-RU" w:bidi="ar-SA"/>
              </w:rPr>
            </w:pPr>
            <w:r>
              <w:rPr>
                <w:b/>
                <w:kern w:val="2"/>
                <w:sz w:val="20"/>
                <w:szCs w:val="20"/>
                <w:shd w:fill="auto" w:val="clear"/>
                <w:lang w:val="ru-RU" w:bidi="ar-SA"/>
              </w:rPr>
            </w:r>
          </w:p>
        </w:tc>
        <w:tc>
          <w:tcPr>
            <w:tcW w:w="1996" w:type="dxa"/>
            <w:vMerge w:val="continue"/>
            <w:tcBorders/>
            <w:vAlign w:val="center"/>
          </w:tcPr>
          <w:p>
            <w:pPr>
              <w:pStyle w:val="Normal"/>
              <w:widowControl/>
              <w:tabs>
                <w:tab w:val="clear" w:pos="709"/>
                <w:tab w:val="left" w:pos="0" w:leader="none"/>
              </w:tabs>
              <w:spacing w:lineRule="exact" w:line="240" w:before="0" w:after="0"/>
              <w:jc w:val="center"/>
              <w:rPr>
                <w:b/>
                <w:kern w:val="0"/>
                <w:sz w:val="20"/>
                <w:szCs w:val="20"/>
                <w:highlight w:val="none"/>
                <w:shd w:fill="auto" w:val="clear"/>
                <w:lang w:val="ru-RU" w:bidi="ar-SA"/>
              </w:rPr>
            </w:pPr>
            <w:r>
              <w:rPr>
                <w:b/>
                <w:kern w:val="0"/>
                <w:sz w:val="20"/>
                <w:szCs w:val="20"/>
                <w:shd w:fill="auto" w:val="clear"/>
                <w:lang w:val="ru-RU" w:bidi="ar-SA"/>
              </w:rPr>
            </w:r>
          </w:p>
        </w:tc>
        <w:tc>
          <w:tcPr>
            <w:tcW w:w="850" w:type="dxa"/>
            <w:vMerge w:val="continue"/>
            <w:tcBorders/>
            <w:vAlign w:val="center"/>
          </w:tcPr>
          <w:p>
            <w:pPr>
              <w:pStyle w:val="Normal"/>
              <w:widowControl/>
              <w:tabs>
                <w:tab w:val="clear" w:pos="709"/>
                <w:tab w:val="left" w:pos="0" w:leader="none"/>
              </w:tabs>
              <w:spacing w:lineRule="exact" w:line="240" w:before="0" w:after="0"/>
              <w:jc w:val="center"/>
              <w:rPr>
                <w:b/>
                <w:kern w:val="2"/>
                <w:sz w:val="20"/>
                <w:szCs w:val="20"/>
                <w:highlight w:val="none"/>
                <w:shd w:fill="auto" w:val="clear"/>
                <w:lang w:val="ru-RU" w:bidi="ar-SA"/>
              </w:rPr>
            </w:pPr>
            <w:r>
              <w:rPr>
                <w:b/>
                <w:kern w:val="2"/>
                <w:sz w:val="20"/>
                <w:szCs w:val="20"/>
                <w:shd w:fill="auto" w:val="clear"/>
                <w:lang w:val="ru-RU" w:bidi="ar-SA"/>
              </w:rPr>
            </w:r>
          </w:p>
        </w:tc>
        <w:tc>
          <w:tcPr>
            <w:tcW w:w="1985" w:type="dxa"/>
            <w:vMerge w:val="continue"/>
            <w:tcBorders/>
            <w:tcMar>
              <w:start w:w="108" w:type="dxa"/>
              <w:end w:w="108" w:type="dxa"/>
            </w:tcMar>
            <w:vAlign w:val="center"/>
          </w:tcPr>
          <w:p>
            <w:pPr>
              <w:pStyle w:val="Normal"/>
              <w:widowControl/>
              <w:tabs>
                <w:tab w:val="clear" w:pos="709"/>
                <w:tab w:val="left" w:pos="0" w:leader="none"/>
              </w:tabs>
              <w:spacing w:lineRule="exact" w:line="240" w:before="0" w:after="0"/>
              <w:jc w:val="center"/>
              <w:rPr>
                <w:b/>
                <w:kern w:val="0"/>
                <w:sz w:val="20"/>
                <w:szCs w:val="20"/>
                <w:highlight w:val="none"/>
                <w:shd w:fill="auto" w:val="clear"/>
                <w:lang w:val="ru-RU" w:bidi="ar-SA"/>
              </w:rPr>
            </w:pPr>
            <w:r>
              <w:rPr>
                <w:b/>
                <w:kern w:val="0"/>
                <w:sz w:val="20"/>
                <w:szCs w:val="20"/>
                <w:shd w:fill="auto" w:val="clear"/>
                <w:lang w:val="ru-RU" w:bidi="ar-SA"/>
              </w:rPr>
            </w:r>
          </w:p>
        </w:tc>
        <w:tc>
          <w:tcPr>
            <w:tcW w:w="4364" w:type="dxa"/>
            <w:gridSpan w:val="2"/>
            <w:vMerge w:val="continue"/>
            <w:tcBorders/>
            <w:tcMar>
              <w:start w:w="108" w:type="dxa"/>
              <w:end w:w="108" w:type="dxa"/>
            </w:tcMar>
            <w:vAlign w:val="center"/>
          </w:tcPr>
          <w:p>
            <w:pPr>
              <w:pStyle w:val="Normal"/>
              <w:widowControl/>
              <w:tabs>
                <w:tab w:val="clear" w:pos="709"/>
                <w:tab w:val="left" w:pos="0" w:leader="none"/>
              </w:tabs>
              <w:spacing w:lineRule="exact" w:line="240" w:before="0" w:after="0"/>
              <w:jc w:val="center"/>
              <w:rPr>
                <w:kern w:val="0"/>
                <w:highlight w:val="none"/>
                <w:shd w:fill="auto" w:val="clear"/>
                <w:lang w:val="ru-RU" w:bidi="ar-SA"/>
              </w:rPr>
            </w:pPr>
            <w:r>
              <w:rPr/>
            </w:r>
          </w:p>
        </w:tc>
        <w:tc>
          <w:tcPr>
            <w:tcW w:w="105" w:type="dxa"/>
            <w:tcBorders/>
            <w:tcMar>
              <w:start w:w="108" w:type="dxa"/>
              <w:end w:w="108" w:type="dxa"/>
            </w:tcMar>
            <w:vAlign w:val="center"/>
          </w:tcPr>
          <w:p>
            <w:pPr>
              <w:pStyle w:val="Normal"/>
              <w:widowControl/>
              <w:tabs>
                <w:tab w:val="clear" w:pos="709"/>
                <w:tab w:val="left" w:pos="0" w:leader="none"/>
              </w:tabs>
              <w:spacing w:lineRule="exact" w:line="240" w:before="0" w:after="0"/>
              <w:jc w:val="center"/>
              <w:rPr>
                <w:kern w:val="0"/>
                <w:highlight w:val="none"/>
                <w:shd w:fill="auto" w:val="clear"/>
                <w:lang w:val="ru-RU" w:bidi="ar-SA"/>
              </w:rPr>
            </w:pPr>
            <w:r>
              <w:rPr/>
            </w:r>
          </w:p>
        </w:tc>
        <w:tc>
          <w:tcPr>
            <w:tcW w:w="120" w:type="dxa"/>
            <w:tcBorders/>
            <w:tcMar>
              <w:start w:w="108" w:type="dxa"/>
              <w:end w:w="108" w:type="dxa"/>
            </w:tcMar>
            <w:vAlign w:val="center"/>
          </w:tcPr>
          <w:p>
            <w:pPr>
              <w:pStyle w:val="Normal"/>
              <w:widowControl/>
              <w:tabs>
                <w:tab w:val="clear" w:pos="709"/>
                <w:tab w:val="left" w:pos="0" w:leader="none"/>
              </w:tabs>
              <w:spacing w:lineRule="exact" w:line="240" w:before="0" w:after="0"/>
              <w:jc w:val="center"/>
              <w:rPr>
                <w:kern w:val="0"/>
                <w:highlight w:val="none"/>
                <w:shd w:fill="auto" w:val="clear"/>
                <w:lang w:val="ru-RU" w:bidi="ar-SA"/>
              </w:rPr>
            </w:pPr>
            <w:r>
              <w:rPr>
                <w:kern w:val="0"/>
                <w:shd w:fill="auto" w:val="clear"/>
                <w:lang w:val="ru-RU" w:bidi="ar-SA"/>
              </w:rPr>
            </w:r>
          </w:p>
        </w:tc>
      </w:tr>
      <w:tr>
        <w:trPr>
          <w:trHeight w:val="239" w:hRule="atLeast"/>
        </w:trPr>
        <w:tc>
          <w:tcPr>
            <w:tcW w:w="555" w:type="dxa"/>
            <w:tcBorders/>
            <w:vAlign w:val="center"/>
          </w:tcPr>
          <w:p>
            <w:pPr>
              <w:pStyle w:val="Normal"/>
              <w:widowControl/>
              <w:tabs>
                <w:tab w:val="clear" w:pos="709"/>
                <w:tab w:val="left" w:pos="0" w:leader="none"/>
              </w:tabs>
              <w:spacing w:lineRule="exact" w:line="240" w:before="0" w:after="0"/>
              <w:jc w:val="center"/>
              <w:rPr>
                <w:kern w:val="0"/>
                <w:highlight w:val="none"/>
                <w:shd w:fill="auto" w:val="clear"/>
                <w:lang w:val="ru-RU" w:bidi="ar-SA"/>
              </w:rPr>
            </w:pPr>
            <w:r>
              <w:rPr>
                <w:b/>
                <w:kern w:val="0"/>
                <w:sz w:val="20"/>
                <w:szCs w:val="20"/>
                <w:shd w:fill="auto" w:val="clear"/>
                <w:lang w:val="ru-RU" w:bidi="ar-SA"/>
              </w:rPr>
              <w:t>1</w:t>
            </w:r>
          </w:p>
        </w:tc>
        <w:tc>
          <w:tcPr>
            <w:tcW w:w="1996" w:type="dxa"/>
            <w:tcBorders/>
            <w:vAlign w:val="center"/>
          </w:tcPr>
          <w:p>
            <w:pPr>
              <w:pStyle w:val="Normal"/>
              <w:widowControl/>
              <w:tabs>
                <w:tab w:val="clear" w:pos="709"/>
                <w:tab w:val="left" w:pos="0" w:leader="none"/>
              </w:tabs>
              <w:spacing w:lineRule="exact" w:line="240" w:before="0" w:after="0"/>
              <w:jc w:val="center"/>
              <w:rPr>
                <w:kern w:val="0"/>
                <w:highlight w:val="none"/>
                <w:shd w:fill="auto" w:val="clear"/>
                <w:lang w:val="ru-RU" w:bidi="ar-SA"/>
              </w:rPr>
            </w:pPr>
            <w:r>
              <w:rPr>
                <w:b/>
                <w:kern w:val="0"/>
                <w:sz w:val="20"/>
                <w:szCs w:val="20"/>
                <w:shd w:fill="auto" w:val="clear"/>
                <w:lang w:val="ru-RU" w:bidi="ar-SA"/>
              </w:rPr>
              <w:t>2</w:t>
            </w:r>
          </w:p>
        </w:tc>
        <w:tc>
          <w:tcPr>
            <w:tcW w:w="850" w:type="dxa"/>
            <w:tcBorders/>
            <w:vAlign w:val="center"/>
          </w:tcPr>
          <w:p>
            <w:pPr>
              <w:pStyle w:val="Normal"/>
              <w:widowControl/>
              <w:tabs>
                <w:tab w:val="clear" w:pos="709"/>
                <w:tab w:val="left" w:pos="0" w:leader="none"/>
              </w:tabs>
              <w:spacing w:lineRule="exact" w:line="240" w:before="0" w:after="0"/>
              <w:jc w:val="center"/>
              <w:rPr>
                <w:kern w:val="0"/>
                <w:highlight w:val="none"/>
                <w:shd w:fill="auto" w:val="clear"/>
                <w:lang w:val="ru-RU" w:bidi="ar-SA"/>
              </w:rPr>
            </w:pPr>
            <w:r>
              <w:rPr>
                <w:b/>
                <w:kern w:val="0"/>
                <w:sz w:val="20"/>
                <w:szCs w:val="20"/>
                <w:shd w:fill="auto" w:val="clear"/>
                <w:lang w:val="ru-RU" w:bidi="ar-SA"/>
              </w:rPr>
              <w:t>3</w:t>
            </w:r>
          </w:p>
        </w:tc>
        <w:tc>
          <w:tcPr>
            <w:tcW w:w="1985" w:type="dxa"/>
            <w:tcBorders/>
            <w:tcMar>
              <w:start w:w="108" w:type="dxa"/>
              <w:end w:w="108" w:type="dxa"/>
            </w:tcMar>
            <w:vAlign w:val="center"/>
          </w:tcPr>
          <w:p>
            <w:pPr>
              <w:pStyle w:val="Normal"/>
              <w:widowControl/>
              <w:tabs>
                <w:tab w:val="clear" w:pos="709"/>
                <w:tab w:val="left" w:pos="0" w:leader="none"/>
              </w:tabs>
              <w:spacing w:lineRule="exact" w:line="240" w:before="0" w:after="0"/>
              <w:jc w:val="center"/>
              <w:rPr>
                <w:kern w:val="0"/>
                <w:highlight w:val="none"/>
                <w:shd w:fill="auto" w:val="clear"/>
                <w:lang w:val="ru-RU" w:bidi="ar-SA"/>
              </w:rPr>
            </w:pPr>
            <w:r>
              <w:rPr>
                <w:b/>
                <w:kern w:val="0"/>
                <w:sz w:val="20"/>
                <w:szCs w:val="20"/>
                <w:shd w:fill="auto" w:val="clear"/>
                <w:lang w:val="ru-RU" w:bidi="ar-SA"/>
              </w:rPr>
              <w:t>4</w:t>
            </w:r>
          </w:p>
        </w:tc>
        <w:tc>
          <w:tcPr>
            <w:tcW w:w="1799" w:type="dxa"/>
            <w:tcBorders/>
            <w:vAlign w:val="center"/>
          </w:tcPr>
          <w:p>
            <w:pPr>
              <w:pStyle w:val="Normal"/>
              <w:widowControl/>
              <w:tabs>
                <w:tab w:val="clear" w:pos="709"/>
                <w:tab w:val="left" w:pos="0" w:leader="none"/>
              </w:tabs>
              <w:spacing w:lineRule="exact" w:line="240" w:before="0" w:after="0"/>
              <w:jc w:val="center"/>
              <w:rPr>
                <w:kern w:val="0"/>
                <w:highlight w:val="none"/>
                <w:shd w:fill="auto" w:val="clear"/>
                <w:lang w:val="ru-RU" w:bidi="ar-SA"/>
              </w:rPr>
            </w:pPr>
            <w:r>
              <w:rPr>
                <w:b/>
                <w:kern w:val="0"/>
                <w:sz w:val="20"/>
                <w:szCs w:val="20"/>
                <w:shd w:fill="auto" w:val="clear"/>
                <w:lang w:val="ru-RU" w:bidi="ar-SA"/>
              </w:rPr>
              <w:t>5</w:t>
            </w:r>
          </w:p>
        </w:tc>
        <w:tc>
          <w:tcPr>
            <w:tcW w:w="2565" w:type="dxa"/>
            <w:tcBorders/>
            <w:tcMar>
              <w:start w:w="108" w:type="dxa"/>
              <w:end w:w="108" w:type="dxa"/>
            </w:tcMar>
            <w:vAlign w:val="center"/>
          </w:tcPr>
          <w:p>
            <w:pPr>
              <w:pStyle w:val="Normal"/>
              <w:widowControl/>
              <w:tabs>
                <w:tab w:val="clear" w:pos="709"/>
                <w:tab w:val="left" w:pos="0" w:leader="none"/>
              </w:tabs>
              <w:spacing w:lineRule="exact" w:line="240" w:before="0" w:after="0"/>
              <w:jc w:val="center"/>
              <w:rPr>
                <w:kern w:val="0"/>
                <w:highlight w:val="none"/>
                <w:shd w:fill="auto" w:val="clear"/>
                <w:lang w:val="ru-RU" w:bidi="ar-SA"/>
              </w:rPr>
            </w:pPr>
            <w:r>
              <w:rPr>
                <w:b/>
                <w:kern w:val="0"/>
                <w:sz w:val="20"/>
                <w:szCs w:val="20"/>
                <w:shd w:fill="auto" w:val="clear"/>
                <w:lang w:val="ru-RU" w:bidi="ar-SA"/>
              </w:rPr>
              <w:t>6</w:t>
            </w:r>
          </w:p>
        </w:tc>
        <w:tc>
          <w:tcPr>
            <w:tcW w:w="105" w:type="dxa"/>
            <w:tcBorders/>
            <w:tcMar>
              <w:start w:w="108" w:type="dxa"/>
              <w:end w:w="108" w:type="dxa"/>
            </w:tcMar>
          </w:tcPr>
          <w:p>
            <w:pPr>
              <w:pStyle w:val="Normal"/>
              <w:widowControl/>
              <w:tabs>
                <w:tab w:val="clear" w:pos="709"/>
                <w:tab w:val="left" w:pos="0" w:leader="none"/>
              </w:tabs>
              <w:spacing w:lineRule="exact" w:line="240" w:before="0" w:after="0"/>
              <w:jc w:val="center"/>
              <w:rPr>
                <w:kern w:val="0"/>
                <w:highlight w:val="none"/>
                <w:shd w:fill="auto" w:val="clear"/>
                <w:lang w:val="ru-RU" w:bidi="ar-SA"/>
              </w:rPr>
            </w:pPr>
            <w:r>
              <w:rPr/>
            </w:r>
          </w:p>
        </w:tc>
        <w:tc>
          <w:tcPr>
            <w:tcW w:w="120" w:type="dxa"/>
            <w:tcBorders/>
            <w:tcMar>
              <w:start w:w="108" w:type="dxa"/>
              <w:end w:w="108" w:type="dxa"/>
            </w:tcMar>
          </w:tcPr>
          <w:p>
            <w:pPr>
              <w:pStyle w:val="Normal"/>
              <w:widowControl/>
              <w:tabs>
                <w:tab w:val="clear" w:pos="709"/>
                <w:tab w:val="left" w:pos="0" w:leader="none"/>
              </w:tabs>
              <w:spacing w:lineRule="exact" w:line="240" w:before="0" w:after="0"/>
              <w:jc w:val="center"/>
              <w:rPr>
                <w:b/>
                <w:kern w:val="0"/>
                <w:sz w:val="20"/>
                <w:szCs w:val="20"/>
                <w:highlight w:val="none"/>
                <w:shd w:fill="auto" w:val="clear"/>
                <w:lang w:val="ru-RU" w:bidi="ar-SA"/>
              </w:rPr>
            </w:pPr>
            <w:r>
              <w:rPr>
                <w:b/>
                <w:kern w:val="0"/>
                <w:sz w:val="20"/>
                <w:szCs w:val="20"/>
                <w:shd w:fill="auto" w:val="clear"/>
                <w:lang w:val="ru-RU" w:bidi="ar-SA"/>
              </w:rPr>
            </w:r>
          </w:p>
          <w:p>
            <w:pPr>
              <w:pStyle w:val="Normal"/>
              <w:widowControl/>
              <w:tabs>
                <w:tab w:val="clear" w:pos="709"/>
                <w:tab w:val="left" w:pos="0" w:leader="none"/>
              </w:tabs>
              <w:spacing w:lineRule="exact" w:line="240" w:before="0" w:after="0"/>
              <w:jc w:val="center"/>
              <w:rPr>
                <w:b/>
                <w:kern w:val="0"/>
                <w:sz w:val="20"/>
                <w:szCs w:val="20"/>
                <w:highlight w:val="none"/>
                <w:shd w:fill="auto" w:val="clear"/>
                <w:lang w:val="ru-RU" w:bidi="ar-SA"/>
              </w:rPr>
            </w:pPr>
            <w:r>
              <w:rPr>
                <w:b/>
                <w:kern w:val="0"/>
                <w:sz w:val="20"/>
                <w:szCs w:val="20"/>
                <w:shd w:fill="auto" w:val="clear"/>
                <w:lang w:val="ru-RU" w:bidi="ar-SA"/>
              </w:rPr>
            </w:r>
          </w:p>
        </w:tc>
      </w:tr>
      <w:tr>
        <w:trPr>
          <w:trHeight w:val="826" w:hRule="atLeast"/>
        </w:trPr>
        <w:tc>
          <w:tcPr>
            <w:tcW w:w="9975" w:type="dxa"/>
            <w:gridSpan w:val="8"/>
            <w:tcBorders/>
            <w:tcMar>
              <w:start w:w="108" w:type="dxa"/>
              <w:end w:w="108" w:type="dxa"/>
            </w:tcMar>
          </w:tcPr>
          <w:tbl>
            <w:tblPr>
              <w:tblStyle w:val="16"/>
              <w:tblW w:w="14884" w:type="dxa"/>
              <w:jc w:val="start"/>
              <w:tblInd w:w="457" w:type="dxa"/>
              <w:tblLayout w:type="fixed"/>
              <w:tblCellMar>
                <w:top w:w="0" w:type="dxa"/>
                <w:start w:w="108" w:type="dxa"/>
                <w:bottom w:w="0" w:type="dxa"/>
                <w:end w:w="108" w:type="dxa"/>
              </w:tblCellMar>
              <w:tblLook w:val="04a0" w:noHBand="0" w:noVBand="1" w:firstColumn="1" w:lastRow="0" w:lastColumn="0" w:firstRow="1"/>
            </w:tblPr>
            <w:tblGrid>
              <w:gridCol w:w="1985"/>
              <w:gridCol w:w="850"/>
              <w:gridCol w:w="1984"/>
              <w:gridCol w:w="1810"/>
              <w:gridCol w:w="2551"/>
              <w:gridCol w:w="1125"/>
              <w:gridCol w:w="15"/>
              <w:gridCol w:w="4564"/>
            </w:tblGrid>
            <w:tr>
              <w:trPr>
                <w:trHeight w:val="37" w:hRule="atLeast"/>
              </w:trPr>
              <w:tc>
                <w:tcPr>
                  <w:tcW w:w="1985"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Услуги по</w:t>
                  </w:r>
                  <w:r>
                    <w:rPr>
                      <w:kern w:val="0"/>
                      <w:sz w:val="20"/>
                      <w:szCs w:val="20"/>
                      <w:shd w:fill="auto" w:val="clear"/>
                      <w:lang w:val="ru-RU" w:bidi="ar-SA"/>
                    </w:rPr>
                    <w:t xml:space="preserve"> передаче неисключительных (пользовательских) прав на использование программного средства криптографической защиты информации для ОС Linux</w:t>
                  </w:r>
                  <w:r>
                    <w:rPr>
                      <w:rFonts w:eastAsia="Calibri"/>
                      <w:kern w:val="0"/>
                      <w:sz w:val="20"/>
                      <w:szCs w:val="20"/>
                      <w:shd w:fill="auto" w:val="clear"/>
                      <w:lang w:val="ru-RU" w:bidi="ar-SA"/>
                    </w:rPr>
                    <w:t xml:space="preserve"> </w:t>
                  </w:r>
                </w:p>
              </w:tc>
              <w:tc>
                <w:tcPr>
                  <w:tcW w:w="850"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3</w:t>
                  </w:r>
                </w:p>
              </w:tc>
              <w:tc>
                <w:tcPr>
                  <w:tcW w:w="1810" w:type="dxa"/>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2551" w:type="dxa"/>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140" w:type="dxa"/>
                  <w:gridSpan w:val="2"/>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4564" w:type="dxa"/>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1985"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0"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4"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8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Вид лицензии.</w:t>
                  </w:r>
                </w:p>
              </w:tc>
              <w:tc>
                <w:tcPr>
                  <w:tcW w:w="2551"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Простая (неисключительная)</w:t>
                  </w:r>
                </w:p>
              </w:tc>
              <w:tc>
                <w:tcPr>
                  <w:tcW w:w="1125"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579" w:type="dxa"/>
                  <w:gridSpan w:val="2"/>
                  <w:tcBorders/>
                </w:tcPr>
                <w:p>
                  <w:pPr>
                    <w:pStyle w:val="Normal"/>
                    <w:widowControl/>
                    <w:tabs>
                      <w:tab w:val="clear" w:pos="709"/>
                      <w:tab w:val="left" w:pos="14175" w:leader="none"/>
                    </w:tabs>
                    <w:spacing w:before="0" w:after="0"/>
                    <w:ind w:end="459"/>
                    <w:jc w:val="center"/>
                    <w:rPr>
                      <w:kern w:val="0"/>
                      <w:highlight w:val="none"/>
                      <w:shd w:fill="auto" w:val="clear"/>
                      <w:lang w:val="ru-RU" w:bidi="ar-SA"/>
                    </w:rPr>
                  </w:pPr>
                  <w:r>
                    <w:rPr>
                      <w:kern w:val="0"/>
                      <w:shd w:fill="auto" w:val="clear"/>
                      <w:lang w:val="ru-RU" w:bidi="ar-SA"/>
                    </w:rPr>
                  </w:r>
                </w:p>
              </w:tc>
            </w:tr>
            <w:tr>
              <w:trPr>
                <w:trHeight w:val="67" w:hRule="atLeast"/>
              </w:trPr>
              <w:tc>
                <w:tcPr>
                  <w:tcW w:w="1985"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0"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8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551"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Копия электронного экземпляра</w:t>
                  </w:r>
                </w:p>
              </w:tc>
              <w:tc>
                <w:tcPr>
                  <w:tcW w:w="1125"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579" w:type="dxa"/>
                  <w:gridSpan w:val="2"/>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1985"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0"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8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Класс программ для электронных вычислительных машин и баз данных.</w:t>
                  </w:r>
                </w:p>
              </w:tc>
              <w:tc>
                <w:tcPr>
                  <w:tcW w:w="2551"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(03.11) Средства защиты каналов передачи данных, в том числе криптографическими методами</w:t>
                  </w:r>
                </w:p>
              </w:tc>
              <w:tc>
                <w:tcPr>
                  <w:tcW w:w="1125"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579" w:type="dxa"/>
                  <w:gridSpan w:val="2"/>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1985"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0"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8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Криптоклиент для ОС Linux должен соответствовать:</w:t>
                  </w:r>
                </w:p>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 xml:space="preserve">• </w:t>
                  </w:r>
                  <w:r>
                    <w:rPr>
                      <w:kern w:val="0"/>
                      <w:sz w:val="20"/>
                      <w:szCs w:val="20"/>
                      <w:shd w:fill="auto" w:val="clear"/>
                      <w:lang w:val="ru-RU" w:bidi="ar-SA"/>
                    </w:rPr>
                    <w:t>требованиям к средствам криптографической защиты информации, не содержащей сведений, составляющих государственную тайну, класса КС1 (для исполнения 1), класса КС2 (для исполнения 2), класса КС3 (для исполнения 3) и может использоваться для криптографической защиты (шифрование и имитозащита данных, содержащихся в областях оперативной памяти, и в IP-пакетах, передаваемых по общим сетям передачи данных) информации, не содержащей сведений, составляющих государственную тайну;</w:t>
                  </w:r>
                </w:p>
              </w:tc>
              <w:tc>
                <w:tcPr>
                  <w:tcW w:w="2551"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соответствие</w:t>
                  </w:r>
                </w:p>
              </w:tc>
              <w:tc>
                <w:tcPr>
                  <w:tcW w:w="1125"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579" w:type="dxa"/>
                  <w:gridSpan w:val="2"/>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60"/>
              <w:gridCol w:w="1984"/>
              <w:gridCol w:w="852"/>
              <w:gridCol w:w="1983"/>
              <w:gridCol w:w="1987"/>
              <w:gridCol w:w="2409"/>
              <w:gridCol w:w="993"/>
              <w:gridCol w:w="4678"/>
            </w:tblGrid>
            <w:tr>
              <w:trPr>
                <w:trHeight w:val="37" w:hRule="atLeast"/>
              </w:trPr>
              <w:tc>
                <w:tcPr>
                  <w:tcW w:w="46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2</w:t>
                  </w:r>
                </w:p>
              </w:tc>
              <w:tc>
                <w:tcPr>
                  <w:tcW w:w="198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Услуги по</w:t>
                  </w:r>
                  <w:r>
                    <w:rPr>
                      <w:kern w:val="0"/>
                      <w:sz w:val="20"/>
                      <w:szCs w:val="20"/>
                      <w:shd w:fill="auto" w:val="clear"/>
                      <w:lang w:val="ru-RU" w:bidi="ar-SA"/>
                    </w:rPr>
                    <w:t xml:space="preserve"> передаче неисключительных (пользовательских) прав на использование программного комплекса PKI-клиент</w:t>
                  </w:r>
                  <w:r>
                    <w:rPr>
                      <w:rFonts w:eastAsia="Calibri"/>
                      <w:kern w:val="0"/>
                      <w:sz w:val="20"/>
                      <w:szCs w:val="20"/>
                      <w:shd w:fill="auto" w:val="clear"/>
                      <w:lang w:val="ru-RU" w:bidi="ar-SA"/>
                    </w:rPr>
                    <w:t xml:space="preserve"> </w:t>
                  </w:r>
                </w:p>
              </w:tc>
              <w:tc>
                <w:tcPr>
                  <w:tcW w:w="852"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3"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1</w:t>
                  </w:r>
                </w:p>
              </w:tc>
              <w:tc>
                <w:tcPr>
                  <w:tcW w:w="10067"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Вид лицензии</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Простая (неисключительная)</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Копия электронного экземпляра</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Класс программ для электронных вычислительных машин и баз данных.</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(03.10) Средства криптографической защиты информации и электронной подписи</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60"/>
              <w:gridCol w:w="1984"/>
              <w:gridCol w:w="852"/>
              <w:gridCol w:w="1983"/>
              <w:gridCol w:w="1987"/>
              <w:gridCol w:w="2409"/>
              <w:gridCol w:w="993"/>
              <w:gridCol w:w="4678"/>
            </w:tblGrid>
            <w:tr>
              <w:trPr>
                <w:trHeight w:val="37" w:hRule="atLeast"/>
              </w:trPr>
              <w:tc>
                <w:tcPr>
                  <w:tcW w:w="46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3</w:t>
                  </w:r>
                </w:p>
              </w:tc>
              <w:tc>
                <w:tcPr>
                  <w:tcW w:w="198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Услуги по</w:t>
                  </w:r>
                  <w:r>
                    <w:rPr>
                      <w:kern w:val="0"/>
                      <w:sz w:val="20"/>
                      <w:szCs w:val="20"/>
                      <w:shd w:fill="auto" w:val="clear"/>
                      <w:lang w:val="ru-RU" w:bidi="ar-SA"/>
                    </w:rPr>
                    <w:t xml:space="preserve"> передаче неисключительных (пользовательских) прав на использование программного модуля доверенной загрузки</w:t>
                  </w:r>
                  <w:r>
                    <w:rPr>
                      <w:rFonts w:eastAsia="Calibri"/>
                      <w:kern w:val="0"/>
                      <w:sz w:val="20"/>
                      <w:szCs w:val="20"/>
                      <w:shd w:fill="auto" w:val="clear"/>
                      <w:lang w:val="ru-RU" w:bidi="ar-SA"/>
                    </w:rPr>
                    <w:t xml:space="preserve"> </w:t>
                  </w:r>
                </w:p>
              </w:tc>
              <w:tc>
                <w:tcPr>
                  <w:tcW w:w="852"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3"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3</w:t>
                  </w:r>
                </w:p>
              </w:tc>
              <w:tc>
                <w:tcPr>
                  <w:tcW w:w="10067"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Вид лицензии.</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Простая (неисключительная)</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Копия электронного экземпляра</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Класс программ для электронных вычислительных машин и баз данных.</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(03.01) Средства защиты от несанкционированного доступа к информации</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200"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Назначение</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Для рабочей станции</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Срок действия лицензии</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На весь срок действия исключительного права</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60"/>
              <w:gridCol w:w="1984"/>
              <w:gridCol w:w="852"/>
              <w:gridCol w:w="1983"/>
              <w:gridCol w:w="1987"/>
              <w:gridCol w:w="2409"/>
              <w:gridCol w:w="993"/>
              <w:gridCol w:w="4678"/>
            </w:tblGrid>
            <w:tr>
              <w:trPr>
                <w:trHeight w:val="37" w:hRule="atLeast"/>
              </w:trPr>
              <w:tc>
                <w:tcPr>
                  <w:tcW w:w="46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4</w:t>
                  </w:r>
                </w:p>
              </w:tc>
              <w:tc>
                <w:tcPr>
                  <w:tcW w:w="198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Услуги по</w:t>
                  </w:r>
                  <w:r>
                    <w:rPr>
                      <w:kern w:val="0"/>
                      <w:sz w:val="20"/>
                      <w:szCs w:val="20"/>
                      <w:shd w:fill="auto" w:val="clear"/>
                      <w:lang w:val="ru-RU" w:bidi="ar-SA"/>
                    </w:rPr>
                    <w:t xml:space="preserve"> передаче неисключительных (пользовательских) прав на использование программного комплекса межсетевого экранирования и системы обнаружения вторжений</w:t>
                  </w:r>
                  <w:r>
                    <w:rPr>
                      <w:rFonts w:eastAsia="Calibri"/>
                      <w:kern w:val="0"/>
                      <w:sz w:val="20"/>
                      <w:szCs w:val="20"/>
                      <w:shd w:fill="auto" w:val="clear"/>
                      <w:lang w:val="ru-RU" w:bidi="ar-SA"/>
                    </w:rPr>
                    <w:t xml:space="preserve"> </w:t>
                  </w:r>
                </w:p>
              </w:tc>
              <w:tc>
                <w:tcPr>
                  <w:tcW w:w="852"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3"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2</w:t>
                  </w:r>
                </w:p>
              </w:tc>
              <w:tc>
                <w:tcPr>
                  <w:tcW w:w="10067"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Вид лицензии.</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Простая (неисключительная)</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Копия электронного экземпляра</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Класс программ для электронных вычислительных машин и баз данных.</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(03.03) Межсетевые экраны» (03.13) Средства обнаружения и/или предотвращения вторжений (атак)</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Класс программ для электронных вычислительных машин и баз данных.</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((03.13) Средства обнаружения и/или предотвращения вторжений (атак)</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Назначение</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Для рабочей станции</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Срок действия лицензии</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на весь срок действия исключительного права</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60"/>
              <w:gridCol w:w="1984"/>
              <w:gridCol w:w="852"/>
              <w:gridCol w:w="1983"/>
              <w:gridCol w:w="1987"/>
              <w:gridCol w:w="2409"/>
              <w:gridCol w:w="993"/>
              <w:gridCol w:w="4678"/>
            </w:tblGrid>
            <w:tr>
              <w:trPr>
                <w:trHeight w:val="37" w:hRule="atLeast"/>
              </w:trPr>
              <w:tc>
                <w:tcPr>
                  <w:tcW w:w="46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5</w:t>
                  </w:r>
                </w:p>
              </w:tc>
              <w:tc>
                <w:tcPr>
                  <w:tcW w:w="198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Услуги по</w:t>
                  </w:r>
                  <w:r>
                    <w:rPr>
                      <w:kern w:val="0"/>
                      <w:sz w:val="20"/>
                      <w:szCs w:val="20"/>
                      <w:shd w:fill="auto" w:val="clear"/>
                      <w:lang w:val="ru-RU" w:bidi="ar-SA"/>
                    </w:rPr>
                    <w:t xml:space="preserve"> передаче неисключительных (пользовательских) прав на использование программного комплекса управления VPN-сетью</w:t>
                  </w:r>
                  <w:r>
                    <w:rPr>
                      <w:rFonts w:eastAsia="Calibri"/>
                      <w:kern w:val="0"/>
                      <w:sz w:val="20"/>
                      <w:szCs w:val="20"/>
                      <w:shd w:fill="auto" w:val="clear"/>
                      <w:lang w:val="ru-RU" w:bidi="ar-SA"/>
                    </w:rPr>
                    <w:t xml:space="preserve"> </w:t>
                  </w:r>
                </w:p>
              </w:tc>
              <w:tc>
                <w:tcPr>
                  <w:tcW w:w="852"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3"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1</w:t>
                  </w:r>
                </w:p>
              </w:tc>
              <w:tc>
                <w:tcPr>
                  <w:tcW w:w="10067"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Копия электронного экземпляра</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Вид лицензии.</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Простая (неисключительная)</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ind w:firstLine="1" w:start="-392"/>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Класс программ для электронных вычислительных машин и баз данных.</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(03.10) Средства криптографической защиты информации и электронной подписи</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Назначение лицензии</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Для рабочей станции</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Срок действия лицензии</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На весь срок действия исключительного права</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60"/>
              <w:gridCol w:w="1984"/>
              <w:gridCol w:w="852"/>
              <w:gridCol w:w="1983"/>
              <w:gridCol w:w="1987"/>
              <w:gridCol w:w="2409"/>
              <w:gridCol w:w="993"/>
              <w:gridCol w:w="4678"/>
            </w:tblGrid>
            <w:tr>
              <w:trPr>
                <w:trHeight w:val="37" w:hRule="atLeast"/>
              </w:trPr>
              <w:tc>
                <w:tcPr>
                  <w:tcW w:w="46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6</w:t>
                  </w:r>
                </w:p>
              </w:tc>
              <w:tc>
                <w:tcPr>
                  <w:tcW w:w="198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Услуги по</w:t>
                  </w:r>
                  <w:r>
                    <w:rPr>
                      <w:kern w:val="0"/>
                      <w:sz w:val="20"/>
                      <w:szCs w:val="20"/>
                      <w:shd w:fill="auto" w:val="clear"/>
                      <w:lang w:val="ru-RU" w:bidi="ar-SA"/>
                    </w:rPr>
                    <w:t xml:space="preserve"> передаче лицензии на средство анализа защищенности на 4 IP адреса</w:t>
                  </w:r>
                  <w:r>
                    <w:rPr>
                      <w:rFonts w:eastAsia="Calibri"/>
                      <w:kern w:val="0"/>
                      <w:sz w:val="20"/>
                      <w:szCs w:val="20"/>
                      <w:shd w:fill="auto" w:val="clear"/>
                      <w:lang w:val="ru-RU" w:bidi="ar-SA"/>
                    </w:rPr>
                    <w:t xml:space="preserve"> </w:t>
                  </w:r>
                </w:p>
              </w:tc>
              <w:tc>
                <w:tcPr>
                  <w:tcW w:w="852"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3"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1</w:t>
                  </w:r>
                </w:p>
              </w:tc>
              <w:tc>
                <w:tcPr>
                  <w:tcW w:w="10067"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Вид лицензии.</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Простая (неисключительная)</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Копия электронного экземпляра</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Класс программ для электронных вычислительных машин и баз данных</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(03.17) Средства автоматизации процессов информационной безопасности</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Назначение лицензии</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Для рабочей станции</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Возможность настройки Live-USB Persistence для загрузочного накопителя с сохранением состояния</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соответствие</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60"/>
              <w:gridCol w:w="1984"/>
              <w:gridCol w:w="852"/>
              <w:gridCol w:w="1983"/>
              <w:gridCol w:w="1987"/>
              <w:gridCol w:w="2409"/>
              <w:gridCol w:w="993"/>
              <w:gridCol w:w="4678"/>
            </w:tblGrid>
            <w:tr>
              <w:trPr>
                <w:trHeight w:val="37" w:hRule="atLeast"/>
              </w:trPr>
              <w:tc>
                <w:tcPr>
                  <w:tcW w:w="46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7</w:t>
                  </w:r>
                </w:p>
              </w:tc>
              <w:tc>
                <w:tcPr>
                  <w:tcW w:w="198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Услуги по</w:t>
                  </w:r>
                  <w:r>
                    <w:rPr>
                      <w:kern w:val="0"/>
                      <w:sz w:val="20"/>
                      <w:szCs w:val="20"/>
                      <w:shd w:fill="auto" w:val="clear"/>
                      <w:lang w:val="ru-RU" w:bidi="ar-SA"/>
                    </w:rPr>
                    <w:t xml:space="preserve"> передаче неисключительных (пользовательских) прав на лицензию на операционную систему для рабочей станции для 64-х разрядной платформы на базе процессорной архитектуры х86-64, Вариант 1</w:t>
                  </w:r>
                  <w:r>
                    <w:rPr>
                      <w:rFonts w:eastAsia="Calibri"/>
                      <w:kern w:val="0"/>
                      <w:sz w:val="20"/>
                      <w:szCs w:val="20"/>
                      <w:shd w:fill="auto" w:val="clear"/>
                      <w:lang w:val="ru-RU" w:bidi="ar-SA"/>
                    </w:rPr>
                    <w:t xml:space="preserve"> </w:t>
                  </w:r>
                </w:p>
              </w:tc>
              <w:tc>
                <w:tcPr>
                  <w:tcW w:w="852"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3"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1</w:t>
                  </w:r>
                </w:p>
              </w:tc>
              <w:tc>
                <w:tcPr>
                  <w:tcW w:w="10067"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Вид лицензии</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Простая (неисключительная)</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Экземпляр на материальном носителе</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Класс программ для электронных вычислительных машин и баз данных</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(02.09) Операционные системы общего назначения</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Срок действия лицензии</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На весь срок действия исключительного права</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204"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19"/>
              <w:gridCol w:w="2124"/>
              <w:gridCol w:w="854"/>
              <w:gridCol w:w="1980"/>
              <w:gridCol w:w="1987"/>
              <w:gridCol w:w="2410"/>
              <w:gridCol w:w="994"/>
              <w:gridCol w:w="4536"/>
            </w:tblGrid>
            <w:tr>
              <w:trPr>
                <w:trHeight w:val="60" w:hRule="atLeast"/>
              </w:trPr>
              <w:tc>
                <w:tcPr>
                  <w:tcW w:w="319"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8</w:t>
                  </w:r>
                </w:p>
              </w:tc>
              <w:tc>
                <w:tcPr>
                  <w:tcW w:w="212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Услуги по</w:t>
                  </w:r>
                  <w:r>
                    <w:rPr>
                      <w:kern w:val="0"/>
                      <w:sz w:val="20"/>
                      <w:szCs w:val="20"/>
                      <w:shd w:fill="auto" w:val="clear"/>
                      <w:lang w:val="ru-RU" w:bidi="ar-SA"/>
                    </w:rPr>
                    <w:t xml:space="preserve"> передаче неисключительных (пользовательских) прав на лицензию на операционную систему для рабочей станции для 64-х разрядной платформы на базе процессорной архитектуры х86-64, Вариант 2</w:t>
                  </w:r>
                  <w:r>
                    <w:rPr>
                      <w:rFonts w:eastAsia="Calibri"/>
                      <w:kern w:val="0"/>
                      <w:sz w:val="20"/>
                      <w:szCs w:val="20"/>
                      <w:shd w:fill="auto" w:val="clear"/>
                      <w:lang w:val="ru-RU" w:bidi="ar-SA"/>
                    </w:rPr>
                    <w:t xml:space="preserve"> </w:t>
                  </w:r>
                </w:p>
              </w:tc>
              <w:tc>
                <w:tcPr>
                  <w:tcW w:w="85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0"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2</w:t>
                  </w:r>
                </w:p>
              </w:tc>
              <w:tc>
                <w:tcPr>
                  <w:tcW w:w="9927"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319"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0"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Вид лицензии.</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Простая (неисключительная)</w:t>
                  </w:r>
                </w:p>
              </w:tc>
              <w:tc>
                <w:tcPr>
                  <w:tcW w:w="994"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536"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19"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0"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Копия электронного экземпляра</w:t>
                  </w:r>
                </w:p>
              </w:tc>
              <w:tc>
                <w:tcPr>
                  <w:tcW w:w="994"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536"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19"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0"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Класс программ для электронных вычислительных машин и баз данных.</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(02.09) Операционные системы общего назначения</w:t>
                  </w:r>
                </w:p>
              </w:tc>
              <w:tc>
                <w:tcPr>
                  <w:tcW w:w="994"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536"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19"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0"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Срок действия лицензии</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На весь срок действия исключительного права</w:t>
                  </w:r>
                </w:p>
              </w:tc>
              <w:tc>
                <w:tcPr>
                  <w:tcW w:w="994"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536"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19"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0"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Назначение лицензии</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Для рабочей станции</w:t>
                  </w:r>
                </w:p>
              </w:tc>
              <w:tc>
                <w:tcPr>
                  <w:tcW w:w="994"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536"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2"/>
              <w:gridCol w:w="1986"/>
              <w:gridCol w:w="1984"/>
              <w:gridCol w:w="2409"/>
              <w:gridCol w:w="993"/>
              <w:gridCol w:w="4678"/>
            </w:tblGrid>
            <w:tr>
              <w:trPr>
                <w:trHeight w:val="37" w:hRule="atLeast"/>
              </w:trPr>
              <w:tc>
                <w:tcPr>
                  <w:tcW w:w="32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9</w:t>
                  </w:r>
                </w:p>
              </w:tc>
              <w:tc>
                <w:tcPr>
                  <w:tcW w:w="212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Услуги</w:t>
                  </w:r>
                  <w:r>
                    <w:rPr>
                      <w:rFonts w:eastAsia="Calibri"/>
                      <w:kern w:val="0"/>
                      <w:sz w:val="20"/>
                      <w:szCs w:val="20"/>
                      <w:shd w:fill="auto" w:val="clear"/>
                      <w:lang w:val="en-US" w:bidi="ar-SA"/>
                    </w:rPr>
                    <w:t xml:space="preserve"> </w:t>
                  </w:r>
                  <w:r>
                    <w:rPr>
                      <w:rFonts w:eastAsia="Calibri"/>
                      <w:kern w:val="0"/>
                      <w:sz w:val="20"/>
                      <w:szCs w:val="20"/>
                      <w:shd w:fill="auto" w:val="clear"/>
                      <w:lang w:val="ru-RU" w:bidi="ar-SA"/>
                    </w:rPr>
                    <w:t>по</w:t>
                  </w:r>
                  <w:r>
                    <w:rPr>
                      <w:kern w:val="0"/>
                      <w:sz w:val="20"/>
                      <w:szCs w:val="20"/>
                      <w:shd w:fill="auto" w:val="clear"/>
                      <w:lang w:val="ru-RU" w:bidi="ar-SA"/>
                    </w:rPr>
                    <w:t xml:space="preserve"> поставке Криптошлюза</w:t>
                  </w:r>
                  <w:r>
                    <w:rPr>
                      <w:rFonts w:eastAsia="Calibri"/>
                      <w:kern w:val="0"/>
                      <w:sz w:val="20"/>
                      <w:szCs w:val="20"/>
                      <w:shd w:fill="auto" w:val="clear"/>
                      <w:lang w:val="ru-RU" w:bidi="ar-SA"/>
                    </w:rPr>
                    <w:t xml:space="preserve"> </w:t>
                  </w:r>
                </w:p>
              </w:tc>
              <w:tc>
                <w:tcPr>
                  <w:tcW w:w="852"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6"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1</w:t>
                  </w:r>
                </w:p>
              </w:tc>
              <w:tc>
                <w:tcPr>
                  <w:tcW w:w="10064"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6"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Класс программ для электронных вычислительных машин и баз данных</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(03.11) Средства защиты каналов передачи данных, в том числе криптографическими методами</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6"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Форм-фактор: 19'' Rack 1U</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соответствие</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6"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Наличие сетевых интерфейсов Ethernet RJ45 1 Гбит/с</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 xml:space="preserve">≥ </w:t>
                  </w:r>
                  <w:r>
                    <w:rPr>
                      <w:kern w:val="0"/>
                      <w:sz w:val="20"/>
                      <w:szCs w:val="20"/>
                      <w:shd w:fill="auto" w:val="clear"/>
                      <w:lang w:val="en-US" w:bidi="ar-SA"/>
                    </w:rPr>
                    <w:t>6</w:t>
                  </w:r>
                </w:p>
              </w:tc>
              <w:tc>
                <w:tcPr>
                  <w:tcW w:w="993"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Штука</w:t>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6"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Пропускная способность L3 VPN – до 915 Мбит/с</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соответствие</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6"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Пропускная способность L2 VPN – до 850 Мбит/с</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соответствие</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6"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Пропускная способность межсетевого экранирования (1518 байт UDP)</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 xml:space="preserve">≥ </w:t>
                  </w:r>
                  <w:r>
                    <w:rPr>
                      <w:kern w:val="0"/>
                      <w:sz w:val="20"/>
                      <w:szCs w:val="20"/>
                      <w:shd w:fill="auto" w:val="clear"/>
                      <w:lang w:val="en-US" w:bidi="ar-SA"/>
                    </w:rPr>
                    <w:t>1900</w:t>
                  </w:r>
                </w:p>
              </w:tc>
              <w:tc>
                <w:tcPr>
                  <w:tcW w:w="993"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Мегабит в секунду</w:t>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204"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19"/>
              <w:gridCol w:w="2124"/>
              <w:gridCol w:w="854"/>
              <w:gridCol w:w="1983"/>
              <w:gridCol w:w="1984"/>
              <w:gridCol w:w="2410"/>
              <w:gridCol w:w="994"/>
              <w:gridCol w:w="4536"/>
            </w:tblGrid>
            <w:tr>
              <w:trPr>
                <w:trHeight w:val="37" w:hRule="atLeast"/>
              </w:trPr>
              <w:tc>
                <w:tcPr>
                  <w:tcW w:w="319"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10</w:t>
                  </w:r>
                </w:p>
              </w:tc>
              <w:tc>
                <w:tcPr>
                  <w:tcW w:w="212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Системный</w:t>
                  </w:r>
                  <w:r>
                    <w:rPr>
                      <w:rFonts w:eastAsia="Calibri"/>
                      <w:kern w:val="0"/>
                      <w:sz w:val="20"/>
                      <w:szCs w:val="20"/>
                      <w:shd w:fill="auto" w:val="clear"/>
                      <w:lang w:val="en-US" w:bidi="ar-SA"/>
                    </w:rPr>
                    <w:t xml:space="preserve"> </w:t>
                  </w:r>
                  <w:r>
                    <w:rPr>
                      <w:rFonts w:eastAsia="Calibri"/>
                      <w:kern w:val="0"/>
                      <w:sz w:val="20"/>
                      <w:szCs w:val="20"/>
                      <w:shd w:fill="auto" w:val="clear"/>
                      <w:lang w:val="ru-RU" w:bidi="ar-SA"/>
                    </w:rPr>
                    <w:t xml:space="preserve">блок </w:t>
                  </w:r>
                </w:p>
              </w:tc>
              <w:tc>
                <w:tcPr>
                  <w:tcW w:w="85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3"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1</w:t>
                  </w:r>
                </w:p>
              </w:tc>
              <w:tc>
                <w:tcPr>
                  <w:tcW w:w="9924"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319"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Количество слотов оперативной памяти</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 xml:space="preserve">≥ </w:t>
                  </w:r>
                  <w:r>
                    <w:rPr>
                      <w:kern w:val="0"/>
                      <w:sz w:val="20"/>
                      <w:szCs w:val="20"/>
                      <w:shd w:fill="auto" w:val="clear"/>
                      <w:lang w:val="en-US" w:bidi="ar-SA"/>
                    </w:rPr>
                    <w:t>2</w:t>
                  </w:r>
                </w:p>
              </w:tc>
              <w:tc>
                <w:tcPr>
                  <w:tcW w:w="99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Штука</w:t>
                  </w:r>
                </w:p>
              </w:tc>
              <w:tc>
                <w:tcPr>
                  <w:tcW w:w="4536"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19"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Количество ядер процессора</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 xml:space="preserve">≥ </w:t>
                  </w:r>
                  <w:r>
                    <w:rPr>
                      <w:kern w:val="0"/>
                      <w:sz w:val="20"/>
                      <w:szCs w:val="20"/>
                      <w:shd w:fill="auto" w:val="clear"/>
                      <w:lang w:val="en-US" w:bidi="ar-SA"/>
                    </w:rPr>
                    <w:t>8</w:t>
                  </w:r>
                </w:p>
              </w:tc>
              <w:tc>
                <w:tcPr>
                  <w:tcW w:w="99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Штука</w:t>
                  </w:r>
                </w:p>
              </w:tc>
              <w:tc>
                <w:tcPr>
                  <w:tcW w:w="4536"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19"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Наличие графического контроллера интегрированного в процессор</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Да</w:t>
                  </w:r>
                </w:p>
              </w:tc>
              <w:tc>
                <w:tcPr>
                  <w:tcW w:w="994"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536"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19"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Объем установленной оперативной памяти</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 xml:space="preserve">≥ </w:t>
                  </w:r>
                  <w:r>
                    <w:rPr>
                      <w:kern w:val="0"/>
                      <w:sz w:val="20"/>
                      <w:szCs w:val="20"/>
                      <w:shd w:fill="auto" w:val="clear"/>
                      <w:lang w:val="en-US" w:bidi="ar-SA"/>
                    </w:rPr>
                    <w:t>32</w:t>
                  </w:r>
                </w:p>
              </w:tc>
              <w:tc>
                <w:tcPr>
                  <w:tcW w:w="99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Гигабайт</w:t>
                  </w:r>
                </w:p>
              </w:tc>
              <w:tc>
                <w:tcPr>
                  <w:tcW w:w="4536"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19"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Сетевой интерфейс 8P8C (RJ-45)</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 xml:space="preserve">≥ </w:t>
                  </w:r>
                  <w:r>
                    <w:rPr>
                      <w:kern w:val="0"/>
                      <w:sz w:val="20"/>
                      <w:szCs w:val="20"/>
                      <w:shd w:fill="auto" w:val="clear"/>
                      <w:lang w:val="en-US" w:bidi="ar-SA"/>
                    </w:rPr>
                    <w:t>1</w:t>
                  </w:r>
                </w:p>
              </w:tc>
              <w:tc>
                <w:tcPr>
                  <w:tcW w:w="99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Штука</w:t>
                  </w:r>
                </w:p>
              </w:tc>
              <w:tc>
                <w:tcPr>
                  <w:tcW w:w="4536"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19"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Скорость передачи данных проводного сетевого контроллера</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 xml:space="preserve">≥ </w:t>
                  </w:r>
                  <w:r>
                    <w:rPr>
                      <w:kern w:val="0"/>
                      <w:sz w:val="20"/>
                      <w:szCs w:val="20"/>
                      <w:shd w:fill="auto" w:val="clear"/>
                      <w:lang w:val="en-US" w:bidi="ar-SA"/>
                    </w:rPr>
                    <w:t>1000</w:t>
                  </w:r>
                </w:p>
              </w:tc>
              <w:tc>
                <w:tcPr>
                  <w:tcW w:w="99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Мегабит в секунду</w:t>
                  </w:r>
                </w:p>
              </w:tc>
              <w:tc>
                <w:tcPr>
                  <w:tcW w:w="4536"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19"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Тип накопителя</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SSD</w:t>
                  </w:r>
                </w:p>
              </w:tc>
              <w:tc>
                <w:tcPr>
                  <w:tcW w:w="994"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536"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19"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Частота процессора базовая</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 xml:space="preserve">≥ </w:t>
                  </w:r>
                  <w:r>
                    <w:rPr>
                      <w:kern w:val="0"/>
                      <w:sz w:val="20"/>
                      <w:szCs w:val="20"/>
                      <w:shd w:fill="auto" w:val="clear"/>
                      <w:lang w:val="en-US" w:bidi="ar-SA"/>
                    </w:rPr>
                    <w:t>3</w:t>
                  </w:r>
                </w:p>
              </w:tc>
              <w:tc>
                <w:tcPr>
                  <w:tcW w:w="99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Гигагерц</w:t>
                  </w:r>
                </w:p>
              </w:tc>
              <w:tc>
                <w:tcPr>
                  <w:tcW w:w="4536"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19"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Общий объем накопителей SSD форм-фактора 2,5''</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 xml:space="preserve">≥ </w:t>
                  </w:r>
                  <w:r>
                    <w:rPr>
                      <w:kern w:val="0"/>
                      <w:sz w:val="20"/>
                      <w:szCs w:val="20"/>
                      <w:shd w:fill="auto" w:val="clear"/>
                      <w:lang w:val="en-US" w:bidi="ar-SA"/>
                    </w:rPr>
                    <w:t>1800</w:t>
                  </w:r>
                </w:p>
              </w:tc>
              <w:tc>
                <w:tcPr>
                  <w:tcW w:w="99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Гигабайт</w:t>
                  </w:r>
                </w:p>
              </w:tc>
              <w:tc>
                <w:tcPr>
                  <w:tcW w:w="4536"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19"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Количество накопителей типа SSD форм-фактора 2,5''</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 xml:space="preserve">≥ </w:t>
                  </w:r>
                  <w:r>
                    <w:rPr>
                      <w:kern w:val="0"/>
                      <w:sz w:val="20"/>
                      <w:szCs w:val="20"/>
                      <w:shd w:fill="auto" w:val="clear"/>
                      <w:lang w:val="en-US" w:bidi="ar-SA"/>
                    </w:rPr>
                    <w:t>2</w:t>
                  </w:r>
                </w:p>
              </w:tc>
              <w:tc>
                <w:tcPr>
                  <w:tcW w:w="99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Штука</w:t>
                  </w:r>
                </w:p>
              </w:tc>
              <w:tc>
                <w:tcPr>
                  <w:tcW w:w="4536"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2"/>
              <w:gridCol w:w="1986"/>
              <w:gridCol w:w="1984"/>
              <w:gridCol w:w="2409"/>
              <w:gridCol w:w="993"/>
              <w:gridCol w:w="4678"/>
            </w:tblGrid>
            <w:tr>
              <w:trPr>
                <w:trHeight w:val="37" w:hRule="atLeast"/>
              </w:trPr>
              <w:tc>
                <w:tcPr>
                  <w:tcW w:w="32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11</w:t>
                  </w:r>
                </w:p>
              </w:tc>
              <w:tc>
                <w:tcPr>
                  <w:tcW w:w="212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Поставка программно-аппаратного</w:t>
                  </w:r>
                  <w:r>
                    <w:rPr>
                      <w:kern w:val="0"/>
                      <w:sz w:val="20"/>
                      <w:szCs w:val="20"/>
                      <w:shd w:fill="auto" w:val="clear"/>
                      <w:lang w:val="ru-RU" w:bidi="ar-SA"/>
                    </w:rPr>
                    <w:t xml:space="preserve"> комплекса, реализующего функцию средства доверенной загрузки (СДЗ) (сертификаты ФСБ+ФСТЭК России)</w:t>
                  </w:r>
                  <w:r>
                    <w:rPr>
                      <w:rFonts w:eastAsia="Calibri"/>
                      <w:kern w:val="0"/>
                      <w:sz w:val="20"/>
                      <w:szCs w:val="20"/>
                      <w:shd w:fill="auto" w:val="clear"/>
                      <w:lang w:val="ru-RU" w:bidi="ar-SA"/>
                    </w:rPr>
                    <w:t xml:space="preserve"> </w:t>
                  </w:r>
                </w:p>
              </w:tc>
              <w:tc>
                <w:tcPr>
                  <w:tcW w:w="852"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6"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1</w:t>
                  </w:r>
                </w:p>
              </w:tc>
              <w:tc>
                <w:tcPr>
                  <w:tcW w:w="10064"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6"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Класс программ для электронных вычислительных машин и баз данных</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(03.01) Средства защиты от несанкционированного доступа к информации</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w:t>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2"/>
              <w:gridCol w:w="1986"/>
              <w:gridCol w:w="1984"/>
              <w:gridCol w:w="2409"/>
              <w:gridCol w:w="852"/>
              <w:gridCol w:w="4819"/>
            </w:tblGrid>
            <w:tr>
              <w:trPr>
                <w:trHeight w:val="37" w:hRule="atLeast"/>
              </w:trPr>
              <w:tc>
                <w:tcPr>
                  <w:tcW w:w="32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12</w:t>
                  </w:r>
                </w:p>
              </w:tc>
              <w:tc>
                <w:tcPr>
                  <w:tcW w:w="212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Поставка</w:t>
                  </w:r>
                  <w:r>
                    <w:rPr>
                      <w:rFonts w:eastAsia="Calibri"/>
                      <w:kern w:val="0"/>
                      <w:sz w:val="20"/>
                      <w:szCs w:val="20"/>
                      <w:shd w:fill="auto" w:val="clear"/>
                      <w:lang w:val="en-US" w:bidi="ar-SA"/>
                    </w:rPr>
                    <w:t xml:space="preserve"> </w:t>
                  </w:r>
                  <w:r>
                    <w:rPr>
                      <w:rFonts w:eastAsia="Calibri"/>
                      <w:kern w:val="0"/>
                      <w:sz w:val="20"/>
                      <w:szCs w:val="20"/>
                      <w:shd w:fill="auto" w:val="clear"/>
                      <w:lang w:val="ru-RU" w:bidi="ar-SA"/>
                    </w:rPr>
                    <w:t>электронных</w:t>
                  </w:r>
                  <w:r>
                    <w:rPr>
                      <w:kern w:val="0"/>
                      <w:sz w:val="20"/>
                      <w:szCs w:val="20"/>
                      <w:shd w:fill="auto" w:val="clear"/>
                      <w:lang w:val="ru-RU" w:bidi="ar-SA"/>
                    </w:rPr>
                    <w:t xml:space="preserve"> идентификаторов</w:t>
                  </w:r>
                  <w:r>
                    <w:rPr>
                      <w:rFonts w:eastAsia="Calibri"/>
                      <w:kern w:val="0"/>
                      <w:sz w:val="20"/>
                      <w:szCs w:val="20"/>
                      <w:shd w:fill="auto" w:val="clear"/>
                      <w:lang w:val="ru-RU" w:bidi="ar-SA"/>
                    </w:rPr>
                    <w:t xml:space="preserve"> </w:t>
                  </w:r>
                </w:p>
              </w:tc>
              <w:tc>
                <w:tcPr>
                  <w:tcW w:w="852"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6"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7</w:t>
                  </w:r>
                </w:p>
              </w:tc>
              <w:tc>
                <w:tcPr>
                  <w:tcW w:w="10064"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6"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Класс программ для электронных вычислительных машин и баз данных</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(03.01) Средства защиты от несанкционированного доступа к информации</w:t>
                  </w:r>
                </w:p>
              </w:tc>
              <w:tc>
                <w:tcPr>
                  <w:tcW w:w="852"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81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6"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Объем EEPROM память</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 xml:space="preserve">≥ </w:t>
                  </w:r>
                  <w:r>
                    <w:rPr>
                      <w:kern w:val="0"/>
                      <w:sz w:val="20"/>
                      <w:szCs w:val="20"/>
                      <w:shd w:fill="auto" w:val="clear"/>
                      <w:lang w:val="en-US" w:bidi="ar-SA"/>
                    </w:rPr>
                    <w:t>128</w:t>
                  </w:r>
                </w:p>
              </w:tc>
              <w:tc>
                <w:tcPr>
                  <w:tcW w:w="852"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Килобайт</w:t>
                  </w:r>
                </w:p>
              </w:tc>
              <w:tc>
                <w:tcPr>
                  <w:tcW w:w="481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6"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Объем доступной пользователю EEPROM память</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 xml:space="preserve">≥ </w:t>
                  </w:r>
                  <w:r>
                    <w:rPr>
                      <w:kern w:val="0"/>
                      <w:sz w:val="20"/>
                      <w:szCs w:val="20"/>
                      <w:shd w:fill="auto" w:val="clear"/>
                      <w:lang w:val="en-US" w:bidi="ar-SA"/>
                    </w:rPr>
                    <w:t>100</w:t>
                  </w:r>
                </w:p>
              </w:tc>
              <w:tc>
                <w:tcPr>
                  <w:tcW w:w="852"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Килобайт</w:t>
                  </w:r>
                </w:p>
              </w:tc>
              <w:tc>
                <w:tcPr>
                  <w:tcW w:w="481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2"/>
              <w:gridCol w:w="1986"/>
              <w:gridCol w:w="1984"/>
              <w:gridCol w:w="2409"/>
              <w:gridCol w:w="852"/>
              <w:gridCol w:w="4819"/>
            </w:tblGrid>
            <w:tr>
              <w:trPr>
                <w:trHeight w:val="37" w:hRule="atLeast"/>
              </w:trPr>
              <w:tc>
                <w:tcPr>
                  <w:tcW w:w="32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13</w:t>
                  </w:r>
                </w:p>
              </w:tc>
              <w:tc>
                <w:tcPr>
                  <w:tcW w:w="212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Поставка комплекта</w:t>
                  </w:r>
                  <w:r>
                    <w:rPr>
                      <w:kern w:val="0"/>
                      <w:sz w:val="20"/>
                      <w:szCs w:val="20"/>
                      <w:shd w:fill="auto" w:val="clear"/>
                      <w:lang w:val="ru-RU" w:bidi="ar-SA"/>
                    </w:rPr>
                    <w:t xml:space="preserve"> документации ФСТЭК для поставки электронных идентификаторов</w:t>
                  </w:r>
                  <w:r>
                    <w:rPr>
                      <w:rFonts w:eastAsia="Calibri"/>
                      <w:kern w:val="0"/>
                      <w:sz w:val="20"/>
                      <w:szCs w:val="20"/>
                      <w:shd w:fill="auto" w:val="clear"/>
                      <w:lang w:val="ru-RU" w:bidi="ar-SA"/>
                    </w:rPr>
                    <w:t xml:space="preserve"> </w:t>
                  </w:r>
                </w:p>
              </w:tc>
              <w:tc>
                <w:tcPr>
                  <w:tcW w:w="852"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6"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1</w:t>
                  </w:r>
                </w:p>
              </w:tc>
              <w:tc>
                <w:tcPr>
                  <w:tcW w:w="10064"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1812"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6"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Экземпляр на материальном носителе</w:t>
                  </w:r>
                </w:p>
              </w:tc>
              <w:tc>
                <w:tcPr>
                  <w:tcW w:w="852"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81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2"/>
              <w:gridCol w:w="1986"/>
              <w:gridCol w:w="1984"/>
              <w:gridCol w:w="2409"/>
              <w:gridCol w:w="852"/>
              <w:gridCol w:w="4819"/>
            </w:tblGrid>
            <w:tr>
              <w:trPr>
                <w:trHeight w:val="37" w:hRule="atLeast"/>
              </w:trPr>
              <w:tc>
                <w:tcPr>
                  <w:tcW w:w="32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14</w:t>
                  </w:r>
                </w:p>
              </w:tc>
              <w:tc>
                <w:tcPr>
                  <w:tcW w:w="212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Поставка сертификата</w:t>
                  </w:r>
                  <w:r>
                    <w:rPr>
                      <w:kern w:val="0"/>
                      <w:sz w:val="20"/>
                      <w:szCs w:val="20"/>
                      <w:shd w:fill="auto" w:val="clear"/>
                      <w:lang w:val="ru-RU" w:bidi="ar-SA"/>
                    </w:rPr>
                    <w:t xml:space="preserve"> сервиса совместной технической поддержки для программного модуля доверенной загрузки</w:t>
                  </w:r>
                  <w:r>
                    <w:rPr>
                      <w:rFonts w:eastAsia="Calibri"/>
                      <w:kern w:val="0"/>
                      <w:sz w:val="20"/>
                      <w:szCs w:val="20"/>
                      <w:shd w:fill="auto" w:val="clear"/>
                      <w:lang w:val="ru-RU" w:bidi="ar-SA"/>
                    </w:rPr>
                    <w:t xml:space="preserve"> </w:t>
                  </w:r>
                </w:p>
              </w:tc>
              <w:tc>
                <w:tcPr>
                  <w:tcW w:w="852"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6"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3</w:t>
                  </w:r>
                </w:p>
              </w:tc>
              <w:tc>
                <w:tcPr>
                  <w:tcW w:w="10064"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6"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Экземпляр на материальном носителе</w:t>
                  </w:r>
                </w:p>
              </w:tc>
              <w:tc>
                <w:tcPr>
                  <w:tcW w:w="852"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81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2"/>
              <w:gridCol w:w="1986"/>
              <w:gridCol w:w="1984"/>
              <w:gridCol w:w="2409"/>
              <w:gridCol w:w="852"/>
              <w:gridCol w:w="4819"/>
            </w:tblGrid>
            <w:tr>
              <w:trPr>
                <w:trHeight w:val="37" w:hRule="atLeast"/>
              </w:trPr>
              <w:tc>
                <w:tcPr>
                  <w:tcW w:w="32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15</w:t>
                  </w:r>
                </w:p>
              </w:tc>
              <w:tc>
                <w:tcPr>
                  <w:tcW w:w="212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Поставка сертификата</w:t>
                  </w:r>
                  <w:r>
                    <w:rPr>
                      <w:kern w:val="0"/>
                      <w:sz w:val="20"/>
                      <w:szCs w:val="20"/>
                      <w:shd w:fill="auto" w:val="clear"/>
                      <w:lang w:val="ru-RU" w:bidi="ar-SA"/>
                    </w:rPr>
                    <w:t xml:space="preserve"> сервиса совместной технической поддержки для программного комплекса межсетевого экранирования и системы обнаружения вторжений</w:t>
                  </w:r>
                  <w:r>
                    <w:rPr>
                      <w:rFonts w:eastAsia="Calibri"/>
                      <w:kern w:val="0"/>
                      <w:sz w:val="20"/>
                      <w:szCs w:val="20"/>
                      <w:shd w:fill="auto" w:val="clear"/>
                      <w:lang w:val="ru-RU" w:bidi="ar-SA"/>
                    </w:rPr>
                    <w:t xml:space="preserve"> </w:t>
                  </w:r>
                </w:p>
              </w:tc>
              <w:tc>
                <w:tcPr>
                  <w:tcW w:w="852"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6"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2</w:t>
                  </w:r>
                </w:p>
              </w:tc>
              <w:tc>
                <w:tcPr>
                  <w:tcW w:w="10064"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6"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Экземпляр на материальном носителе</w:t>
                  </w:r>
                </w:p>
              </w:tc>
              <w:tc>
                <w:tcPr>
                  <w:tcW w:w="852"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81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204"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19"/>
              <w:gridCol w:w="2124"/>
              <w:gridCol w:w="854"/>
              <w:gridCol w:w="1983"/>
              <w:gridCol w:w="1984"/>
              <w:gridCol w:w="2410"/>
              <w:gridCol w:w="853"/>
              <w:gridCol w:w="4677"/>
            </w:tblGrid>
            <w:tr>
              <w:trPr>
                <w:trHeight w:val="37" w:hRule="atLeast"/>
              </w:trPr>
              <w:tc>
                <w:tcPr>
                  <w:tcW w:w="319"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16</w:t>
                  </w:r>
                </w:p>
              </w:tc>
              <w:tc>
                <w:tcPr>
                  <w:tcW w:w="212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Поставка установочного</w:t>
                  </w:r>
                  <w:r>
                    <w:rPr>
                      <w:kern w:val="0"/>
                      <w:sz w:val="20"/>
                      <w:szCs w:val="20"/>
                      <w:shd w:fill="auto" w:val="clear"/>
                      <w:lang w:val="ru-RU" w:bidi="ar-SA"/>
                    </w:rPr>
                    <w:t xml:space="preserve"> комплекта с дистрибутивом последней сертифицированной версии программного средства криптографической защиты информации для ОС Linux с сертификационными документами</w:t>
                  </w:r>
                  <w:r>
                    <w:rPr>
                      <w:rFonts w:eastAsia="Calibri"/>
                      <w:kern w:val="0"/>
                      <w:sz w:val="20"/>
                      <w:szCs w:val="20"/>
                      <w:shd w:fill="auto" w:val="clear"/>
                      <w:lang w:val="ru-RU" w:bidi="ar-SA"/>
                    </w:rPr>
                    <w:t xml:space="preserve"> </w:t>
                  </w:r>
                </w:p>
              </w:tc>
              <w:tc>
                <w:tcPr>
                  <w:tcW w:w="85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3"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1,00000000000</w:t>
                  </w:r>
                </w:p>
              </w:tc>
              <w:tc>
                <w:tcPr>
                  <w:tcW w:w="9924"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1108" w:hRule="atLeast"/>
              </w:trPr>
              <w:tc>
                <w:tcPr>
                  <w:tcW w:w="319"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Экземпляр на материальном носителе</w:t>
                  </w:r>
                </w:p>
              </w:tc>
              <w:tc>
                <w:tcPr>
                  <w:tcW w:w="85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488"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3"/>
              <w:gridCol w:w="1984"/>
              <w:gridCol w:w="1984"/>
              <w:gridCol w:w="2410"/>
              <w:gridCol w:w="852"/>
              <w:gridCol w:w="4961"/>
            </w:tblGrid>
            <w:tr>
              <w:trPr>
                <w:trHeight w:val="37" w:hRule="atLeast"/>
              </w:trPr>
              <w:tc>
                <w:tcPr>
                  <w:tcW w:w="32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17</w:t>
                  </w:r>
                </w:p>
              </w:tc>
              <w:tc>
                <w:tcPr>
                  <w:tcW w:w="212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Поставка установочного</w:t>
                  </w:r>
                  <w:r>
                    <w:rPr>
                      <w:kern w:val="0"/>
                      <w:sz w:val="20"/>
                      <w:szCs w:val="20"/>
                      <w:shd w:fill="auto" w:val="clear"/>
                      <w:lang w:val="ru-RU" w:bidi="ar-SA"/>
                    </w:rPr>
                    <w:t xml:space="preserve"> комплекта с дистрибутивом последней сертифицированной версии программного комплекса PKI-клиент</w:t>
                  </w:r>
                  <w:r>
                    <w:rPr>
                      <w:rFonts w:eastAsia="Calibri"/>
                      <w:kern w:val="0"/>
                      <w:sz w:val="20"/>
                      <w:szCs w:val="20"/>
                      <w:shd w:fill="auto" w:val="clear"/>
                      <w:lang w:val="ru-RU" w:bidi="ar-SA"/>
                    </w:rPr>
                    <w:t xml:space="preserve"> </w:t>
                  </w:r>
                </w:p>
              </w:tc>
              <w:tc>
                <w:tcPr>
                  <w:tcW w:w="853"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1</w:t>
                  </w:r>
                </w:p>
              </w:tc>
              <w:tc>
                <w:tcPr>
                  <w:tcW w:w="10207"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3"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4"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Экземпляр на материальном носителе</w:t>
                  </w:r>
                </w:p>
              </w:tc>
              <w:tc>
                <w:tcPr>
                  <w:tcW w:w="852"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961"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2"/>
              <w:gridCol w:w="1986"/>
              <w:gridCol w:w="1984"/>
              <w:gridCol w:w="2409"/>
              <w:gridCol w:w="852"/>
              <w:gridCol w:w="4819"/>
            </w:tblGrid>
            <w:tr>
              <w:trPr>
                <w:trHeight w:val="131" w:hRule="atLeast"/>
              </w:trPr>
              <w:tc>
                <w:tcPr>
                  <w:tcW w:w="32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18</w:t>
                  </w:r>
                </w:p>
              </w:tc>
              <w:tc>
                <w:tcPr>
                  <w:tcW w:w="212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Поставка установочного</w:t>
                  </w:r>
                  <w:r>
                    <w:rPr>
                      <w:kern w:val="0"/>
                      <w:sz w:val="20"/>
                      <w:szCs w:val="20"/>
                      <w:shd w:fill="auto" w:val="clear"/>
                      <w:lang w:val="ru-RU" w:bidi="ar-SA"/>
                    </w:rPr>
                    <w:t xml:space="preserve"> комплекта с дистрибутивом последней сертифицированной версии программного модуля доверенной загрузки с сертификационными документами</w:t>
                  </w:r>
                  <w:r>
                    <w:rPr>
                      <w:rFonts w:eastAsia="Calibri"/>
                      <w:kern w:val="0"/>
                      <w:sz w:val="20"/>
                      <w:szCs w:val="20"/>
                      <w:shd w:fill="auto" w:val="clear"/>
                      <w:lang w:val="ru-RU" w:bidi="ar-SA"/>
                    </w:rPr>
                    <w:t xml:space="preserve"> </w:t>
                  </w:r>
                </w:p>
              </w:tc>
              <w:tc>
                <w:tcPr>
                  <w:tcW w:w="852"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6"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1</w:t>
                  </w:r>
                </w:p>
              </w:tc>
              <w:tc>
                <w:tcPr>
                  <w:tcW w:w="10064"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6"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Экземпляр на материальном носителе</w:t>
                  </w:r>
                </w:p>
              </w:tc>
              <w:tc>
                <w:tcPr>
                  <w:tcW w:w="852"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81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488"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3"/>
              <w:gridCol w:w="1984"/>
              <w:gridCol w:w="1984"/>
              <w:gridCol w:w="2410"/>
              <w:gridCol w:w="852"/>
              <w:gridCol w:w="122"/>
              <w:gridCol w:w="4839"/>
            </w:tblGrid>
            <w:tr>
              <w:trPr>
                <w:trHeight w:val="37" w:hRule="atLeast"/>
              </w:trPr>
              <w:tc>
                <w:tcPr>
                  <w:tcW w:w="32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19</w:t>
                  </w:r>
                </w:p>
              </w:tc>
              <w:tc>
                <w:tcPr>
                  <w:tcW w:w="212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Поставка установочного</w:t>
                  </w:r>
                  <w:r>
                    <w:rPr>
                      <w:kern w:val="0"/>
                      <w:sz w:val="20"/>
                      <w:szCs w:val="20"/>
                      <w:shd w:fill="auto" w:val="clear"/>
                      <w:lang w:val="ru-RU" w:bidi="ar-SA"/>
                    </w:rPr>
                    <w:t xml:space="preserve"> комплекта с дистрибутивом последней сертифицированной версии программного комплекса межсетевого экранирования и системы обнаружения вторжений с сертификационными документами</w:t>
                  </w:r>
                  <w:r>
                    <w:rPr>
                      <w:rFonts w:eastAsia="Calibri"/>
                      <w:kern w:val="0"/>
                      <w:sz w:val="20"/>
                      <w:szCs w:val="20"/>
                      <w:shd w:fill="auto" w:val="clear"/>
                      <w:lang w:val="ru-RU" w:bidi="ar-SA"/>
                    </w:rPr>
                    <w:t xml:space="preserve"> </w:t>
                  </w:r>
                </w:p>
              </w:tc>
              <w:tc>
                <w:tcPr>
                  <w:tcW w:w="853"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1</w:t>
                  </w:r>
                </w:p>
              </w:tc>
              <w:tc>
                <w:tcPr>
                  <w:tcW w:w="10207" w:type="dxa"/>
                  <w:gridSpan w:val="5"/>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3"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4"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Экземпляр на материальном носителе</w:t>
                  </w:r>
                </w:p>
              </w:tc>
              <w:tc>
                <w:tcPr>
                  <w:tcW w:w="852" w:type="dxa"/>
                  <w:tcBorders/>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22"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c>
                <w:tcPr>
                  <w:tcW w:w="4839" w:type="dxa"/>
                  <w:tcBorders/>
                </w:tcPr>
                <w:p>
                  <w:pPr>
                    <w:pStyle w:val="Normal"/>
                    <w:widowControl/>
                    <w:spacing w:lineRule="atLeast" w:line="0" w:before="0" w:after="0"/>
                    <w:jc w:val="start"/>
                    <w:rPr>
                      <w:kern w:val="0"/>
                      <w:sz w:val="2"/>
                      <w:highlight w:val="none"/>
                      <w:shd w:fill="auto" w:val="clear"/>
                      <w:lang w:val="ru-RU" w:bidi="ar-SA"/>
                    </w:rPr>
                  </w:pPr>
                  <w:r>
                    <w:rPr>
                      <w:kern w:val="0"/>
                      <w:sz w:val="2"/>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2"/>
              <w:gridCol w:w="1986"/>
              <w:gridCol w:w="1984"/>
              <w:gridCol w:w="2409"/>
              <w:gridCol w:w="852"/>
              <w:gridCol w:w="4819"/>
            </w:tblGrid>
            <w:tr>
              <w:trPr>
                <w:trHeight w:val="37" w:hRule="atLeast"/>
              </w:trPr>
              <w:tc>
                <w:tcPr>
                  <w:tcW w:w="32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20</w:t>
                  </w:r>
                </w:p>
              </w:tc>
              <w:tc>
                <w:tcPr>
                  <w:tcW w:w="212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Поставка установочного</w:t>
                  </w:r>
                  <w:r>
                    <w:rPr>
                      <w:kern w:val="0"/>
                      <w:sz w:val="20"/>
                      <w:szCs w:val="20"/>
                      <w:shd w:fill="auto" w:val="clear"/>
                      <w:lang w:val="ru-RU" w:bidi="ar-SA"/>
                    </w:rPr>
                    <w:t xml:space="preserve"> комплекта с дистрибутивом последней сертифицированной версии программного комплекса управления VPN-сетью с сертификационными документами</w:t>
                  </w:r>
                  <w:r>
                    <w:rPr>
                      <w:rFonts w:eastAsia="Calibri"/>
                      <w:kern w:val="0"/>
                      <w:sz w:val="20"/>
                      <w:szCs w:val="20"/>
                      <w:shd w:fill="auto" w:val="clear"/>
                      <w:lang w:val="ru-RU" w:bidi="ar-SA"/>
                    </w:rPr>
                    <w:t xml:space="preserve"> </w:t>
                  </w:r>
                </w:p>
              </w:tc>
              <w:tc>
                <w:tcPr>
                  <w:tcW w:w="852"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6"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1</w:t>
                  </w:r>
                </w:p>
              </w:tc>
              <w:tc>
                <w:tcPr>
                  <w:tcW w:w="10064"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329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6"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Экземпляр на материальном носителе</w:t>
                  </w:r>
                </w:p>
              </w:tc>
              <w:tc>
                <w:tcPr>
                  <w:tcW w:w="852"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819" w:type="dxa"/>
                  <w:tcBorders/>
                </w:tcPr>
                <w:p>
                  <w:pPr>
                    <w:pStyle w:val="Normal"/>
                    <w:widowControl/>
                    <w:tabs>
                      <w:tab w:val="clear" w:pos="709"/>
                      <w:tab w:val="left" w:pos="14175" w:leader="none"/>
                    </w:tabs>
                    <w:spacing w:before="0" w:after="0"/>
                    <w:ind w:end="832"/>
                    <w:jc w:val="center"/>
                    <w:rPr>
                      <w:sz w:val="20"/>
                      <w:szCs w:val="20"/>
                      <w:lang w:val="en-US"/>
                    </w:rPr>
                  </w:pPr>
                  <w:r>
                    <w:rPr>
                      <w:sz w:val="20"/>
                      <w:szCs w:val="20"/>
                      <w:lang w:val="en-US"/>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2"/>
              <w:gridCol w:w="1986"/>
              <w:gridCol w:w="1984"/>
              <w:gridCol w:w="2409"/>
              <w:gridCol w:w="852"/>
              <w:gridCol w:w="4819"/>
            </w:tblGrid>
            <w:tr>
              <w:trPr>
                <w:trHeight w:val="145" w:hRule="atLeast"/>
              </w:trPr>
              <w:tc>
                <w:tcPr>
                  <w:tcW w:w="32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21</w:t>
                  </w:r>
                </w:p>
              </w:tc>
              <w:tc>
                <w:tcPr>
                  <w:tcW w:w="212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Поставка установочного</w:t>
                  </w:r>
                  <w:r>
                    <w:rPr>
                      <w:kern w:val="0"/>
                      <w:sz w:val="20"/>
                      <w:szCs w:val="20"/>
                      <w:shd w:fill="auto" w:val="clear"/>
                      <w:lang w:val="ru-RU" w:bidi="ar-SA"/>
                    </w:rPr>
                    <w:t xml:space="preserve"> комплекта с дистрибутивом последней сертифицированной версии программного средства антивирусной защиты</w:t>
                  </w:r>
                  <w:r>
                    <w:rPr>
                      <w:rFonts w:eastAsia="Calibri"/>
                      <w:kern w:val="0"/>
                      <w:sz w:val="20"/>
                      <w:szCs w:val="20"/>
                      <w:shd w:fill="auto" w:val="clear"/>
                      <w:lang w:val="ru-RU" w:bidi="ar-SA"/>
                    </w:rPr>
                    <w:t xml:space="preserve"> </w:t>
                  </w:r>
                </w:p>
              </w:tc>
              <w:tc>
                <w:tcPr>
                  <w:tcW w:w="852"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6"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1</w:t>
                  </w:r>
                </w:p>
              </w:tc>
              <w:tc>
                <w:tcPr>
                  <w:tcW w:w="10064"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1900"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6"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Экземпляр на материальном носителе</w:t>
                  </w:r>
                </w:p>
              </w:tc>
              <w:tc>
                <w:tcPr>
                  <w:tcW w:w="852"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81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488"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3"/>
              <w:gridCol w:w="1984"/>
              <w:gridCol w:w="1984"/>
              <w:gridCol w:w="2410"/>
              <w:gridCol w:w="852"/>
              <w:gridCol w:w="4961"/>
            </w:tblGrid>
            <w:tr>
              <w:trPr>
                <w:trHeight w:val="37" w:hRule="atLeast"/>
              </w:trPr>
              <w:tc>
                <w:tcPr>
                  <w:tcW w:w="32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22</w:t>
                  </w:r>
                </w:p>
              </w:tc>
              <w:tc>
                <w:tcPr>
                  <w:tcW w:w="212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Услуги по</w:t>
                  </w:r>
                  <w:r>
                    <w:rPr>
                      <w:kern w:val="0"/>
                      <w:sz w:val="20"/>
                      <w:szCs w:val="20"/>
                      <w:shd w:fill="auto" w:val="clear"/>
                      <w:lang w:val="ru-RU" w:bidi="ar-SA"/>
                    </w:rPr>
                    <w:t xml:space="preserve"> разработке проектов организационно-распорядительных документов по требованиям ФСТЭК для информационной системы «РСОН»</w:t>
                  </w:r>
                  <w:r>
                    <w:rPr>
                      <w:rFonts w:eastAsia="Calibri"/>
                      <w:kern w:val="0"/>
                      <w:sz w:val="20"/>
                      <w:szCs w:val="20"/>
                      <w:shd w:fill="auto" w:val="clear"/>
                      <w:lang w:val="ru-RU" w:bidi="ar-SA"/>
                    </w:rPr>
                    <w:t xml:space="preserve"> </w:t>
                  </w:r>
                </w:p>
              </w:tc>
              <w:tc>
                <w:tcPr>
                  <w:tcW w:w="853"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УСЛ ЕД</w:t>
                  </w:r>
                </w:p>
              </w:tc>
              <w:tc>
                <w:tcPr>
                  <w:tcW w:w="198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1</w:t>
                  </w:r>
                </w:p>
              </w:tc>
              <w:tc>
                <w:tcPr>
                  <w:tcW w:w="10207"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3"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4"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Услуги оказываются в рамках настоящего технического задания в соответствии с нормативными правовыми актами и нормативными документами.</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c>
                <w:tcPr>
                  <w:tcW w:w="852"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961"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bl>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 xml:space="preserve">Требования к программному средству криптографической защиты информации для ОС Linux </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 xml:space="preserve">Общие требования </w:t>
      </w:r>
    </w:p>
    <w:p>
      <w:pPr>
        <w:pStyle w:val="Style94"/>
        <w:numPr>
          <w:ilvl w:val="0"/>
          <w:numId w:val="12"/>
        </w:numPr>
        <w:rPr>
          <w:highlight w:val="none"/>
          <w:shd w:fill="auto" w:val="clear"/>
        </w:rPr>
      </w:pPr>
      <w:r>
        <w:rPr>
          <w:rFonts w:eastAsia="Calibri"/>
          <w:shd w:fill="auto" w:val="clear"/>
        </w:rPr>
        <w:t>Срок действия предоставляемой лицензии – бессрочно;</w:t>
      </w:r>
    </w:p>
    <w:p>
      <w:pPr>
        <w:pStyle w:val="Style94"/>
        <w:numPr>
          <w:ilvl w:val="0"/>
          <w:numId w:val="12"/>
        </w:numPr>
        <w:rPr>
          <w:highlight w:val="none"/>
          <w:shd w:fill="auto" w:val="clear"/>
        </w:rPr>
      </w:pPr>
      <w:r>
        <w:rPr>
          <w:rFonts w:eastAsia="Calibri"/>
          <w:shd w:fill="auto" w:val="clear"/>
        </w:rPr>
        <w:t>Производитель обязан предоставлять Заказчику в рамках гарантийной поддержке:</w:t>
      </w:r>
    </w:p>
    <w:p>
      <w:pPr>
        <w:pStyle w:val="Style94"/>
        <w:rPr>
          <w:highlight w:val="none"/>
          <w:shd w:fill="auto" w:val="clear"/>
        </w:rPr>
      </w:pPr>
      <w:r>
        <w:rPr>
          <w:shd w:fill="auto" w:val="clear"/>
        </w:rPr>
        <w:t xml:space="preserve">Обновления (включая </w:t>
      </w:r>
      <w:r>
        <w:rPr>
          <w:shd w:fill="auto" w:val="clear"/>
          <w:lang w:val="en-US"/>
        </w:rPr>
        <w:t>hotfix</w:t>
      </w:r>
      <w:r>
        <w:rPr>
          <w:shd w:fill="auto" w:val="clear"/>
        </w:rPr>
        <w:t xml:space="preserve">, устраняющее дефекты, выявленные в продукте) без дополнительной оплаты в течении </w:t>
      </w:r>
      <w:r>
        <w:rPr>
          <w:b/>
          <w:bCs/>
          <w:shd w:fill="auto" w:val="clear"/>
        </w:rPr>
        <w:t>не менее 12 месяцев</w:t>
      </w:r>
      <w:r>
        <w:rPr>
          <w:shd w:fill="auto" w:val="clear"/>
        </w:rPr>
        <w:t xml:space="preserve"> с даты поставки;</w:t>
      </w:r>
    </w:p>
    <w:p>
      <w:pPr>
        <w:pStyle w:val="Style94"/>
        <w:rPr>
          <w:highlight w:val="none"/>
          <w:shd w:fill="auto" w:val="clear"/>
        </w:rPr>
      </w:pPr>
      <w:r>
        <w:rPr>
          <w:shd w:fill="auto" w:val="clear"/>
        </w:rPr>
        <w:t>Доступ к защищенному репозиторию обновлений;</w:t>
      </w:r>
    </w:p>
    <w:p>
      <w:pPr>
        <w:pStyle w:val="Style94"/>
        <w:rPr>
          <w:highlight w:val="none"/>
          <w:shd w:fill="auto" w:val="clear"/>
        </w:rPr>
      </w:pPr>
      <w:r>
        <w:rPr>
          <w:shd w:fill="auto" w:val="clear"/>
        </w:rPr>
        <w:t>Техническую поддержку по электронной почте или через web-форму на сайте Производителя (Время реакции на обращение Заказчика /Головного Заказчика определяется уровнем критичности инцидента, присвоенным при регистрации обращения в службе технической поддержки Производителя, а также видом сертификата технической поддержки).</w:t>
      </w:r>
    </w:p>
    <w:p>
      <w:pPr>
        <w:pStyle w:val="Style94"/>
        <w:numPr>
          <w:ilvl w:val="0"/>
          <w:numId w:val="12"/>
        </w:numPr>
        <w:rPr>
          <w:highlight w:val="none"/>
          <w:shd w:fill="auto" w:val="clear"/>
        </w:rPr>
      </w:pPr>
      <w:r>
        <w:rPr>
          <w:rFonts w:eastAsia="Calibri"/>
          <w:shd w:fill="auto" w:val="clear"/>
        </w:rPr>
        <w:t>Техническая поддержка предоставляется только по продуктам, используемым в строгом соответствии с требованиями эксплуатационной документации, в рекомендованных Производителем операционных системах.</w:t>
      </w:r>
    </w:p>
    <w:p>
      <w:pPr>
        <w:pStyle w:val="ListParagraph"/>
        <w:numPr>
          <w:ilvl w:val="1"/>
          <w:numId w:val="11"/>
        </w:numPr>
        <w:spacing w:before="280" w:after="0"/>
        <w:contextualSpacing/>
        <w:jc w:val="both"/>
        <w:rPr>
          <w:highlight w:val="none"/>
          <w:shd w:fill="auto" w:val="clear"/>
        </w:rPr>
      </w:pPr>
      <w:bookmarkStart w:id="0" w:name="_Toc183525312"/>
      <w:r>
        <w:rPr>
          <w:rFonts w:eastAsia="Calibri"/>
          <w:b/>
          <w:shd w:fill="auto" w:val="clear"/>
        </w:rPr>
        <w:t>Функциональные требования</w:t>
      </w:r>
      <w:bookmarkEnd w:id="0"/>
    </w:p>
    <w:p>
      <w:pPr>
        <w:pStyle w:val="Normal"/>
        <w:ind w:firstLine="360"/>
        <w:jc w:val="both"/>
        <w:rPr>
          <w:highlight w:val="none"/>
          <w:shd w:fill="auto" w:val="clear"/>
        </w:rPr>
      </w:pPr>
      <w:bookmarkStart w:id="1" w:name="_Toc84332084"/>
      <w:bookmarkStart w:id="2" w:name="_Toc59015847"/>
      <w:bookmarkStart w:id="3" w:name="_Toc84337111"/>
      <w:bookmarkEnd w:id="1"/>
      <w:bookmarkEnd w:id="2"/>
      <w:bookmarkEnd w:id="3"/>
      <w:r>
        <w:rPr>
          <w:rFonts w:eastAsia="Calibri"/>
          <w:shd w:fill="auto" w:val="clear"/>
        </w:rPr>
        <w:t>Криптоклиент для ОС Linux должен обеспечивать:</w:t>
      </w:r>
    </w:p>
    <w:p>
      <w:pPr>
        <w:pStyle w:val="Style94"/>
        <w:numPr>
          <w:ilvl w:val="0"/>
          <w:numId w:val="12"/>
        </w:numPr>
        <w:rPr>
          <w:highlight w:val="none"/>
          <w:shd w:fill="auto" w:val="clear"/>
        </w:rPr>
      </w:pPr>
      <w:r>
        <w:rPr>
          <w:rFonts w:eastAsia="Calibri"/>
          <w:shd w:fill="auto" w:val="clear"/>
        </w:rPr>
        <w:t>выполнение криптографических операций в соответствии:</w:t>
      </w:r>
    </w:p>
    <w:p>
      <w:pPr>
        <w:pStyle w:val="Style94"/>
        <w:rPr>
          <w:highlight w:val="none"/>
          <w:shd w:fill="auto" w:val="clear"/>
        </w:rPr>
      </w:pPr>
      <w:r>
        <w:rPr>
          <w:shd w:fill="auto" w:val="clear"/>
        </w:rPr>
        <w:t>ГОСТ 34.12-2018 «Информационная технология. Криптографическая защита информации. Блочные шифры»;</w:t>
      </w:r>
    </w:p>
    <w:p>
      <w:pPr>
        <w:pStyle w:val="Style94"/>
        <w:rPr>
          <w:highlight w:val="none"/>
          <w:shd w:fill="auto" w:val="clear"/>
        </w:rPr>
      </w:pPr>
      <w:r>
        <w:rPr>
          <w:shd w:fill="auto" w:val="clear"/>
        </w:rPr>
        <w:t>ГОСТ 34.13-2018 «Информационная технология. Криптографическая защита информации. Режимы работы блочных шифров»;</w:t>
      </w:r>
    </w:p>
    <w:p>
      <w:pPr>
        <w:pStyle w:val="Style94"/>
        <w:numPr>
          <w:ilvl w:val="0"/>
          <w:numId w:val="12"/>
        </w:numPr>
        <w:rPr>
          <w:highlight w:val="none"/>
          <w:shd w:fill="auto" w:val="clear"/>
        </w:rPr>
      </w:pPr>
      <w:r>
        <w:rPr>
          <w:rFonts w:eastAsia="Calibri"/>
          <w:shd w:fill="auto" w:val="clear"/>
        </w:rPr>
        <w:t>создание защищенных каналов (туннелей) посредством шифрования трафика защищаемого узла и передачи этого трафика на другие VPN-шлюзы или защищенные клиенты;</w:t>
      </w:r>
    </w:p>
    <w:p>
      <w:pPr>
        <w:pStyle w:val="Style94"/>
        <w:numPr>
          <w:ilvl w:val="0"/>
          <w:numId w:val="12"/>
        </w:numPr>
        <w:rPr>
          <w:highlight w:val="none"/>
          <w:shd w:fill="auto" w:val="clear"/>
        </w:rPr>
      </w:pPr>
      <w:r>
        <w:rPr>
          <w:rFonts w:eastAsia="Calibri"/>
          <w:shd w:fill="auto" w:val="clear"/>
        </w:rPr>
        <w:t>обработку IP-трафика на прикладном уровне (по протоколам FTP, DNS, H.323, SCCP, SIP);</w:t>
      </w:r>
    </w:p>
    <w:p>
      <w:pPr>
        <w:pStyle w:val="Style94"/>
        <w:numPr>
          <w:ilvl w:val="0"/>
          <w:numId w:val="12"/>
        </w:numPr>
        <w:rPr>
          <w:highlight w:val="none"/>
          <w:shd w:fill="auto" w:val="clear"/>
        </w:rPr>
      </w:pPr>
      <w:r>
        <w:rPr>
          <w:rFonts w:eastAsia="Calibri"/>
          <w:shd w:fill="auto" w:val="clear"/>
        </w:rPr>
        <w:t>блокирование входящих IP-пакетов при следующих условиях:</w:t>
      </w:r>
    </w:p>
    <w:p>
      <w:pPr>
        <w:pStyle w:val="Style94"/>
        <w:rPr>
          <w:highlight w:val="none"/>
          <w:shd w:fill="auto" w:val="clear"/>
        </w:rPr>
      </w:pPr>
      <w:r>
        <w:rPr>
          <w:shd w:fill="auto" w:val="clear"/>
        </w:rPr>
        <w:t>не найден ключ для идентификатора в IP-пакете;</w:t>
      </w:r>
    </w:p>
    <w:p>
      <w:pPr>
        <w:pStyle w:val="Style94"/>
        <w:rPr>
          <w:highlight w:val="none"/>
          <w:shd w:fill="auto" w:val="clear"/>
        </w:rPr>
      </w:pPr>
      <w:r>
        <w:rPr>
          <w:shd w:fill="auto" w:val="clear"/>
        </w:rPr>
        <w:t>значение имитозащитной вставки, принятой в составе входящего IP-пакета, не совпадает со значением вычисленной имитозащитной вставки для данного пакета на принимающей стороне;</w:t>
      </w:r>
    </w:p>
    <w:p>
      <w:pPr>
        <w:pStyle w:val="Style94"/>
        <w:rPr>
          <w:highlight w:val="none"/>
          <w:shd w:fill="auto" w:val="clear"/>
        </w:rPr>
      </w:pPr>
      <w:r>
        <w:rPr>
          <w:shd w:fill="auto" w:val="clear"/>
        </w:rPr>
        <w:t>превышено допустимое время передачи (получения) IP-пакета;</w:t>
      </w:r>
    </w:p>
    <w:p>
      <w:pPr>
        <w:pStyle w:val="Style94"/>
        <w:rPr>
          <w:highlight w:val="none"/>
          <w:shd w:fill="auto" w:val="clear"/>
        </w:rPr>
      </w:pPr>
      <w:r>
        <w:rPr>
          <w:shd w:fill="auto" w:val="clear"/>
        </w:rPr>
        <w:t>полученный IP-пакет не соответствует протоколу;</w:t>
      </w:r>
    </w:p>
    <w:p>
      <w:pPr>
        <w:pStyle w:val="Style94"/>
        <w:numPr>
          <w:ilvl w:val="0"/>
          <w:numId w:val="12"/>
        </w:numPr>
        <w:rPr>
          <w:highlight w:val="none"/>
          <w:shd w:fill="auto" w:val="clear"/>
        </w:rPr>
      </w:pPr>
      <w:r>
        <w:rPr>
          <w:rFonts w:eastAsia="Calibri"/>
          <w:shd w:fill="auto" w:val="clear"/>
        </w:rPr>
        <w:t>аутентификацию пользователя;</w:t>
      </w:r>
    </w:p>
    <w:p>
      <w:pPr>
        <w:pStyle w:val="Style94"/>
        <w:numPr>
          <w:ilvl w:val="0"/>
          <w:numId w:val="12"/>
        </w:numPr>
        <w:rPr>
          <w:highlight w:val="none"/>
          <w:shd w:fill="auto" w:val="clear"/>
        </w:rPr>
      </w:pPr>
      <w:r>
        <w:rPr>
          <w:rFonts w:eastAsia="Calibri"/>
          <w:shd w:fill="auto" w:val="clear"/>
        </w:rPr>
        <w:t>многофакторную аутентификацию;</w:t>
      </w:r>
    </w:p>
    <w:p>
      <w:pPr>
        <w:pStyle w:val="Style94"/>
        <w:numPr>
          <w:ilvl w:val="0"/>
          <w:numId w:val="12"/>
        </w:numPr>
        <w:rPr>
          <w:highlight w:val="none"/>
          <w:shd w:fill="auto" w:val="clear"/>
        </w:rPr>
      </w:pPr>
      <w:r>
        <w:rPr>
          <w:rFonts w:eastAsia="Calibri"/>
          <w:shd w:fill="auto" w:val="clear"/>
        </w:rPr>
        <w:t>контроль целостности своих компонентов и среды функционирования;</w:t>
      </w:r>
    </w:p>
    <w:p>
      <w:pPr>
        <w:pStyle w:val="Style94"/>
        <w:numPr>
          <w:ilvl w:val="0"/>
          <w:numId w:val="12"/>
        </w:numPr>
        <w:rPr>
          <w:highlight w:val="none"/>
          <w:shd w:fill="auto" w:val="clear"/>
        </w:rPr>
      </w:pPr>
      <w:r>
        <w:rPr>
          <w:rFonts w:eastAsia="Calibri"/>
          <w:shd w:fill="auto" w:val="clear"/>
        </w:rPr>
        <w:t>регистрацию событий;</w:t>
      </w:r>
    </w:p>
    <w:p>
      <w:pPr>
        <w:pStyle w:val="Style94"/>
        <w:numPr>
          <w:ilvl w:val="0"/>
          <w:numId w:val="12"/>
        </w:numPr>
        <w:rPr>
          <w:highlight w:val="none"/>
          <w:shd w:fill="auto" w:val="clear"/>
        </w:rPr>
      </w:pPr>
      <w:r>
        <w:rPr>
          <w:rFonts w:eastAsia="Calibri"/>
          <w:shd w:fill="auto" w:val="clear"/>
        </w:rPr>
        <w:t>стирание пароля и ключевой информации при их удалении из памяти;</w:t>
      </w:r>
    </w:p>
    <w:p>
      <w:pPr>
        <w:pStyle w:val="Style94"/>
        <w:numPr>
          <w:ilvl w:val="0"/>
          <w:numId w:val="12"/>
        </w:numPr>
        <w:rPr>
          <w:highlight w:val="none"/>
          <w:shd w:fill="auto" w:val="clear"/>
        </w:rPr>
      </w:pPr>
      <w:r>
        <w:rPr>
          <w:rFonts w:eastAsia="Calibri"/>
          <w:shd w:fill="auto" w:val="clear"/>
        </w:rPr>
        <w:t>фильтрацию трафика на уровне сети VPN по идентификаторам сетевых узлов и их ролям;</w:t>
      </w:r>
    </w:p>
    <w:p>
      <w:pPr>
        <w:pStyle w:val="Style94"/>
        <w:numPr>
          <w:ilvl w:val="0"/>
          <w:numId w:val="12"/>
        </w:numPr>
        <w:rPr>
          <w:highlight w:val="none"/>
          <w:shd w:fill="auto" w:val="clear"/>
        </w:rPr>
      </w:pPr>
      <w:r>
        <w:rPr>
          <w:rFonts w:eastAsia="Calibri"/>
          <w:shd w:fill="auto" w:val="clear"/>
        </w:rPr>
        <w:t>фильтрацию трафика на транспортном уровне по протоколам TCP, UDP и ICMP;</w:t>
      </w:r>
    </w:p>
    <w:p>
      <w:pPr>
        <w:pStyle w:val="Style94"/>
        <w:numPr>
          <w:ilvl w:val="0"/>
          <w:numId w:val="12"/>
        </w:numPr>
        <w:rPr>
          <w:highlight w:val="none"/>
          <w:shd w:fill="auto" w:val="clear"/>
        </w:rPr>
      </w:pPr>
      <w:r>
        <w:rPr>
          <w:rFonts w:eastAsia="Calibri"/>
          <w:shd w:fill="auto" w:val="clear"/>
        </w:rPr>
        <w:t>фильтрацию трафика по времени обработки пакетов;</w:t>
      </w:r>
    </w:p>
    <w:p>
      <w:pPr>
        <w:pStyle w:val="Style94"/>
        <w:numPr>
          <w:ilvl w:val="0"/>
          <w:numId w:val="12"/>
        </w:numPr>
        <w:rPr>
          <w:highlight w:val="none"/>
          <w:shd w:fill="auto" w:val="clear"/>
        </w:rPr>
      </w:pPr>
      <w:r>
        <w:rPr>
          <w:rFonts w:eastAsia="Calibri"/>
          <w:shd w:fill="auto" w:val="clear"/>
        </w:rPr>
        <w:t>поддержку работы USB-токенов:</w:t>
      </w:r>
    </w:p>
    <w:p>
      <w:pPr>
        <w:pStyle w:val="Style94"/>
        <w:rPr>
          <w:highlight w:val="none"/>
          <w:shd w:fill="auto" w:val="clear"/>
        </w:rPr>
      </w:pPr>
      <w:r>
        <w:rPr>
          <w:shd w:fill="auto" w:val="clear"/>
        </w:rPr>
        <w:t>Рутокен Lite.</w:t>
      </w:r>
    </w:p>
    <w:p>
      <w:pPr>
        <w:pStyle w:val="Style94"/>
        <w:numPr>
          <w:ilvl w:val="0"/>
          <w:numId w:val="12"/>
        </w:numPr>
        <w:rPr>
          <w:highlight w:val="none"/>
          <w:shd w:fill="auto" w:val="clear"/>
        </w:rPr>
      </w:pPr>
      <w:r>
        <w:rPr>
          <w:rFonts w:eastAsia="Calibri"/>
          <w:shd w:fill="auto" w:val="clear"/>
        </w:rPr>
        <w:t>блокировку всего открытого IP-трафика устройства при включённом VPN-соединении, кроме открытого трафика, необходимого для работы ОС и криптоклиента;</w:t>
      </w:r>
    </w:p>
    <w:p>
      <w:pPr>
        <w:pStyle w:val="Style94"/>
        <w:numPr>
          <w:ilvl w:val="0"/>
          <w:numId w:val="12"/>
        </w:numPr>
        <w:rPr>
          <w:highlight w:val="none"/>
          <w:shd w:fill="auto" w:val="clear"/>
        </w:rPr>
      </w:pPr>
      <w:r>
        <w:rPr>
          <w:rFonts w:eastAsia="Calibri"/>
          <w:shd w:fill="auto" w:val="clear"/>
        </w:rPr>
        <w:t>работу в командной строке.</w:t>
      </w:r>
    </w:p>
    <w:p>
      <w:pPr>
        <w:pStyle w:val="ListParagraph"/>
        <w:numPr>
          <w:ilvl w:val="1"/>
          <w:numId w:val="11"/>
        </w:numPr>
        <w:spacing w:before="280" w:after="0"/>
        <w:contextualSpacing/>
        <w:jc w:val="both"/>
        <w:rPr>
          <w:highlight w:val="none"/>
          <w:shd w:fill="auto" w:val="clear"/>
        </w:rPr>
      </w:pPr>
      <w:bookmarkStart w:id="4" w:name="_Toc183525313"/>
      <w:r>
        <w:rPr>
          <w:rFonts w:eastAsia="Calibri"/>
          <w:b/>
          <w:shd w:fill="auto" w:val="clear"/>
        </w:rPr>
        <w:t>Требования к поддерживаемым операционным системам</w:t>
      </w:r>
      <w:bookmarkEnd w:id="4"/>
      <w:r>
        <w:rPr>
          <w:rFonts w:eastAsia="Calibri"/>
          <w:b/>
          <w:shd w:fill="auto" w:val="clear"/>
        </w:rPr>
        <w:t xml:space="preserve"> </w:t>
      </w:r>
    </w:p>
    <w:p>
      <w:pPr>
        <w:pStyle w:val="Normal"/>
        <w:ind w:firstLine="360"/>
        <w:jc w:val="both"/>
        <w:rPr>
          <w:highlight w:val="none"/>
          <w:shd w:fill="auto" w:val="clear"/>
        </w:rPr>
      </w:pPr>
      <w:r>
        <w:rPr>
          <w:rFonts w:eastAsia="Calibri"/>
          <w:shd w:fill="auto" w:val="clear"/>
        </w:rPr>
        <w:t xml:space="preserve">Криптоклиент для ОС Linux должен функционировать под управлением следующих операционных систем: </w:t>
      </w:r>
    </w:p>
    <w:p>
      <w:pPr>
        <w:pStyle w:val="Style94"/>
        <w:numPr>
          <w:ilvl w:val="0"/>
          <w:numId w:val="12"/>
        </w:numPr>
        <w:rPr>
          <w:highlight w:val="none"/>
          <w:shd w:fill="auto" w:val="clear"/>
        </w:rPr>
      </w:pPr>
      <w:r>
        <w:rPr>
          <w:rFonts w:eastAsia="Calibri"/>
          <w:shd w:fill="auto" w:val="clear"/>
          <w:lang w:val="en-US"/>
        </w:rPr>
        <w:t>Astra Linux Special Edition 1.8 (</w:t>
      </w:r>
      <w:r>
        <w:rPr>
          <w:rFonts w:eastAsia="Calibri"/>
          <w:shd w:fill="auto" w:val="clear"/>
        </w:rPr>
        <w:t>РУСБ</w:t>
      </w:r>
      <w:r>
        <w:rPr>
          <w:rFonts w:eastAsia="Calibri"/>
          <w:shd w:fill="auto" w:val="clear"/>
          <w:lang w:val="en-US"/>
        </w:rPr>
        <w:t>.10015-01).</w:t>
      </w:r>
    </w:p>
    <w:p>
      <w:pPr>
        <w:pStyle w:val="Style94"/>
        <w:numPr>
          <w:ilvl w:val="0"/>
          <w:numId w:val="12"/>
        </w:numPr>
        <w:rPr>
          <w:highlight w:val="none"/>
          <w:shd w:fill="auto" w:val="clear"/>
        </w:rPr>
      </w:pPr>
      <w:r>
        <w:rPr>
          <w:shd w:fill="auto" w:val="clear"/>
        </w:rPr>
        <w:t>Операционная система будет устанавливаться на командные пульты управления П-166М, разработанные Акционерным обществом «Производственная компания «Азимут». Специализированное программное обеспечение, устанавливаемое на П-166М, разрабатывается под операционную систему (ОС) Astra Linux Special Editio</w:t>
      </w:r>
      <w:r>
        <w:rPr>
          <w:shd w:fill="auto" w:val="clear"/>
          <w:lang w:val="en-US"/>
        </w:rPr>
        <w:t>n</w:t>
      </w:r>
      <w:r>
        <w:rPr>
          <w:shd w:fill="auto" w:val="clear"/>
        </w:rPr>
        <w:t>. Установка ОС Astra Linux Special Editio</w:t>
      </w:r>
      <w:r>
        <w:rPr>
          <w:shd w:fill="auto" w:val="clear"/>
          <w:lang w:val="en-US"/>
        </w:rPr>
        <w:t>n</w:t>
      </w:r>
      <w:r>
        <w:rPr>
          <w:shd w:fill="auto" w:val="clear"/>
        </w:rPr>
        <w:t xml:space="preserve"> также предусмотрена проектно-технической документацией.</w:t>
      </w:r>
    </w:p>
    <w:p>
      <w:pPr>
        <w:pStyle w:val="Style94"/>
        <w:ind w:start="360"/>
        <w:rPr>
          <w:rFonts w:eastAsia="Calibri"/>
          <w:highlight w:val="none"/>
          <w:shd w:fill="auto" w:val="clear"/>
        </w:rPr>
      </w:pPr>
      <w:r>
        <w:rPr>
          <w:rFonts w:eastAsia="Calibri"/>
          <w:shd w:fill="auto" w:val="clear"/>
        </w:rPr>
      </w:r>
      <w:bookmarkStart w:id="5" w:name="_Toc84332084_Копия_1"/>
      <w:bookmarkStart w:id="6" w:name="_Toc59015847_Копия_1"/>
      <w:bookmarkStart w:id="7" w:name="_Toc84337111_Копия_1"/>
      <w:bookmarkStart w:id="8" w:name="_Toc84332084_Копия_1"/>
      <w:bookmarkStart w:id="9" w:name="_Toc59015847_Копия_1"/>
      <w:bookmarkStart w:id="10" w:name="_Toc84337111_Копия_1"/>
      <w:bookmarkEnd w:id="8"/>
      <w:bookmarkEnd w:id="9"/>
      <w:bookmarkEnd w:id="10"/>
    </w:p>
    <w:p>
      <w:pPr>
        <w:pStyle w:val="ListParagraph"/>
        <w:numPr>
          <w:ilvl w:val="1"/>
          <w:numId w:val="11"/>
        </w:numPr>
        <w:spacing w:before="280" w:after="0"/>
        <w:contextualSpacing/>
        <w:jc w:val="both"/>
        <w:rPr>
          <w:highlight w:val="none"/>
          <w:shd w:fill="auto" w:val="clear"/>
        </w:rPr>
      </w:pPr>
      <w:r>
        <w:rPr>
          <w:rFonts w:eastAsia="Calibri"/>
          <w:b/>
          <w:shd w:fill="auto" w:val="clear"/>
        </w:rPr>
        <w:t>Требования к сертификации</w:t>
      </w:r>
    </w:p>
    <w:p>
      <w:pPr>
        <w:pStyle w:val="Normal"/>
        <w:ind w:firstLine="360"/>
        <w:jc w:val="both"/>
        <w:rPr>
          <w:highlight w:val="none"/>
          <w:shd w:fill="auto" w:val="clear"/>
        </w:rPr>
      </w:pPr>
      <w:r>
        <w:rPr>
          <w:rFonts w:eastAsia="Calibri"/>
          <w:shd w:fill="auto" w:val="clear"/>
        </w:rPr>
        <w:t>Криптоклиент для ОС Linux должен соответствовать:</w:t>
      </w:r>
    </w:p>
    <w:p>
      <w:pPr>
        <w:pStyle w:val="Style94"/>
        <w:numPr>
          <w:ilvl w:val="0"/>
          <w:numId w:val="12"/>
        </w:numPr>
        <w:rPr>
          <w:highlight w:val="none"/>
          <w:shd w:fill="auto" w:val="clear"/>
        </w:rPr>
      </w:pPr>
      <w:r>
        <w:rPr>
          <w:rFonts w:eastAsia="Calibri"/>
          <w:shd w:fill="auto" w:val="clear"/>
        </w:rPr>
        <w:t>требованиям к средствам криптографической защиты информации, не содержащей сведений, составляющих государственную тайну, класса КС3 и может использоваться для криптографической защиты (шифрование и имитозащита данных, содержащихся в областях оперативной памяти, и в IP-пакетах, передаваемых по общим сетям передачи данных) информации, не содержащей сведений, составляющих государственную тайну;</w:t>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программному комплексу PKI-клиент</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 xml:space="preserve">Общие требования </w:t>
      </w:r>
    </w:p>
    <w:p>
      <w:pPr>
        <w:pStyle w:val="Style94"/>
        <w:numPr>
          <w:ilvl w:val="0"/>
          <w:numId w:val="12"/>
        </w:numPr>
        <w:rPr>
          <w:highlight w:val="none"/>
          <w:shd w:fill="auto" w:val="clear"/>
        </w:rPr>
      </w:pPr>
      <w:r>
        <w:rPr>
          <w:rFonts w:eastAsia="Calibri"/>
          <w:shd w:fill="auto" w:val="clear"/>
        </w:rPr>
        <w:t>Срок действия предоставляемой лицензии – бессрочно;</w:t>
      </w:r>
    </w:p>
    <w:p>
      <w:pPr>
        <w:pStyle w:val="Style94"/>
        <w:numPr>
          <w:ilvl w:val="0"/>
          <w:numId w:val="12"/>
        </w:numPr>
        <w:rPr>
          <w:highlight w:val="none"/>
          <w:shd w:fill="auto" w:val="clear"/>
        </w:rPr>
      </w:pPr>
      <w:r>
        <w:rPr>
          <w:rFonts w:eastAsia="Calibri"/>
          <w:shd w:fill="auto" w:val="clear"/>
        </w:rPr>
        <w:t>Производитель обязан предоставлять Заказчику в рамках гарантийной поддержке:</w:t>
      </w:r>
    </w:p>
    <w:p>
      <w:pPr>
        <w:pStyle w:val="Style94"/>
        <w:rPr>
          <w:highlight w:val="none"/>
          <w:shd w:fill="auto" w:val="clear"/>
        </w:rPr>
      </w:pPr>
      <w:r>
        <w:rPr>
          <w:shd w:fill="auto" w:val="clear"/>
        </w:rPr>
        <w:t xml:space="preserve">Обновления (включая </w:t>
      </w:r>
      <w:r>
        <w:rPr>
          <w:shd w:fill="auto" w:val="clear"/>
          <w:lang w:val="en-US"/>
        </w:rPr>
        <w:t>hotfix</w:t>
      </w:r>
      <w:r>
        <w:rPr>
          <w:shd w:fill="auto" w:val="clear"/>
        </w:rPr>
        <w:t xml:space="preserve">, устраняющее дефекты, выявленные в продукте) без дополнительной оплаты в течении </w:t>
      </w:r>
      <w:r>
        <w:rPr>
          <w:b/>
          <w:bCs/>
          <w:shd w:fill="auto" w:val="clear"/>
        </w:rPr>
        <w:t>не менее 12 месяцев</w:t>
      </w:r>
      <w:r>
        <w:rPr>
          <w:shd w:fill="auto" w:val="clear"/>
        </w:rPr>
        <w:t xml:space="preserve"> с даты поставки;</w:t>
      </w:r>
    </w:p>
    <w:p>
      <w:pPr>
        <w:pStyle w:val="Style94"/>
        <w:rPr>
          <w:highlight w:val="none"/>
          <w:shd w:fill="auto" w:val="clear"/>
        </w:rPr>
      </w:pPr>
      <w:r>
        <w:rPr>
          <w:shd w:fill="auto" w:val="clear"/>
        </w:rPr>
        <w:t>Доступ к защищенному репозиторию обновлений;</w:t>
      </w:r>
    </w:p>
    <w:p>
      <w:pPr>
        <w:pStyle w:val="Style94"/>
        <w:rPr>
          <w:highlight w:val="none"/>
          <w:shd w:fill="auto" w:val="clear"/>
        </w:rPr>
      </w:pPr>
      <w:r>
        <w:rPr>
          <w:shd w:fill="auto" w:val="clear"/>
        </w:rPr>
        <w:t>Техническую поддержку по электронной почте или через web-форму на сайте Производителя (Время реакции на обращение Заказчика /Головного Заказчика определяется уровнем критичности инцидента, присвоенным при регистрации обращения в службе технической поддержки Производителя, а также видом сертификата технической поддержки).</w:t>
      </w:r>
    </w:p>
    <w:p>
      <w:pPr>
        <w:pStyle w:val="Style94"/>
        <w:numPr>
          <w:ilvl w:val="0"/>
          <w:numId w:val="12"/>
        </w:numPr>
        <w:rPr>
          <w:highlight w:val="none"/>
          <w:shd w:fill="auto" w:val="clear"/>
        </w:rPr>
      </w:pPr>
      <w:r>
        <w:rPr>
          <w:rFonts w:eastAsia="Calibri"/>
          <w:shd w:fill="auto" w:val="clear"/>
        </w:rPr>
        <w:t>Техническая поддержка предоставляется только по продуктам, используемым в строгом соответствии с требованиями эксплуатационной документации, в рекомендованных Производителем операционных системах.</w:t>
      </w:r>
    </w:p>
    <w:p>
      <w:pPr>
        <w:pStyle w:val="ListParagraph"/>
        <w:numPr>
          <w:ilvl w:val="1"/>
          <w:numId w:val="11"/>
        </w:numPr>
        <w:spacing w:before="280" w:after="0"/>
        <w:contextualSpacing/>
        <w:jc w:val="both"/>
        <w:rPr>
          <w:highlight w:val="none"/>
          <w:shd w:fill="auto" w:val="clear"/>
        </w:rPr>
      </w:pPr>
      <w:bookmarkStart w:id="11" w:name="_Toc184719513"/>
      <w:r>
        <w:rPr>
          <w:rFonts w:eastAsia="Calibri"/>
          <w:b/>
          <w:shd w:fill="auto" w:val="clear"/>
          <w:lang w:eastAsia="ar-SA"/>
        </w:rPr>
        <w:t>Функциональные требования</w:t>
      </w:r>
      <w:bookmarkEnd w:id="11"/>
    </w:p>
    <w:p>
      <w:pPr>
        <w:pStyle w:val="Normal"/>
        <w:ind w:firstLine="360"/>
        <w:jc w:val="both"/>
        <w:rPr>
          <w:highlight w:val="none"/>
          <w:shd w:fill="auto" w:val="clear"/>
        </w:rPr>
      </w:pPr>
      <w:r>
        <w:rPr>
          <w:rFonts w:eastAsia="Calibri"/>
          <w:shd w:fill="auto" w:val="clear"/>
        </w:rPr>
        <w:t xml:space="preserve">PKI-клиент должен обеспечивать: </w:t>
      </w:r>
    </w:p>
    <w:p>
      <w:pPr>
        <w:pStyle w:val="Style94"/>
        <w:numPr>
          <w:ilvl w:val="0"/>
          <w:numId w:val="12"/>
        </w:numPr>
        <w:rPr>
          <w:highlight w:val="none"/>
          <w:shd w:fill="auto" w:val="clear"/>
        </w:rPr>
      </w:pPr>
      <w:r>
        <w:rPr>
          <w:rFonts w:eastAsia="Calibri"/>
          <w:shd w:fill="auto" w:val="clear"/>
        </w:rPr>
        <w:t>создание ключа ЭП и ключа проверки ЭП, создание ЭП и проверку ЭП в соответствии с ГОСТ Р 34.10-2012 «Информационная технология. Криптографическая защита информации. Процессы формирования и проверки электронной цифровой подписи»;</w:t>
      </w:r>
    </w:p>
    <w:p>
      <w:pPr>
        <w:pStyle w:val="Style94"/>
        <w:numPr>
          <w:ilvl w:val="0"/>
          <w:numId w:val="12"/>
        </w:numPr>
        <w:rPr>
          <w:highlight w:val="none"/>
          <w:shd w:fill="auto" w:val="clear"/>
        </w:rPr>
      </w:pPr>
      <w:r>
        <w:rPr>
          <w:rFonts w:eastAsia="Calibri"/>
          <w:shd w:fill="auto" w:val="clear"/>
        </w:rPr>
        <w:t>хэширование данных в соответствии с ГОСТ Р 34.11-2012 «Информационная технология. Криптографическая защита информации. Функция хэширования»;</w:t>
      </w:r>
    </w:p>
    <w:p>
      <w:pPr>
        <w:pStyle w:val="Style94"/>
        <w:numPr>
          <w:ilvl w:val="0"/>
          <w:numId w:val="12"/>
        </w:numPr>
        <w:rPr>
          <w:highlight w:val="none"/>
          <w:shd w:fill="auto" w:val="clear"/>
        </w:rPr>
      </w:pPr>
      <w:r>
        <w:rPr>
          <w:rFonts w:eastAsia="Calibri"/>
          <w:shd w:fill="auto" w:val="clear"/>
        </w:rPr>
        <w:t>шифрование (зашифрование и расшифрование) данных;</w:t>
      </w:r>
    </w:p>
    <w:p>
      <w:pPr>
        <w:pStyle w:val="Style94"/>
        <w:numPr>
          <w:ilvl w:val="0"/>
          <w:numId w:val="12"/>
        </w:numPr>
        <w:rPr>
          <w:highlight w:val="none"/>
          <w:shd w:fill="auto" w:val="clear"/>
        </w:rPr>
      </w:pPr>
      <w:r>
        <w:rPr>
          <w:rFonts w:eastAsia="Calibri"/>
          <w:shd w:fill="auto" w:val="clear"/>
        </w:rPr>
        <w:t>организацию защищенного TLS-соединения в соответствии с алгоритмами ГОСТ Р 34.10-2012, ГОСТ Р 34.12-2015 (ГОСТ 34.12-2018) «Магма» и «Кузнечик»;</w:t>
      </w:r>
    </w:p>
    <w:p>
      <w:pPr>
        <w:pStyle w:val="Style94"/>
        <w:numPr>
          <w:ilvl w:val="0"/>
          <w:numId w:val="12"/>
        </w:numPr>
        <w:rPr>
          <w:highlight w:val="none"/>
          <w:shd w:fill="auto" w:val="clear"/>
        </w:rPr>
      </w:pPr>
      <w:r>
        <w:rPr>
          <w:rFonts w:eastAsia="Calibri"/>
          <w:shd w:fill="auto" w:val="clear"/>
        </w:rPr>
        <w:t>поддержку следующих форматов ЭП:</w:t>
      </w:r>
    </w:p>
    <w:p>
      <w:pPr>
        <w:pStyle w:val="Style94"/>
        <w:rPr>
          <w:highlight w:val="none"/>
          <w:shd w:fill="auto" w:val="clear"/>
        </w:rPr>
      </w:pPr>
      <w:r>
        <w:rPr>
          <w:shd w:fill="auto" w:val="clear"/>
        </w:rPr>
        <w:t>PKCS #7 (CMS) в соответствии с RFC 5652, RFC 4490;</w:t>
      </w:r>
    </w:p>
    <w:p>
      <w:pPr>
        <w:pStyle w:val="Style94"/>
        <w:rPr>
          <w:highlight w:val="none"/>
          <w:shd w:fill="auto" w:val="clear"/>
        </w:rPr>
      </w:pPr>
      <w:r>
        <w:rPr>
          <w:shd w:fill="auto" w:val="clear"/>
        </w:rPr>
        <w:t>XMLDSig;</w:t>
      </w:r>
    </w:p>
    <w:p>
      <w:pPr>
        <w:pStyle w:val="Style94"/>
        <w:rPr>
          <w:highlight w:val="none"/>
          <w:shd w:fill="auto" w:val="clear"/>
        </w:rPr>
      </w:pPr>
      <w:r>
        <w:rPr>
          <w:shd w:fill="auto" w:val="clear"/>
        </w:rPr>
        <w:t>усовершенствованная подпись CAdES в соответствии с «CMS Advanced Electronic Signatures», ETSI TS 101 733 V1.8.3;</w:t>
      </w:r>
    </w:p>
    <w:p>
      <w:pPr>
        <w:pStyle w:val="Style94"/>
        <w:rPr>
          <w:highlight w:val="none"/>
          <w:shd w:fill="auto" w:val="clear"/>
        </w:rPr>
      </w:pPr>
      <w:r>
        <w:rPr>
          <w:shd w:fill="auto" w:val="clear"/>
          <w:lang w:val="en-US"/>
        </w:rPr>
        <w:t xml:space="preserve">XAdES </w:t>
      </w:r>
      <w:r>
        <w:rPr>
          <w:shd w:fill="auto" w:val="clear"/>
        </w:rPr>
        <w:t>в</w:t>
      </w:r>
      <w:r>
        <w:rPr>
          <w:shd w:fill="auto" w:val="clear"/>
          <w:lang w:val="en-US"/>
        </w:rPr>
        <w:t xml:space="preserve"> </w:t>
      </w:r>
      <w:r>
        <w:rPr>
          <w:shd w:fill="auto" w:val="clear"/>
        </w:rPr>
        <w:t>соответствии</w:t>
      </w:r>
      <w:r>
        <w:rPr>
          <w:shd w:fill="auto" w:val="clear"/>
          <w:lang w:val="en-US"/>
        </w:rPr>
        <w:t xml:space="preserve"> </w:t>
      </w:r>
      <w:r>
        <w:rPr>
          <w:shd w:fill="auto" w:val="clear"/>
        </w:rPr>
        <w:t>с</w:t>
      </w:r>
      <w:r>
        <w:rPr>
          <w:shd w:fill="auto" w:val="clear"/>
          <w:lang w:val="en-US"/>
        </w:rPr>
        <w:t xml:space="preserve"> «XML Advanced Electronic Signatures», ETSI TS 101 903 V1.3.2;</w:t>
      </w:r>
    </w:p>
    <w:p>
      <w:pPr>
        <w:pStyle w:val="Style94"/>
        <w:rPr>
          <w:highlight w:val="none"/>
          <w:shd w:fill="auto" w:val="clear"/>
        </w:rPr>
      </w:pPr>
      <w:r>
        <w:rPr>
          <w:shd w:fill="auto" w:val="clear"/>
        </w:rPr>
        <w:t>WS-Security;</w:t>
      </w:r>
    </w:p>
    <w:p>
      <w:pPr>
        <w:pStyle w:val="Style94"/>
        <w:numPr>
          <w:ilvl w:val="0"/>
          <w:numId w:val="12"/>
        </w:numPr>
        <w:rPr>
          <w:highlight w:val="none"/>
          <w:shd w:fill="auto" w:val="clear"/>
        </w:rPr>
      </w:pPr>
      <w:r>
        <w:rPr>
          <w:rFonts w:eastAsia="Calibri"/>
          <w:shd w:fill="auto" w:val="clear"/>
        </w:rPr>
        <w:t>поддержку работы с облачными сервисами ЭП;</w:t>
      </w:r>
    </w:p>
    <w:p>
      <w:pPr>
        <w:pStyle w:val="Style94"/>
        <w:numPr>
          <w:ilvl w:val="0"/>
          <w:numId w:val="12"/>
        </w:numPr>
        <w:rPr>
          <w:highlight w:val="none"/>
          <w:shd w:fill="auto" w:val="clear"/>
        </w:rPr>
      </w:pPr>
      <w:r>
        <w:rPr>
          <w:rFonts w:eastAsia="Calibri"/>
          <w:shd w:fill="auto" w:val="clear"/>
        </w:rPr>
        <w:t>поддержку внешних устройств для подключения к туннелируемым ресурсам;</w:t>
      </w:r>
    </w:p>
    <w:p>
      <w:pPr>
        <w:pStyle w:val="Style94"/>
        <w:numPr>
          <w:ilvl w:val="0"/>
          <w:numId w:val="12"/>
        </w:numPr>
        <w:rPr>
          <w:highlight w:val="none"/>
          <w:shd w:fill="auto" w:val="clear"/>
        </w:rPr>
      </w:pPr>
      <w:r>
        <w:rPr>
          <w:rFonts w:eastAsia="Calibri"/>
          <w:shd w:fill="auto" w:val="clear"/>
        </w:rPr>
        <w:t>добавление меток времени при формировании ЭП в соответствии с RFC 3161.</w:t>
      </w:r>
    </w:p>
    <w:p>
      <w:pPr>
        <w:pStyle w:val="ListParagraph"/>
        <w:numPr>
          <w:ilvl w:val="1"/>
          <w:numId w:val="11"/>
        </w:numPr>
        <w:spacing w:before="280" w:after="0"/>
        <w:contextualSpacing/>
        <w:jc w:val="both"/>
        <w:rPr>
          <w:highlight w:val="none"/>
          <w:shd w:fill="auto" w:val="clear"/>
        </w:rPr>
      </w:pPr>
      <w:bookmarkStart w:id="12" w:name="_Toc184719514"/>
      <w:r>
        <w:rPr>
          <w:rFonts w:eastAsia="Calibri"/>
          <w:b/>
          <w:shd w:fill="auto" w:val="clear"/>
          <w:lang w:eastAsia="ar-SA"/>
        </w:rPr>
        <w:t>Системные требования</w:t>
      </w:r>
      <w:bookmarkEnd w:id="12"/>
    </w:p>
    <w:p>
      <w:pPr>
        <w:pStyle w:val="Normal"/>
        <w:ind w:firstLine="360"/>
        <w:jc w:val="both"/>
        <w:rPr>
          <w:highlight w:val="none"/>
          <w:shd w:fill="auto" w:val="clear"/>
        </w:rPr>
      </w:pPr>
      <w:r>
        <w:rPr>
          <w:rFonts w:eastAsia="Calibri"/>
          <w:shd w:fill="auto" w:val="clear"/>
        </w:rPr>
        <w:t>PKI-клиент должен функционировать под управлением следующих ОС:</w:t>
      </w:r>
    </w:p>
    <w:p>
      <w:pPr>
        <w:pStyle w:val="Style94"/>
        <w:numPr>
          <w:ilvl w:val="0"/>
          <w:numId w:val="12"/>
        </w:numPr>
        <w:rPr>
          <w:highlight w:val="none"/>
          <w:shd w:fill="auto" w:val="clear"/>
        </w:rPr>
      </w:pPr>
      <w:r>
        <w:rPr>
          <w:rFonts w:eastAsia="Calibri"/>
          <w:shd w:fill="auto" w:val="clear"/>
          <w:lang w:val="en-US"/>
        </w:rPr>
        <w:t>Astra Linux Special Edition 1.8 (</w:t>
      </w:r>
      <w:r>
        <w:rPr>
          <w:rFonts w:eastAsia="Calibri"/>
          <w:shd w:fill="auto" w:val="clear"/>
        </w:rPr>
        <w:t>РУСБ</w:t>
      </w:r>
      <w:r>
        <w:rPr>
          <w:rFonts w:eastAsia="Calibri"/>
          <w:shd w:fill="auto" w:val="clear"/>
          <w:lang w:val="en-US"/>
        </w:rPr>
        <w:t>.10015-01).</w:t>
      </w:r>
    </w:p>
    <w:p>
      <w:pPr>
        <w:pStyle w:val="ListParagraph"/>
        <w:numPr>
          <w:ilvl w:val="1"/>
          <w:numId w:val="11"/>
        </w:numPr>
        <w:spacing w:before="280" w:after="0"/>
        <w:contextualSpacing/>
        <w:jc w:val="both"/>
        <w:rPr>
          <w:highlight w:val="none"/>
          <w:shd w:fill="auto" w:val="clear"/>
        </w:rPr>
      </w:pPr>
      <w:bookmarkStart w:id="13" w:name="_Toc184719515"/>
      <w:r>
        <w:rPr>
          <w:rFonts w:eastAsia="Calibri"/>
          <w:b/>
          <w:shd w:fill="auto" w:val="clear"/>
          <w:lang w:eastAsia="ar-SA"/>
        </w:rPr>
        <w:t>Требования к сертификации</w:t>
      </w:r>
      <w:bookmarkEnd w:id="13"/>
    </w:p>
    <w:p>
      <w:pPr>
        <w:pStyle w:val="Normal"/>
        <w:ind w:firstLine="360"/>
        <w:jc w:val="both"/>
        <w:rPr>
          <w:highlight w:val="none"/>
          <w:shd w:fill="auto" w:val="clear"/>
        </w:rPr>
      </w:pPr>
      <w:r>
        <w:rPr>
          <w:rFonts w:eastAsia="Calibri"/>
          <w:shd w:fill="auto" w:val="clear"/>
        </w:rPr>
        <w:t>PKI-клиент должен:</w:t>
      </w:r>
    </w:p>
    <w:p>
      <w:pPr>
        <w:pStyle w:val="Style94"/>
        <w:numPr>
          <w:ilvl w:val="0"/>
          <w:numId w:val="12"/>
        </w:numPr>
        <w:rPr>
          <w:highlight w:val="none"/>
          <w:shd w:fill="auto" w:val="clear"/>
        </w:rPr>
      </w:pPr>
      <w:r>
        <w:rPr>
          <w:shd w:fill="auto" w:val="clear"/>
        </w:rPr>
        <w:t>иметь действующий сертификат соответствия ФСБ России и соответствовать требованиям к средствам криптографической защиты информации класса КС3.</w:t>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 xml:space="preserve">Требования к программному модулю доверенной загрузки </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 xml:space="preserve">Общие требования </w:t>
      </w:r>
    </w:p>
    <w:p>
      <w:pPr>
        <w:pStyle w:val="Style94"/>
        <w:numPr>
          <w:ilvl w:val="0"/>
          <w:numId w:val="12"/>
        </w:numPr>
        <w:rPr>
          <w:highlight w:val="none"/>
          <w:shd w:fill="auto" w:val="clear"/>
        </w:rPr>
      </w:pPr>
      <w:r>
        <w:rPr>
          <w:rFonts w:eastAsia="Calibri"/>
          <w:shd w:fill="auto" w:val="clear"/>
        </w:rPr>
        <w:t>Срок действия предоставляемой лицензии – бессрочно;</w:t>
      </w:r>
    </w:p>
    <w:p>
      <w:pPr>
        <w:pStyle w:val="Style94"/>
        <w:numPr>
          <w:ilvl w:val="0"/>
          <w:numId w:val="12"/>
        </w:numPr>
        <w:rPr>
          <w:highlight w:val="none"/>
          <w:shd w:fill="auto" w:val="clear"/>
        </w:rPr>
      </w:pPr>
      <w:r>
        <w:rPr>
          <w:rFonts w:eastAsia="Calibri"/>
          <w:shd w:fill="auto" w:val="clear"/>
        </w:rPr>
        <w:t>Производитель обязан предоставлять Заказчику в рамках гарантийной поддержке:</w:t>
      </w:r>
    </w:p>
    <w:p>
      <w:pPr>
        <w:pStyle w:val="Style94"/>
        <w:rPr>
          <w:highlight w:val="none"/>
          <w:shd w:fill="auto" w:val="clear"/>
        </w:rPr>
      </w:pPr>
      <w:r>
        <w:rPr>
          <w:shd w:fill="auto" w:val="clear"/>
        </w:rPr>
        <w:t xml:space="preserve">Обновления (включая </w:t>
      </w:r>
      <w:r>
        <w:rPr>
          <w:shd w:fill="auto" w:val="clear"/>
          <w:lang w:val="en-US"/>
        </w:rPr>
        <w:t>hotfix</w:t>
      </w:r>
      <w:r>
        <w:rPr>
          <w:shd w:fill="auto" w:val="clear"/>
        </w:rPr>
        <w:t xml:space="preserve">, устраняющее дефекты, выявленные в продукте) без дополнительной оплаты в течении </w:t>
      </w:r>
      <w:r>
        <w:rPr>
          <w:b/>
          <w:bCs/>
          <w:shd w:fill="auto" w:val="clear"/>
        </w:rPr>
        <w:t>не менее 12 месяцев</w:t>
      </w:r>
      <w:r>
        <w:rPr>
          <w:shd w:fill="auto" w:val="clear"/>
        </w:rPr>
        <w:t xml:space="preserve"> с даты поставки;</w:t>
      </w:r>
    </w:p>
    <w:p>
      <w:pPr>
        <w:pStyle w:val="Style94"/>
        <w:rPr>
          <w:highlight w:val="none"/>
          <w:shd w:fill="auto" w:val="clear"/>
        </w:rPr>
      </w:pPr>
      <w:r>
        <w:rPr>
          <w:shd w:fill="auto" w:val="clear"/>
        </w:rPr>
        <w:t>Доступ к защищенному репозиторию обновлений;</w:t>
      </w:r>
    </w:p>
    <w:p>
      <w:pPr>
        <w:pStyle w:val="Style94"/>
        <w:rPr>
          <w:highlight w:val="none"/>
          <w:shd w:fill="auto" w:val="clear"/>
        </w:rPr>
      </w:pPr>
      <w:r>
        <w:rPr>
          <w:shd w:fill="auto" w:val="clear"/>
        </w:rPr>
        <w:t>Техническую поддержку по электронной почте или через web-форму на сайте Производителя (Время реакции на обращение Заказчика /Головного Заказчика определяется уровнем критичности инцидента, присвоенным при регистрации обращения в службе технической поддержки Производителя, а также видом сертификата технической поддержки).</w:t>
      </w:r>
    </w:p>
    <w:p>
      <w:pPr>
        <w:pStyle w:val="Style94"/>
        <w:numPr>
          <w:ilvl w:val="0"/>
          <w:numId w:val="12"/>
        </w:numPr>
        <w:rPr>
          <w:highlight w:val="none"/>
          <w:shd w:fill="auto" w:val="clear"/>
        </w:rPr>
      </w:pPr>
      <w:r>
        <w:rPr>
          <w:rFonts w:eastAsia="Calibri"/>
          <w:shd w:fill="auto" w:val="clear"/>
        </w:rPr>
        <w:t>Техническая поддержка предоставляется только по продуктам, используемым в строгом соответствии с требованиями эксплуатационной документации, в рекомендованных Производителем операционных системах.</w:t>
      </w:r>
    </w:p>
    <w:p>
      <w:pPr>
        <w:pStyle w:val="ListParagraph"/>
        <w:numPr>
          <w:ilvl w:val="1"/>
          <w:numId w:val="11"/>
        </w:numPr>
        <w:spacing w:before="280" w:after="0"/>
        <w:contextualSpacing/>
        <w:jc w:val="both"/>
        <w:rPr>
          <w:highlight w:val="none"/>
          <w:shd w:fill="auto" w:val="clear"/>
        </w:rPr>
      </w:pPr>
      <w:bookmarkStart w:id="14" w:name="_Toc126344493"/>
      <w:r>
        <w:rPr>
          <w:rFonts w:eastAsia="Calibri"/>
          <w:b/>
          <w:shd w:fill="auto" w:val="clear"/>
          <w:lang w:eastAsia="ar-SA"/>
        </w:rPr>
        <w:t>Функциональные требования</w:t>
      </w:r>
      <w:bookmarkEnd w:id="14"/>
    </w:p>
    <w:p>
      <w:pPr>
        <w:pStyle w:val="Normal"/>
        <w:ind w:firstLine="360"/>
        <w:jc w:val="both"/>
        <w:rPr>
          <w:highlight w:val="none"/>
          <w:shd w:fill="auto" w:val="clear"/>
        </w:rPr>
      </w:pPr>
      <w:r>
        <w:rPr>
          <w:rFonts w:eastAsia="Calibri"/>
          <w:shd w:fill="auto" w:val="clear"/>
        </w:rPr>
        <w:t>Средство доверенной загрузки (далее – СДЗ) должно представлять собой программное средство, которое встраивается в базовую систему ввода-вывода (BIOS) и осуществляет блокирование попыток несанкционированной загрузки нештатной операционной системы (далее – ОС), предоставляет доступ к информационным ресурсам в случае успешной проверки подлинности загружаемой ОС и прав на основе идентификации и аутентификации пользователя.</w:t>
      </w:r>
    </w:p>
    <w:p>
      <w:pPr>
        <w:pStyle w:val="Normal"/>
        <w:ind w:firstLine="360"/>
        <w:jc w:val="both"/>
        <w:rPr>
          <w:highlight w:val="none"/>
          <w:shd w:fill="auto" w:val="clear"/>
        </w:rPr>
      </w:pPr>
      <w:r>
        <w:rPr>
          <w:rFonts w:eastAsia="Calibri"/>
          <w:shd w:fill="auto" w:val="clear"/>
        </w:rPr>
        <w:t>СДЗ должно обеспечивать:</w:t>
      </w:r>
    </w:p>
    <w:p>
      <w:pPr>
        <w:pStyle w:val="Style94"/>
        <w:numPr>
          <w:ilvl w:val="0"/>
          <w:numId w:val="12"/>
        </w:numPr>
        <w:rPr>
          <w:highlight w:val="none"/>
          <w:shd w:fill="auto" w:val="clear"/>
        </w:rPr>
      </w:pPr>
      <w:r>
        <w:rPr>
          <w:rFonts w:eastAsia="Calibri"/>
          <w:shd w:fill="auto" w:val="clear"/>
        </w:rPr>
        <w:t>идентификацию и аутентификацию пользователя до выполнения действий по загрузке ОС или администратора СДЗ до выполнения действий по управлению средством доверенной загрузки;</w:t>
      </w:r>
    </w:p>
    <w:p>
      <w:pPr>
        <w:pStyle w:val="Style94"/>
        <w:numPr>
          <w:ilvl w:val="0"/>
          <w:numId w:val="12"/>
        </w:numPr>
        <w:rPr>
          <w:highlight w:val="none"/>
          <w:shd w:fill="auto" w:val="clear"/>
        </w:rPr>
      </w:pPr>
      <w:r>
        <w:rPr>
          <w:rFonts w:eastAsia="Calibri"/>
          <w:shd w:fill="auto" w:val="clear"/>
        </w:rPr>
        <w:t>поддержку следующих способов аутентификации:</w:t>
      </w:r>
    </w:p>
    <w:p>
      <w:pPr>
        <w:pStyle w:val="Style94"/>
        <w:rPr>
          <w:highlight w:val="none"/>
          <w:shd w:fill="auto" w:val="clear"/>
        </w:rPr>
      </w:pPr>
      <w:r>
        <w:rPr>
          <w:shd w:fill="auto" w:val="clear"/>
        </w:rPr>
        <w:t>по паролю;</w:t>
      </w:r>
    </w:p>
    <w:p>
      <w:pPr>
        <w:pStyle w:val="Style94"/>
        <w:rPr>
          <w:highlight w:val="none"/>
          <w:shd w:fill="auto" w:val="clear"/>
        </w:rPr>
      </w:pPr>
      <w:r>
        <w:rPr>
          <w:shd w:fill="auto" w:val="clear"/>
        </w:rPr>
        <w:t>по электронному идентификатору (сертификат на электронном идентификаторе);</w:t>
      </w:r>
    </w:p>
    <w:p>
      <w:pPr>
        <w:pStyle w:val="Style94"/>
        <w:rPr>
          <w:highlight w:val="none"/>
          <w:shd w:fill="auto" w:val="clear"/>
        </w:rPr>
      </w:pPr>
      <w:r>
        <w:rPr>
          <w:shd w:fill="auto" w:val="clear"/>
        </w:rPr>
        <w:t>по электронному идентификатору и паролю;</w:t>
      </w:r>
    </w:p>
    <w:p>
      <w:pPr>
        <w:pStyle w:val="Style94"/>
        <w:rPr>
          <w:highlight w:val="none"/>
          <w:shd w:fill="auto" w:val="clear"/>
        </w:rPr>
      </w:pPr>
      <w:r>
        <w:rPr>
          <w:shd w:fill="auto" w:val="clear"/>
        </w:rPr>
        <w:t>по коду на электронном идентификаторе;</w:t>
      </w:r>
    </w:p>
    <w:p>
      <w:pPr>
        <w:pStyle w:val="Style94"/>
        <w:rPr>
          <w:highlight w:val="none"/>
          <w:shd w:fill="auto" w:val="clear"/>
        </w:rPr>
      </w:pPr>
      <w:r>
        <w:rPr>
          <w:shd w:fill="auto" w:val="clear"/>
        </w:rPr>
        <w:t>пользователя, зарегистрированного на LDAP сервере;</w:t>
      </w:r>
    </w:p>
    <w:p>
      <w:pPr>
        <w:pStyle w:val="Style94"/>
        <w:numPr>
          <w:ilvl w:val="0"/>
          <w:numId w:val="12"/>
        </w:numPr>
        <w:rPr>
          <w:highlight w:val="none"/>
          <w:shd w:fill="auto" w:val="clear"/>
        </w:rPr>
      </w:pPr>
      <w:r>
        <w:rPr>
          <w:rFonts w:eastAsia="Calibri"/>
          <w:shd w:fill="auto" w:val="clear"/>
        </w:rPr>
        <w:t>поддержку:</w:t>
      </w:r>
    </w:p>
    <w:p>
      <w:pPr>
        <w:pStyle w:val="Style94"/>
        <w:rPr>
          <w:highlight w:val="none"/>
          <w:shd w:fill="auto" w:val="clear"/>
        </w:rPr>
      </w:pPr>
      <w:r>
        <w:rPr>
          <w:shd w:fill="auto" w:val="clear"/>
        </w:rPr>
        <w:t>электронных идентификаторов в формате USB-токенов: Рутокен Lite;</w:t>
      </w:r>
    </w:p>
    <w:p>
      <w:pPr>
        <w:pStyle w:val="Style94"/>
        <w:numPr>
          <w:ilvl w:val="0"/>
          <w:numId w:val="12"/>
        </w:numPr>
        <w:rPr>
          <w:highlight w:val="none"/>
          <w:shd w:fill="auto" w:val="clear"/>
        </w:rPr>
      </w:pPr>
      <w:r>
        <w:rPr>
          <w:rFonts w:eastAsia="Calibri"/>
          <w:shd w:fill="auto" w:val="clear"/>
        </w:rPr>
        <w:t>возможность выключения системы и блокировки учетной записи пользователя при превышении установленного количества неуспешных попыток аутентификации;</w:t>
      </w:r>
    </w:p>
    <w:p>
      <w:pPr>
        <w:pStyle w:val="Style94"/>
        <w:numPr>
          <w:ilvl w:val="0"/>
          <w:numId w:val="12"/>
        </w:numPr>
        <w:rPr>
          <w:highlight w:val="none"/>
          <w:shd w:fill="auto" w:val="clear"/>
        </w:rPr>
      </w:pPr>
      <w:r>
        <w:rPr>
          <w:rFonts w:eastAsia="Calibri"/>
          <w:shd w:fill="auto" w:val="clear"/>
        </w:rPr>
        <w:t>блокирование загрузки ОС:</w:t>
      </w:r>
    </w:p>
    <w:p>
      <w:pPr>
        <w:pStyle w:val="Style94"/>
        <w:rPr>
          <w:highlight w:val="none"/>
          <w:shd w:fill="auto" w:val="clear"/>
        </w:rPr>
      </w:pPr>
      <w:r>
        <w:rPr>
          <w:shd w:fill="auto" w:val="clear"/>
        </w:rPr>
        <w:t>при выявлении несанкционированных попыток загрузки ОС и аутентификации пользователя;</w:t>
      </w:r>
    </w:p>
    <w:p>
      <w:pPr>
        <w:pStyle w:val="Style94"/>
        <w:rPr>
          <w:highlight w:val="none"/>
          <w:shd w:fill="auto" w:val="clear"/>
        </w:rPr>
      </w:pPr>
      <w:r>
        <w:rPr>
          <w:shd w:fill="auto" w:val="clear"/>
        </w:rPr>
        <w:t>при выявлении попыток загрузки нештатной ОС;</w:t>
      </w:r>
    </w:p>
    <w:p>
      <w:pPr>
        <w:pStyle w:val="Style94"/>
        <w:rPr>
          <w:highlight w:val="none"/>
          <w:shd w:fill="auto" w:val="clear"/>
        </w:rPr>
      </w:pPr>
      <w:r>
        <w:rPr>
          <w:shd w:fill="auto" w:val="clear"/>
        </w:rPr>
        <w:t>при превышении числа неудачных попыток аутентификации пользователя;</w:t>
      </w:r>
    </w:p>
    <w:p>
      <w:pPr>
        <w:pStyle w:val="Style94"/>
        <w:rPr>
          <w:highlight w:val="none"/>
          <w:shd w:fill="auto" w:val="clear"/>
        </w:rPr>
      </w:pPr>
      <w:r>
        <w:rPr>
          <w:shd w:fill="auto" w:val="clear"/>
        </w:rPr>
        <w:t>при нарушении целостности СДЗ;</w:t>
      </w:r>
    </w:p>
    <w:p>
      <w:pPr>
        <w:pStyle w:val="Style94"/>
        <w:rPr>
          <w:highlight w:val="none"/>
          <w:shd w:fill="auto" w:val="clear"/>
        </w:rPr>
      </w:pPr>
      <w:r>
        <w:rPr>
          <w:shd w:fill="auto" w:val="clear"/>
        </w:rPr>
        <w:t>при нарушении целостности загружаемой программной среды;</w:t>
      </w:r>
    </w:p>
    <w:p>
      <w:pPr>
        <w:pStyle w:val="Style94"/>
        <w:rPr>
          <w:highlight w:val="none"/>
          <w:shd w:fill="auto" w:val="clear"/>
        </w:rPr>
      </w:pPr>
      <w:r>
        <w:rPr>
          <w:shd w:fill="auto" w:val="clear"/>
        </w:rPr>
        <w:t>при критичных типах сбоев и ошибок;</w:t>
      </w:r>
    </w:p>
    <w:p>
      <w:pPr>
        <w:pStyle w:val="Style94"/>
        <w:rPr>
          <w:highlight w:val="none"/>
          <w:shd w:fill="auto" w:val="clear"/>
        </w:rPr>
      </w:pPr>
      <w:r>
        <w:rPr>
          <w:shd w:fill="auto" w:val="clear"/>
        </w:rPr>
        <w:t>при обнаружении несанкционированного изменения состава аппаратных компонентов.</w:t>
      </w:r>
    </w:p>
    <w:p>
      <w:pPr>
        <w:pStyle w:val="Style94"/>
        <w:numPr>
          <w:ilvl w:val="0"/>
          <w:numId w:val="12"/>
        </w:numPr>
        <w:rPr>
          <w:highlight w:val="none"/>
          <w:shd w:fill="auto" w:val="clear"/>
        </w:rPr>
      </w:pPr>
      <w:r>
        <w:rPr>
          <w:rFonts w:eastAsia="Calibri"/>
          <w:shd w:fill="auto" w:val="clear"/>
        </w:rPr>
        <w:t>реализацию механизмов защиты:</w:t>
      </w:r>
    </w:p>
    <w:p>
      <w:pPr>
        <w:pStyle w:val="Style94"/>
        <w:rPr>
          <w:highlight w:val="none"/>
          <w:shd w:fill="auto" w:val="clear"/>
        </w:rPr>
      </w:pPr>
      <w:r>
        <w:rPr>
          <w:shd w:fill="auto" w:val="clear"/>
        </w:rPr>
        <w:t>блокирование несанкционированного входа в BIOS Setup с помощью специальных клавиш;</w:t>
      </w:r>
    </w:p>
    <w:p>
      <w:pPr>
        <w:pStyle w:val="Style94"/>
        <w:rPr>
          <w:highlight w:val="none"/>
          <w:shd w:fill="auto" w:val="clear"/>
        </w:rPr>
      </w:pPr>
      <w:r>
        <w:rPr>
          <w:shd w:fill="auto" w:val="clear"/>
        </w:rPr>
        <w:t>эмуляция NVRAM;</w:t>
      </w:r>
    </w:p>
    <w:p>
      <w:pPr>
        <w:pStyle w:val="Style94"/>
        <w:rPr>
          <w:highlight w:val="none"/>
          <w:shd w:fill="auto" w:val="clear"/>
        </w:rPr>
      </w:pPr>
      <w:r>
        <w:rPr>
          <w:shd w:fill="auto" w:val="clear"/>
        </w:rPr>
        <w:t>контроль программных прерываний системного режима управления (SMI);</w:t>
      </w:r>
    </w:p>
    <w:p>
      <w:pPr>
        <w:pStyle w:val="Style94"/>
        <w:rPr>
          <w:highlight w:val="none"/>
          <w:shd w:fill="auto" w:val="clear"/>
        </w:rPr>
      </w:pPr>
      <w:r>
        <w:rPr>
          <w:shd w:fill="auto" w:val="clear"/>
        </w:rPr>
        <w:t>блокировка ACPI-таблиц WPBT;</w:t>
      </w:r>
    </w:p>
    <w:p>
      <w:pPr>
        <w:pStyle w:val="Style94"/>
        <w:rPr>
          <w:highlight w:val="none"/>
          <w:shd w:fill="auto" w:val="clear"/>
        </w:rPr>
      </w:pPr>
      <w:r>
        <w:rPr>
          <w:shd w:fill="auto" w:val="clear"/>
        </w:rPr>
        <w:t>защита дисков от записи со стороны компонентов BIOS на ранней стадии загрузки;</w:t>
      </w:r>
    </w:p>
    <w:p>
      <w:pPr>
        <w:pStyle w:val="Style94"/>
        <w:rPr>
          <w:highlight w:val="none"/>
          <w:shd w:fill="auto" w:val="clear"/>
        </w:rPr>
      </w:pPr>
      <w:r>
        <w:rPr>
          <w:shd w:fill="auto" w:val="clear"/>
        </w:rPr>
        <w:t>блокировка встроенных средств обновления BIOS;</w:t>
      </w:r>
    </w:p>
    <w:p>
      <w:pPr>
        <w:pStyle w:val="Style94"/>
        <w:rPr>
          <w:highlight w:val="none"/>
          <w:shd w:fill="auto" w:val="clear"/>
        </w:rPr>
      </w:pPr>
      <w:r>
        <w:rPr>
          <w:shd w:fill="auto" w:val="clear"/>
        </w:rPr>
        <w:t>блокировка клавиатуры на стадии загрузчика ОС;</w:t>
      </w:r>
    </w:p>
    <w:p>
      <w:pPr>
        <w:pStyle w:val="Style94"/>
        <w:rPr>
          <w:highlight w:val="none"/>
          <w:shd w:fill="auto" w:val="clear"/>
        </w:rPr>
      </w:pPr>
      <w:r>
        <w:rPr>
          <w:shd w:fill="auto" w:val="clear"/>
        </w:rPr>
        <w:t>блокирование выполнения PCI Option ROM.</w:t>
      </w:r>
    </w:p>
    <w:p>
      <w:pPr>
        <w:pStyle w:val="Style94"/>
        <w:numPr>
          <w:ilvl w:val="0"/>
          <w:numId w:val="12"/>
        </w:numPr>
        <w:rPr>
          <w:highlight w:val="none"/>
          <w:shd w:fill="auto" w:val="clear"/>
        </w:rPr>
      </w:pPr>
      <w:r>
        <w:rPr>
          <w:rFonts w:eastAsia="Calibri"/>
          <w:shd w:fill="auto" w:val="clear"/>
        </w:rPr>
        <w:t>контроль целостности:</w:t>
      </w:r>
    </w:p>
    <w:p>
      <w:pPr>
        <w:pStyle w:val="Style94"/>
        <w:rPr>
          <w:highlight w:val="none"/>
          <w:shd w:fill="auto" w:val="clear"/>
        </w:rPr>
      </w:pPr>
      <w:r>
        <w:rPr>
          <w:shd w:fill="auto" w:val="clear"/>
        </w:rPr>
        <w:t>загружаемой ОС;</w:t>
      </w:r>
    </w:p>
    <w:p>
      <w:pPr>
        <w:pStyle w:val="Style94"/>
        <w:rPr>
          <w:highlight w:val="none"/>
          <w:shd w:fill="auto" w:val="clear"/>
        </w:rPr>
      </w:pPr>
      <w:r>
        <w:rPr>
          <w:shd w:fill="auto" w:val="clear"/>
        </w:rPr>
        <w:t xml:space="preserve">ПО СДЗ; </w:t>
      </w:r>
    </w:p>
    <w:p>
      <w:pPr>
        <w:pStyle w:val="Style94"/>
        <w:rPr>
          <w:highlight w:val="none"/>
          <w:shd w:fill="auto" w:val="clear"/>
        </w:rPr>
      </w:pPr>
      <w:r>
        <w:rPr>
          <w:shd w:fill="auto" w:val="clear"/>
        </w:rPr>
        <w:t>параметров реестра ОС Windows;</w:t>
      </w:r>
    </w:p>
    <w:p>
      <w:pPr>
        <w:pStyle w:val="Style94"/>
        <w:rPr>
          <w:highlight w:val="none"/>
          <w:shd w:fill="auto" w:val="clear"/>
        </w:rPr>
      </w:pPr>
      <w:r>
        <w:rPr>
          <w:shd w:fill="auto" w:val="clear"/>
        </w:rPr>
        <w:t xml:space="preserve">файлов на файловых системах FAT32, NTFS, EXT2, EXT3 и EXT4; </w:t>
      </w:r>
    </w:p>
    <w:p>
      <w:pPr>
        <w:pStyle w:val="Style94"/>
        <w:rPr>
          <w:highlight w:val="none"/>
          <w:shd w:fill="auto" w:val="clear"/>
        </w:rPr>
      </w:pPr>
      <w:r>
        <w:rPr>
          <w:shd w:fill="auto" w:val="clear"/>
        </w:rPr>
        <w:t xml:space="preserve">загрузочных секторов на носителях информации; </w:t>
      </w:r>
    </w:p>
    <w:p>
      <w:pPr>
        <w:pStyle w:val="Style94"/>
        <w:rPr>
          <w:highlight w:val="none"/>
          <w:shd w:fill="auto" w:val="clear"/>
        </w:rPr>
      </w:pPr>
      <w:r>
        <w:rPr>
          <w:shd w:fill="auto" w:val="clear"/>
        </w:rPr>
        <w:t xml:space="preserve">таблиц ACPI; </w:t>
      </w:r>
    </w:p>
    <w:p>
      <w:pPr>
        <w:pStyle w:val="Style94"/>
        <w:rPr>
          <w:highlight w:val="none"/>
          <w:shd w:fill="auto" w:val="clear"/>
        </w:rPr>
      </w:pPr>
      <w:r>
        <w:rPr>
          <w:shd w:fill="auto" w:val="clear"/>
        </w:rPr>
        <w:t>таблиц GPT;</w:t>
      </w:r>
    </w:p>
    <w:p>
      <w:pPr>
        <w:pStyle w:val="Style94"/>
        <w:rPr>
          <w:highlight w:val="none"/>
          <w:shd w:fill="auto" w:val="clear"/>
        </w:rPr>
      </w:pPr>
      <w:r>
        <w:rPr>
          <w:shd w:fill="auto" w:val="clear"/>
        </w:rPr>
        <w:t>зашифрованных дисков LUKS;</w:t>
      </w:r>
    </w:p>
    <w:p>
      <w:pPr>
        <w:pStyle w:val="Style94"/>
        <w:rPr>
          <w:highlight w:val="none"/>
          <w:shd w:fill="auto" w:val="clear"/>
        </w:rPr>
      </w:pPr>
      <w:r>
        <w:rPr>
          <w:shd w:fill="auto" w:val="clear"/>
        </w:rPr>
        <w:t xml:space="preserve">таблиц SMBIOS; </w:t>
      </w:r>
    </w:p>
    <w:p>
      <w:pPr>
        <w:pStyle w:val="Style94"/>
        <w:rPr>
          <w:highlight w:val="none"/>
          <w:shd w:fill="auto" w:val="clear"/>
        </w:rPr>
      </w:pPr>
      <w:r>
        <w:rPr>
          <w:shd w:fill="auto" w:val="clear"/>
        </w:rPr>
        <w:t xml:space="preserve">карты распределения памяти; </w:t>
      </w:r>
    </w:p>
    <w:p>
      <w:pPr>
        <w:pStyle w:val="Style94"/>
        <w:rPr>
          <w:highlight w:val="none"/>
          <w:shd w:fill="auto" w:val="clear"/>
        </w:rPr>
      </w:pPr>
      <w:r>
        <w:rPr>
          <w:shd w:fill="auto" w:val="clear"/>
        </w:rPr>
        <w:t xml:space="preserve">ресурсов конфигурационного пространства PCI/PCIe; </w:t>
      </w:r>
    </w:p>
    <w:p>
      <w:pPr>
        <w:pStyle w:val="Style94"/>
        <w:rPr>
          <w:highlight w:val="none"/>
          <w:shd w:fill="auto" w:val="clear"/>
        </w:rPr>
      </w:pPr>
      <w:r>
        <w:rPr>
          <w:shd w:fill="auto" w:val="clear"/>
        </w:rPr>
        <w:t>CMOS (содержимого энергонезависимой памяти);</w:t>
      </w:r>
    </w:p>
    <w:p>
      <w:pPr>
        <w:pStyle w:val="Style94"/>
        <w:rPr>
          <w:highlight w:val="none"/>
          <w:shd w:fill="auto" w:val="clear"/>
        </w:rPr>
      </w:pPr>
      <w:r>
        <w:rPr>
          <w:shd w:fill="auto" w:val="clear"/>
        </w:rPr>
        <w:t>модулей UEFI;</w:t>
      </w:r>
    </w:p>
    <w:p>
      <w:pPr>
        <w:pStyle w:val="Style94"/>
        <w:rPr>
          <w:highlight w:val="none"/>
          <w:shd w:fill="auto" w:val="clear"/>
        </w:rPr>
      </w:pPr>
      <w:r>
        <w:rPr>
          <w:shd w:fill="auto" w:val="clear"/>
        </w:rPr>
        <w:t>переменных NVRAM;</w:t>
      </w:r>
    </w:p>
    <w:p>
      <w:pPr>
        <w:pStyle w:val="Style94"/>
        <w:rPr>
          <w:highlight w:val="none"/>
          <w:shd w:fill="auto" w:val="clear"/>
        </w:rPr>
      </w:pPr>
      <w:r>
        <w:rPr>
          <w:shd w:fill="auto" w:val="clear"/>
        </w:rPr>
        <w:t>системных таблиц UEFI;</w:t>
      </w:r>
    </w:p>
    <w:p>
      <w:pPr>
        <w:pStyle w:val="Style94"/>
        <w:rPr>
          <w:highlight w:val="none"/>
          <w:shd w:fill="auto" w:val="clear"/>
        </w:rPr>
      </w:pPr>
      <w:r>
        <w:rPr>
          <w:shd w:fill="auto" w:val="clear"/>
        </w:rPr>
        <w:t>дисковых устройств;</w:t>
      </w:r>
    </w:p>
    <w:p>
      <w:pPr>
        <w:pStyle w:val="Style94"/>
        <w:rPr>
          <w:highlight w:val="none"/>
          <w:shd w:fill="auto" w:val="clear"/>
        </w:rPr>
      </w:pPr>
      <w:r>
        <w:rPr>
          <w:shd w:fill="auto" w:val="clear"/>
        </w:rPr>
        <w:t>файлов сетевой загрузки;</w:t>
      </w:r>
    </w:p>
    <w:p>
      <w:pPr>
        <w:pStyle w:val="Style94"/>
        <w:numPr>
          <w:ilvl w:val="0"/>
          <w:numId w:val="12"/>
        </w:numPr>
        <w:rPr>
          <w:highlight w:val="none"/>
          <w:shd w:fill="auto" w:val="clear"/>
        </w:rPr>
      </w:pPr>
      <w:r>
        <w:rPr>
          <w:rFonts w:eastAsia="Calibri"/>
          <w:shd w:fill="auto" w:val="clear"/>
        </w:rPr>
        <w:t>возможность со стороны администраторов СДЗ управлять режимом выполнения функций безопасности СДЗ и данными (данными СДЗ), используемыми функциями безопасности СДЗ;</w:t>
      </w:r>
    </w:p>
    <w:p>
      <w:pPr>
        <w:pStyle w:val="Style94"/>
        <w:numPr>
          <w:ilvl w:val="0"/>
          <w:numId w:val="12"/>
        </w:numPr>
        <w:rPr>
          <w:highlight w:val="none"/>
          <w:shd w:fill="auto" w:val="clear"/>
        </w:rPr>
      </w:pPr>
      <w:r>
        <w:rPr>
          <w:rFonts w:eastAsia="Calibri"/>
          <w:shd w:fill="auto" w:val="clear"/>
        </w:rPr>
        <w:t>поддержку определенных ролей (учетных записей пользователей) для СДЗ и их ассоциации с конкретными администраторами СЗД и пользователями ИС;</w:t>
      </w:r>
    </w:p>
    <w:p>
      <w:pPr>
        <w:pStyle w:val="Style94"/>
        <w:numPr>
          <w:ilvl w:val="0"/>
          <w:numId w:val="12"/>
        </w:numPr>
        <w:rPr>
          <w:highlight w:val="none"/>
          <w:shd w:fill="auto" w:val="clear"/>
        </w:rPr>
      </w:pPr>
      <w:r>
        <w:rPr>
          <w:rFonts w:eastAsia="Calibri"/>
          <w:shd w:fill="auto" w:val="clear"/>
        </w:rPr>
        <w:t>возможность тестирования (самотестирования) функций безопасности СДЗ, проверки целостности программного обеспечения (далее – ПО) СДЗ и целостности данных СДЗ;</w:t>
      </w:r>
    </w:p>
    <w:p>
      <w:pPr>
        <w:pStyle w:val="Style94"/>
        <w:numPr>
          <w:ilvl w:val="0"/>
          <w:numId w:val="12"/>
        </w:numPr>
        <w:rPr>
          <w:highlight w:val="none"/>
          <w:shd w:fill="auto" w:val="clear"/>
        </w:rPr>
      </w:pPr>
      <w:r>
        <w:rPr>
          <w:rFonts w:eastAsia="Calibri"/>
          <w:shd w:fill="auto" w:val="clear"/>
        </w:rPr>
        <w:t>возможность контроля состава компонентов аппаратного обеспечения средства вычислительной техники, основываясь на их идентификационной информации;</w:t>
      </w:r>
    </w:p>
    <w:p>
      <w:pPr>
        <w:pStyle w:val="Style94"/>
        <w:numPr>
          <w:ilvl w:val="0"/>
          <w:numId w:val="12"/>
        </w:numPr>
        <w:rPr>
          <w:highlight w:val="none"/>
          <w:shd w:fill="auto" w:val="clear"/>
        </w:rPr>
      </w:pPr>
      <w:r>
        <w:rPr>
          <w:rFonts w:eastAsia="Calibri"/>
          <w:shd w:fill="auto" w:val="clear"/>
        </w:rPr>
        <w:t>наличие программного датчика случайных чисел (далее – ДСЧ) с возможностью инициализации биологическим ДСЧ и с помощью внешней гаммы;</w:t>
      </w:r>
    </w:p>
    <w:p>
      <w:pPr>
        <w:pStyle w:val="Style94"/>
        <w:numPr>
          <w:ilvl w:val="0"/>
          <w:numId w:val="12"/>
        </w:numPr>
        <w:rPr>
          <w:highlight w:val="none"/>
          <w:shd w:fill="auto" w:val="clear"/>
        </w:rPr>
      </w:pPr>
      <w:r>
        <w:rPr>
          <w:rFonts w:eastAsia="Calibri"/>
          <w:shd w:fill="auto" w:val="clear"/>
        </w:rPr>
        <w:t>поддержка возможности удаленного управления СДЗ:</w:t>
      </w:r>
    </w:p>
    <w:p>
      <w:pPr>
        <w:pStyle w:val="Style94"/>
        <w:rPr>
          <w:highlight w:val="none"/>
          <w:shd w:fill="auto" w:val="clear"/>
        </w:rPr>
      </w:pPr>
      <w:r>
        <w:rPr>
          <w:shd w:fill="auto" w:val="clear"/>
        </w:rPr>
        <w:t>чтение журналов событий;</w:t>
      </w:r>
    </w:p>
    <w:p>
      <w:pPr>
        <w:pStyle w:val="Style94"/>
        <w:rPr>
          <w:highlight w:val="none"/>
          <w:shd w:fill="auto" w:val="clear"/>
        </w:rPr>
      </w:pPr>
      <w:r>
        <w:rPr>
          <w:shd w:fill="auto" w:val="clear"/>
        </w:rPr>
        <w:t>управление конфигурацией СДЗ;</w:t>
      </w:r>
    </w:p>
    <w:p>
      <w:pPr>
        <w:pStyle w:val="Style94"/>
        <w:rPr>
          <w:highlight w:val="none"/>
          <w:shd w:fill="auto" w:val="clear"/>
        </w:rPr>
      </w:pPr>
      <w:r>
        <w:rPr>
          <w:shd w:fill="auto" w:val="clear"/>
        </w:rPr>
        <w:t>обновление версии СДЗ;</w:t>
      </w:r>
    </w:p>
    <w:p>
      <w:pPr>
        <w:pStyle w:val="Style94"/>
        <w:numPr>
          <w:ilvl w:val="0"/>
          <w:numId w:val="12"/>
        </w:numPr>
        <w:rPr>
          <w:highlight w:val="none"/>
          <w:shd w:fill="auto" w:val="clear"/>
        </w:rPr>
      </w:pPr>
      <w:r>
        <w:rPr>
          <w:rFonts w:eastAsia="Calibri"/>
          <w:shd w:fill="auto" w:val="clear"/>
        </w:rPr>
        <w:t>загрузку ОС по сети (PXE и HTTP Boot);</w:t>
      </w:r>
    </w:p>
    <w:p>
      <w:pPr>
        <w:pStyle w:val="Style94"/>
        <w:numPr>
          <w:ilvl w:val="0"/>
          <w:numId w:val="12"/>
        </w:numPr>
        <w:rPr>
          <w:highlight w:val="none"/>
          <w:shd w:fill="auto" w:val="clear"/>
        </w:rPr>
      </w:pPr>
      <w:r>
        <w:rPr>
          <w:rFonts w:eastAsia="Calibri"/>
          <w:shd w:fill="auto" w:val="clear"/>
        </w:rPr>
        <w:t>контроль завершенности транзакций в журналах файловых систем NTFS, EXT3, EXT4;</w:t>
      </w:r>
    </w:p>
    <w:p>
      <w:pPr>
        <w:pStyle w:val="Style94"/>
        <w:numPr>
          <w:ilvl w:val="0"/>
          <w:numId w:val="12"/>
        </w:numPr>
        <w:rPr>
          <w:highlight w:val="none"/>
          <w:shd w:fill="auto" w:val="clear"/>
        </w:rPr>
      </w:pPr>
      <w:r>
        <w:rPr>
          <w:rFonts w:eastAsia="Calibri"/>
          <w:shd w:fill="auto" w:val="clear"/>
        </w:rPr>
        <w:t>возможность однократной аутентификации пользователя (режим аутентификации Single-Sign-On) без повторной аутентификации в ОС;</w:t>
      </w:r>
    </w:p>
    <w:p>
      <w:pPr>
        <w:pStyle w:val="Style94"/>
        <w:numPr>
          <w:ilvl w:val="0"/>
          <w:numId w:val="12"/>
        </w:numPr>
        <w:rPr>
          <w:highlight w:val="none"/>
          <w:shd w:fill="auto" w:val="clear"/>
        </w:rPr>
      </w:pPr>
      <w:r>
        <w:rPr>
          <w:rFonts w:eastAsia="Calibri"/>
          <w:shd w:fill="auto" w:val="clear"/>
        </w:rPr>
        <w:t>защиту от несанкционированного удаления СДЗ путем перезаписи BIOS, защиты от чтения BIOS и изменения UEFI</w:t>
        <w:noBreakHyphen/>
        <w:t>переменных;</w:t>
      </w:r>
    </w:p>
    <w:p>
      <w:pPr>
        <w:pStyle w:val="Style94"/>
        <w:numPr>
          <w:ilvl w:val="0"/>
          <w:numId w:val="12"/>
        </w:numPr>
        <w:rPr>
          <w:highlight w:val="none"/>
          <w:shd w:fill="auto" w:val="clear"/>
        </w:rPr>
      </w:pPr>
      <w:r>
        <w:rPr>
          <w:rFonts w:eastAsia="Calibri"/>
          <w:shd w:fill="auto" w:val="clear"/>
        </w:rPr>
        <w:t>возможность регистрации возникновения событий, относящихся к безопасности и контролируемых СДЗ;</w:t>
      </w:r>
    </w:p>
    <w:p>
      <w:pPr>
        <w:pStyle w:val="Style94"/>
        <w:numPr>
          <w:ilvl w:val="0"/>
          <w:numId w:val="12"/>
        </w:numPr>
        <w:rPr>
          <w:highlight w:val="none"/>
          <w:shd w:fill="auto" w:val="clear"/>
        </w:rPr>
      </w:pPr>
      <w:r>
        <w:rPr>
          <w:rFonts w:eastAsia="Calibri"/>
          <w:shd w:fill="auto" w:val="clear"/>
        </w:rPr>
        <w:t>возможность реагирования на обнаружение событий, указывающих на возможное нарушение безопасности;</w:t>
      </w:r>
    </w:p>
    <w:p>
      <w:pPr>
        <w:pStyle w:val="Style94"/>
        <w:numPr>
          <w:ilvl w:val="0"/>
          <w:numId w:val="12"/>
        </w:numPr>
        <w:rPr>
          <w:highlight w:val="none"/>
          <w:shd w:fill="auto" w:val="clear"/>
        </w:rPr>
      </w:pPr>
      <w:r>
        <w:rPr>
          <w:rFonts w:eastAsia="Calibri"/>
          <w:shd w:fill="auto" w:val="clear"/>
        </w:rPr>
        <w:t xml:space="preserve">ограничение доступа к чтению записей аудита; </w:t>
      </w:r>
    </w:p>
    <w:p>
      <w:pPr>
        <w:pStyle w:val="Style94"/>
        <w:numPr>
          <w:ilvl w:val="0"/>
          <w:numId w:val="12"/>
        </w:numPr>
        <w:rPr>
          <w:highlight w:val="none"/>
          <w:shd w:fill="auto" w:val="clear"/>
        </w:rPr>
      </w:pPr>
      <w:r>
        <w:rPr>
          <w:rFonts w:eastAsia="Calibri"/>
          <w:shd w:fill="auto" w:val="clear"/>
        </w:rPr>
        <w:t xml:space="preserve">выборочный просмотр данных аудита (фильтрация данных аудита); </w:t>
      </w:r>
    </w:p>
    <w:p>
      <w:pPr>
        <w:pStyle w:val="Style94"/>
        <w:numPr>
          <w:ilvl w:val="0"/>
          <w:numId w:val="12"/>
        </w:numPr>
        <w:rPr>
          <w:highlight w:val="none"/>
          <w:shd w:fill="auto" w:val="clear"/>
        </w:rPr>
      </w:pPr>
      <w:r>
        <w:rPr>
          <w:rFonts w:eastAsia="Calibri"/>
          <w:shd w:fill="auto" w:val="clear"/>
        </w:rPr>
        <w:t>выявление модификаций записей аудита, защита хранимых записей аудита от несанкционированного удаления, а также поддержка сохранности записей аудита при переполнении журнала аудита или сбое;</w:t>
      </w:r>
    </w:p>
    <w:p>
      <w:pPr>
        <w:pStyle w:val="Style94"/>
        <w:numPr>
          <w:ilvl w:val="0"/>
          <w:numId w:val="12"/>
        </w:numPr>
        <w:rPr>
          <w:highlight w:val="none"/>
          <w:shd w:fill="auto" w:val="clear"/>
        </w:rPr>
      </w:pPr>
      <w:r>
        <w:rPr>
          <w:rFonts w:eastAsia="Calibri"/>
          <w:shd w:fill="auto" w:val="clear"/>
        </w:rPr>
        <w:t>генерация предупреждения при переполнении журнала аудита и запись поверх самых ранних хранимых записей аудита;</w:t>
      </w:r>
    </w:p>
    <w:p>
      <w:pPr>
        <w:pStyle w:val="Style94"/>
        <w:numPr>
          <w:ilvl w:val="0"/>
          <w:numId w:val="12"/>
        </w:numPr>
        <w:rPr>
          <w:highlight w:val="none"/>
          <w:shd w:fill="auto" w:val="clear"/>
        </w:rPr>
      </w:pPr>
      <w:r>
        <w:rPr>
          <w:rFonts w:eastAsia="Calibri"/>
          <w:shd w:fill="auto" w:val="clear"/>
        </w:rPr>
        <w:t>поддержка бездискового режима;</w:t>
      </w:r>
    </w:p>
    <w:p>
      <w:pPr>
        <w:pStyle w:val="Style94"/>
        <w:numPr>
          <w:ilvl w:val="0"/>
          <w:numId w:val="12"/>
        </w:numPr>
        <w:rPr>
          <w:highlight w:val="none"/>
          <w:shd w:fill="auto" w:val="clear"/>
        </w:rPr>
      </w:pPr>
      <w:r>
        <w:rPr>
          <w:rFonts w:eastAsia="Calibri"/>
          <w:shd w:fill="auto" w:val="clear"/>
        </w:rPr>
        <w:t>поддержка доступа к содержимому томов Logical Volume Manager (LVM);</w:t>
      </w:r>
    </w:p>
    <w:p>
      <w:pPr>
        <w:pStyle w:val="Style94"/>
        <w:numPr>
          <w:ilvl w:val="0"/>
          <w:numId w:val="12"/>
        </w:numPr>
        <w:rPr>
          <w:highlight w:val="none"/>
          <w:shd w:fill="auto" w:val="clear"/>
        </w:rPr>
      </w:pPr>
      <w:r>
        <w:rPr>
          <w:rFonts w:eastAsia="Calibri"/>
          <w:shd w:fill="auto" w:val="clear"/>
        </w:rPr>
        <w:t>поддержка настройки системного времени;</w:t>
      </w:r>
    </w:p>
    <w:p>
      <w:pPr>
        <w:pStyle w:val="Style94"/>
        <w:numPr>
          <w:ilvl w:val="0"/>
          <w:numId w:val="12"/>
        </w:numPr>
        <w:rPr>
          <w:highlight w:val="none"/>
          <w:shd w:fill="auto" w:val="clear"/>
        </w:rPr>
      </w:pPr>
      <w:r>
        <w:rPr>
          <w:rFonts w:eastAsia="Calibri"/>
          <w:shd w:fill="auto" w:val="clear"/>
        </w:rPr>
        <w:t>поддержка</w:t>
      </w:r>
      <w:r>
        <w:rPr>
          <w:rFonts w:eastAsia="Calibri"/>
          <w:shd w:fill="auto" w:val="clear"/>
          <w:lang w:val="en-US"/>
        </w:rPr>
        <w:t xml:space="preserve"> Linux Unified Key Setup (LUKS); </w:t>
      </w:r>
    </w:p>
    <w:p>
      <w:pPr>
        <w:pStyle w:val="Style94"/>
        <w:numPr>
          <w:ilvl w:val="0"/>
          <w:numId w:val="12"/>
        </w:numPr>
        <w:rPr>
          <w:highlight w:val="none"/>
          <w:shd w:fill="auto" w:val="clear"/>
        </w:rPr>
      </w:pPr>
      <w:r>
        <w:rPr>
          <w:rFonts w:eastAsia="Calibri"/>
          <w:shd w:fill="auto" w:val="clear"/>
        </w:rPr>
        <w:t>поддержка аутентификации пользователей по расписанию (графику работы);</w:t>
      </w:r>
    </w:p>
    <w:p>
      <w:pPr>
        <w:pStyle w:val="Style94"/>
        <w:numPr>
          <w:ilvl w:val="0"/>
          <w:numId w:val="12"/>
        </w:numPr>
        <w:rPr>
          <w:highlight w:val="none"/>
          <w:shd w:fill="auto" w:val="clear"/>
        </w:rPr>
      </w:pPr>
      <w:r>
        <w:rPr>
          <w:rFonts w:eastAsia="Calibri"/>
          <w:shd w:fill="auto" w:val="clear"/>
        </w:rPr>
        <w:t>задание политик паролей для групп пользователей;</w:t>
      </w:r>
    </w:p>
    <w:p>
      <w:pPr>
        <w:pStyle w:val="Style94"/>
        <w:numPr>
          <w:ilvl w:val="0"/>
          <w:numId w:val="12"/>
        </w:numPr>
        <w:rPr>
          <w:highlight w:val="none"/>
          <w:shd w:fill="auto" w:val="clear"/>
        </w:rPr>
      </w:pPr>
      <w:r>
        <w:rPr>
          <w:rFonts w:eastAsia="Calibri"/>
          <w:shd w:fill="auto" w:val="clear"/>
        </w:rPr>
        <w:t>создание и управление различными профилями загрузок, включая загрузчик ОС и список раздельного контроля целостности;</w:t>
      </w:r>
    </w:p>
    <w:p>
      <w:pPr>
        <w:pStyle w:val="Style94"/>
        <w:numPr>
          <w:ilvl w:val="0"/>
          <w:numId w:val="12"/>
        </w:numPr>
        <w:rPr>
          <w:highlight w:val="none"/>
          <w:shd w:fill="auto" w:val="clear"/>
        </w:rPr>
      </w:pPr>
      <w:r>
        <w:rPr>
          <w:rFonts w:eastAsia="Calibri"/>
          <w:shd w:fill="auto" w:val="clear"/>
        </w:rPr>
        <w:t>передача данных аудита по протоколу syslog.</w:t>
      </w:r>
    </w:p>
    <w:p>
      <w:pPr>
        <w:pStyle w:val="ListParagraph"/>
        <w:numPr>
          <w:ilvl w:val="1"/>
          <w:numId w:val="11"/>
        </w:numPr>
        <w:spacing w:before="280" w:after="0"/>
        <w:contextualSpacing/>
        <w:jc w:val="both"/>
        <w:rPr>
          <w:highlight w:val="none"/>
          <w:shd w:fill="auto" w:val="clear"/>
        </w:rPr>
      </w:pPr>
      <w:bookmarkStart w:id="15" w:name="_Toc126344494"/>
      <w:r>
        <w:rPr>
          <w:rFonts w:eastAsia="Calibri"/>
          <w:b/>
          <w:shd w:fill="auto" w:val="clear"/>
        </w:rPr>
        <w:t>Требования к сертификации</w:t>
      </w:r>
      <w:bookmarkEnd w:id="15"/>
    </w:p>
    <w:p>
      <w:pPr>
        <w:pStyle w:val="Normal"/>
        <w:ind w:firstLine="360"/>
        <w:jc w:val="both"/>
        <w:rPr>
          <w:highlight w:val="none"/>
          <w:shd w:fill="auto" w:val="clear"/>
        </w:rPr>
      </w:pPr>
      <w:r>
        <w:rPr>
          <w:rFonts w:eastAsia="Calibri"/>
          <w:shd w:fill="auto" w:val="clear"/>
        </w:rPr>
        <w:t>СДЗ должно соответствовать требованиям документов:</w:t>
      </w:r>
    </w:p>
    <w:p>
      <w:pPr>
        <w:pStyle w:val="Style94"/>
        <w:numPr>
          <w:ilvl w:val="0"/>
          <w:numId w:val="12"/>
        </w:numPr>
        <w:rPr>
          <w:highlight w:val="none"/>
          <w:shd w:fill="auto" w:val="clear"/>
        </w:rPr>
      </w:pPr>
      <w:r>
        <w:rPr>
          <w:rFonts w:eastAsia="Calibri"/>
          <w:shd w:fill="auto" w:val="clear"/>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не ниже 5 уровня доверия;</w:t>
      </w:r>
    </w:p>
    <w:p>
      <w:pPr>
        <w:pStyle w:val="Style94"/>
        <w:numPr>
          <w:ilvl w:val="0"/>
          <w:numId w:val="12"/>
        </w:numPr>
        <w:rPr>
          <w:highlight w:val="none"/>
          <w:shd w:fill="auto" w:val="clear"/>
        </w:rPr>
      </w:pPr>
      <w:r>
        <w:rPr>
          <w:rFonts w:eastAsia="Calibri"/>
          <w:shd w:fill="auto" w:val="clear"/>
        </w:rPr>
        <w:t>«Профиль защиты средства доверенной загрузки» не ниже пятого класса защиты (ФСТЭК России, 2013);</w:t>
      </w:r>
    </w:p>
    <w:p>
      <w:pPr>
        <w:pStyle w:val="Style94"/>
        <w:numPr>
          <w:ilvl w:val="0"/>
          <w:numId w:val="12"/>
        </w:numPr>
        <w:rPr>
          <w:highlight w:val="none"/>
          <w:shd w:fill="auto" w:val="clear"/>
        </w:rPr>
      </w:pPr>
      <w:r>
        <w:rPr>
          <w:rFonts w:eastAsia="Calibri"/>
          <w:shd w:fill="auto" w:val="clear"/>
        </w:rPr>
        <w:t>«Требования к средствам доверенной загрузки» (ФСТЭК России, 2013).</w:t>
      </w:r>
    </w:p>
    <w:p>
      <w:pPr>
        <w:pStyle w:val="ListParagraph"/>
        <w:rPr>
          <w:rFonts w:eastAsia="Calibri"/>
          <w:b/>
          <w:highlight w:val="none"/>
          <w:shd w:fill="auto" w:val="clear"/>
        </w:rPr>
      </w:pPr>
      <w:r>
        <w:rPr>
          <w:rFonts w:eastAsia="Calibri"/>
          <w:b/>
          <w:shd w:fill="auto" w:val="clear"/>
        </w:rPr>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программному комплексу межсетевого экранирования и системы обнаружения вторжений</w:t>
      </w:r>
      <w:r>
        <w:rPr>
          <w:shd w:fill="auto" w:val="clear"/>
        </w:rPr>
        <w:t xml:space="preserve"> </w:t>
      </w:r>
      <w:bookmarkStart w:id="16" w:name="_Toc182579950"/>
      <w:bookmarkStart w:id="17" w:name="_Toc143767147"/>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 xml:space="preserve">Общие требования </w:t>
      </w:r>
    </w:p>
    <w:p>
      <w:pPr>
        <w:pStyle w:val="Style94"/>
        <w:numPr>
          <w:ilvl w:val="0"/>
          <w:numId w:val="12"/>
        </w:numPr>
        <w:rPr>
          <w:highlight w:val="none"/>
          <w:shd w:fill="auto" w:val="clear"/>
        </w:rPr>
      </w:pPr>
      <w:r>
        <w:rPr>
          <w:rFonts w:eastAsia="Calibri"/>
          <w:shd w:fill="auto" w:val="clear"/>
        </w:rPr>
        <w:t>Срок действия предоставляемой лицензии – бессрочно;</w:t>
      </w:r>
    </w:p>
    <w:p>
      <w:pPr>
        <w:pStyle w:val="Style94"/>
        <w:numPr>
          <w:ilvl w:val="0"/>
          <w:numId w:val="12"/>
        </w:numPr>
        <w:rPr>
          <w:highlight w:val="none"/>
          <w:shd w:fill="auto" w:val="clear"/>
        </w:rPr>
      </w:pPr>
      <w:r>
        <w:rPr>
          <w:rFonts w:eastAsia="Calibri"/>
          <w:shd w:fill="auto" w:val="clear"/>
        </w:rPr>
        <w:t>Производитель обязан предоставлять Заказчику в рамках гарантийной поддержке:</w:t>
      </w:r>
    </w:p>
    <w:p>
      <w:pPr>
        <w:pStyle w:val="Style94"/>
        <w:rPr>
          <w:highlight w:val="none"/>
          <w:shd w:fill="auto" w:val="clear"/>
        </w:rPr>
      </w:pPr>
      <w:r>
        <w:rPr>
          <w:shd w:fill="auto" w:val="clear"/>
        </w:rPr>
        <w:t xml:space="preserve">Обновления (включая </w:t>
      </w:r>
      <w:r>
        <w:rPr>
          <w:shd w:fill="auto" w:val="clear"/>
          <w:lang w:val="en-US"/>
        </w:rPr>
        <w:t>hotfix</w:t>
      </w:r>
      <w:r>
        <w:rPr>
          <w:shd w:fill="auto" w:val="clear"/>
        </w:rPr>
        <w:t xml:space="preserve">, устраняющее дефекты, выявленные в продукте) без дополнительной оплаты в течении </w:t>
      </w:r>
      <w:r>
        <w:rPr>
          <w:b/>
          <w:bCs/>
          <w:shd w:fill="auto" w:val="clear"/>
        </w:rPr>
        <w:t>не менее 12 месяцев</w:t>
      </w:r>
      <w:r>
        <w:rPr>
          <w:shd w:fill="auto" w:val="clear"/>
        </w:rPr>
        <w:t xml:space="preserve"> с даты поставки;</w:t>
      </w:r>
    </w:p>
    <w:p>
      <w:pPr>
        <w:pStyle w:val="Style94"/>
        <w:rPr>
          <w:highlight w:val="none"/>
          <w:shd w:fill="auto" w:val="clear"/>
        </w:rPr>
      </w:pPr>
      <w:r>
        <w:rPr>
          <w:shd w:fill="auto" w:val="clear"/>
        </w:rPr>
        <w:t>Доступ к защищенному репозиторию обновлений;</w:t>
      </w:r>
    </w:p>
    <w:p>
      <w:pPr>
        <w:pStyle w:val="Style94"/>
        <w:rPr>
          <w:highlight w:val="none"/>
          <w:shd w:fill="auto" w:val="clear"/>
        </w:rPr>
      </w:pPr>
      <w:r>
        <w:rPr>
          <w:shd w:fill="auto" w:val="clear"/>
        </w:rPr>
        <w:t xml:space="preserve">Техническую поддержку по электронной почте или через </w:t>
      </w:r>
      <w:r>
        <w:rPr>
          <w:shd w:fill="auto" w:val="clear"/>
          <w:lang w:val="en-US"/>
        </w:rPr>
        <w:t>web</w:t>
      </w:r>
      <w:r>
        <w:rPr>
          <w:shd w:fill="auto" w:val="clear"/>
        </w:rPr>
        <w:t>-форму на сайте Производителя (Время реакции на обращение Заказчика /Головного Заказчика определяется уровнем критичности инцидента, присвоенным при регистрации обращения в службе технической поддержки Производителя, а также видом сертификата технической поддержки).</w:t>
      </w:r>
    </w:p>
    <w:p>
      <w:pPr>
        <w:pStyle w:val="Style94"/>
        <w:numPr>
          <w:ilvl w:val="0"/>
          <w:numId w:val="12"/>
        </w:numPr>
        <w:rPr>
          <w:highlight w:val="none"/>
          <w:shd w:fill="auto" w:val="clear"/>
        </w:rPr>
      </w:pPr>
      <w:r>
        <w:rPr>
          <w:rFonts w:eastAsia="Calibri"/>
          <w:shd w:fill="auto" w:val="clear"/>
        </w:rPr>
        <w:t>Техническая поддержка предоставляется только по продуктам, используемым в строгом соответствии с требованиями эксплуатационной документации, в рекомендованных Производителем операционных системах.</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 xml:space="preserve">Требования к составу </w:t>
      </w:r>
      <w:bookmarkEnd w:id="17"/>
      <w:r>
        <w:rPr>
          <w:rFonts w:eastAsia="Calibri"/>
          <w:b/>
          <w:shd w:fill="auto" w:val="clear"/>
          <w:lang w:eastAsia="ar-SA"/>
        </w:rPr>
        <w:t xml:space="preserve">программного комплекса межсетевого экранирования и системы обнаружения вторжений </w:t>
      </w:r>
      <w:bookmarkEnd w:id="16"/>
    </w:p>
    <w:p>
      <w:pPr>
        <w:pStyle w:val="Normal"/>
        <w:ind w:firstLine="360"/>
        <w:jc w:val="both"/>
        <w:rPr>
          <w:highlight w:val="none"/>
          <w:shd w:fill="auto" w:val="clear"/>
        </w:rPr>
      </w:pPr>
      <w:r>
        <w:rPr>
          <w:rFonts w:eastAsia="Calibri"/>
          <w:shd w:fill="auto" w:val="clear"/>
        </w:rPr>
        <w:t>Программный комплекс межсетевого экранирования и системы обнаружения вторжений (далее – ПК МЭ и СОВ) должен включать в себя следующие компоненты:</w:t>
      </w:r>
    </w:p>
    <w:p>
      <w:pPr>
        <w:pStyle w:val="Style94"/>
        <w:numPr>
          <w:ilvl w:val="0"/>
          <w:numId w:val="12"/>
        </w:numPr>
        <w:rPr>
          <w:highlight w:val="none"/>
          <w:shd w:fill="auto" w:val="clear"/>
        </w:rPr>
      </w:pPr>
      <w:r>
        <w:rPr>
          <w:rFonts w:eastAsia="Calibri"/>
          <w:shd w:fill="auto" w:val="clear"/>
        </w:rPr>
        <w:t>клиентский компонент, предназначенный для установки на персональные компьютеры и корпоративные серверы (далее – защищаемые узлы) под управлением операционной системы семейства Linux (далее – Агент Linux), обеспечивающий выявление событий ИБ, фильтрацию IP-трафика, обнаружение и предотвращение вторжений на защищаемом узле;</w:t>
      </w:r>
    </w:p>
    <w:p>
      <w:pPr>
        <w:pStyle w:val="ListParagraph"/>
        <w:numPr>
          <w:ilvl w:val="1"/>
          <w:numId w:val="11"/>
        </w:numPr>
        <w:spacing w:before="280" w:after="0"/>
        <w:contextualSpacing/>
        <w:jc w:val="both"/>
        <w:rPr>
          <w:highlight w:val="none"/>
          <w:shd w:fill="auto" w:val="clear"/>
        </w:rPr>
      </w:pPr>
      <w:bookmarkStart w:id="18" w:name="_Toc128735161"/>
      <w:bookmarkStart w:id="19" w:name="_Toc182579951"/>
      <w:r>
        <w:rPr>
          <w:rFonts w:eastAsia="Calibri"/>
          <w:b/>
          <w:shd w:fill="auto" w:val="clear"/>
          <w:lang w:eastAsia="ar-SA"/>
        </w:rPr>
        <w:t>Функциональные требования</w:t>
      </w:r>
      <w:bookmarkEnd w:id="18"/>
      <w:bookmarkEnd w:id="19"/>
    </w:p>
    <w:p>
      <w:pPr>
        <w:pStyle w:val="Normal"/>
        <w:ind w:firstLine="360"/>
        <w:jc w:val="both"/>
        <w:rPr>
          <w:highlight w:val="none"/>
          <w:shd w:fill="auto" w:val="clear"/>
        </w:rPr>
      </w:pPr>
      <w:r>
        <w:rPr>
          <w:rFonts w:eastAsia="Calibri"/>
          <w:shd w:fill="auto" w:val="clear"/>
        </w:rPr>
        <w:t>ПК МЭ и СОВ должен обеспечивать следующие функции безопасности:</w:t>
      </w:r>
    </w:p>
    <w:p>
      <w:pPr>
        <w:pStyle w:val="Style94"/>
        <w:numPr>
          <w:ilvl w:val="0"/>
          <w:numId w:val="12"/>
        </w:numPr>
        <w:rPr>
          <w:highlight w:val="none"/>
          <w:shd w:fill="auto" w:val="clear"/>
        </w:rPr>
      </w:pPr>
      <w:r>
        <w:rPr>
          <w:rFonts w:eastAsia="Calibri"/>
          <w:shd w:fill="auto" w:val="clear"/>
        </w:rPr>
        <w:t>обнаружение компьютерных атак на основе эвристического и сигнатурного метода;</w:t>
      </w:r>
    </w:p>
    <w:p>
      <w:pPr>
        <w:pStyle w:val="Style94"/>
        <w:numPr>
          <w:ilvl w:val="0"/>
          <w:numId w:val="12"/>
        </w:numPr>
        <w:rPr>
          <w:highlight w:val="none"/>
          <w:shd w:fill="auto" w:val="clear"/>
        </w:rPr>
      </w:pPr>
      <w:r>
        <w:rPr>
          <w:rFonts w:eastAsia="Calibri"/>
          <w:shd w:fill="auto" w:val="clear"/>
        </w:rPr>
        <w:t>блокировку подозрительной активности, выявленной модулем обнаружения вторжений;</w:t>
      </w:r>
    </w:p>
    <w:p>
      <w:pPr>
        <w:pStyle w:val="Style94"/>
        <w:numPr>
          <w:ilvl w:val="0"/>
          <w:numId w:val="12"/>
        </w:numPr>
        <w:rPr>
          <w:highlight w:val="none"/>
          <w:shd w:fill="auto" w:val="clear"/>
        </w:rPr>
      </w:pPr>
      <w:r>
        <w:rPr>
          <w:rFonts w:eastAsia="Calibri"/>
          <w:shd w:fill="auto" w:val="clear"/>
        </w:rPr>
        <w:t>контроль и фильтрацию входящего и исходящего трафика;</w:t>
      </w:r>
    </w:p>
    <w:p>
      <w:pPr>
        <w:pStyle w:val="Style94"/>
        <w:numPr>
          <w:ilvl w:val="0"/>
          <w:numId w:val="12"/>
        </w:numPr>
        <w:rPr>
          <w:highlight w:val="none"/>
          <w:shd w:fill="auto" w:val="clear"/>
        </w:rPr>
      </w:pPr>
      <w:r>
        <w:rPr>
          <w:rFonts w:eastAsia="Calibri"/>
          <w:shd w:fill="auto" w:val="clear"/>
        </w:rPr>
        <w:t>управление установкой и запуском приложений на основе чёрных и белых списков программного обеспечения;</w:t>
      </w:r>
    </w:p>
    <w:p>
      <w:pPr>
        <w:pStyle w:val="Style94"/>
        <w:numPr>
          <w:ilvl w:val="0"/>
          <w:numId w:val="12"/>
        </w:numPr>
        <w:rPr>
          <w:highlight w:val="none"/>
          <w:shd w:fill="auto" w:val="clear"/>
        </w:rPr>
      </w:pPr>
      <w:r>
        <w:rPr>
          <w:rFonts w:eastAsia="Calibri"/>
          <w:shd w:fill="auto" w:val="clear"/>
        </w:rPr>
        <w:t>выявление аномальных действий на рабочих станциях;</w:t>
      </w:r>
    </w:p>
    <w:p>
      <w:pPr>
        <w:pStyle w:val="Style94"/>
        <w:numPr>
          <w:ilvl w:val="0"/>
          <w:numId w:val="12"/>
        </w:numPr>
        <w:rPr>
          <w:highlight w:val="none"/>
          <w:shd w:fill="auto" w:val="clear"/>
        </w:rPr>
      </w:pPr>
      <w:r>
        <w:rPr>
          <w:rFonts w:eastAsia="Calibri"/>
          <w:shd w:fill="auto" w:val="clear"/>
        </w:rPr>
        <w:t>выявление и блокировку признаков вредоносного ПО.</w:t>
      </w:r>
    </w:p>
    <w:p>
      <w:pPr>
        <w:pStyle w:val="ListParagraph"/>
        <w:numPr>
          <w:ilvl w:val="1"/>
          <w:numId w:val="11"/>
        </w:numPr>
        <w:spacing w:before="280" w:after="0"/>
        <w:contextualSpacing/>
        <w:jc w:val="both"/>
        <w:rPr>
          <w:highlight w:val="none"/>
          <w:shd w:fill="auto" w:val="clear"/>
        </w:rPr>
      </w:pPr>
      <w:bookmarkStart w:id="20" w:name="_Toc182579952"/>
      <w:r>
        <w:rPr>
          <w:rFonts w:eastAsia="Calibri"/>
          <w:b/>
          <w:shd w:fill="auto" w:val="clear"/>
          <w:lang w:eastAsia="ar-SA"/>
        </w:rPr>
        <w:t>Функциональные требования к Агенту Linux</w:t>
      </w:r>
      <w:bookmarkEnd w:id="20"/>
    </w:p>
    <w:p>
      <w:pPr>
        <w:pStyle w:val="Normal"/>
        <w:ind w:firstLine="360"/>
        <w:jc w:val="both"/>
        <w:rPr>
          <w:highlight w:val="none"/>
          <w:shd w:fill="auto" w:val="clear"/>
        </w:rPr>
      </w:pPr>
      <w:r>
        <w:rPr>
          <w:rFonts w:eastAsia="Calibri"/>
          <w:shd w:fill="auto" w:val="clear"/>
        </w:rPr>
        <w:t>Агент Linux должен реализовывать следующие функциональные возможности:</w:t>
      </w:r>
    </w:p>
    <w:p>
      <w:pPr>
        <w:pStyle w:val="Style94"/>
        <w:numPr>
          <w:ilvl w:val="0"/>
          <w:numId w:val="12"/>
        </w:numPr>
        <w:rPr>
          <w:highlight w:val="none"/>
          <w:shd w:fill="auto" w:val="clear"/>
        </w:rPr>
      </w:pPr>
      <w:r>
        <w:rPr>
          <w:rFonts w:eastAsia="Calibri"/>
          <w:shd w:fill="auto" w:val="clear"/>
        </w:rPr>
        <w:t>фильтрация сетевого трафика при перемещении информации, контролируемой продуктом, к узлам информационной системы (далее – ИС) и от них;</w:t>
      </w:r>
    </w:p>
    <w:p>
      <w:pPr>
        <w:pStyle w:val="Style94"/>
        <w:numPr>
          <w:ilvl w:val="0"/>
          <w:numId w:val="12"/>
        </w:numPr>
        <w:rPr>
          <w:highlight w:val="none"/>
          <w:shd w:fill="auto" w:val="clear"/>
        </w:rPr>
      </w:pPr>
      <w:r>
        <w:rPr>
          <w:rFonts w:eastAsia="Calibri"/>
          <w:shd w:fill="auto" w:val="clear"/>
        </w:rPr>
        <w:t xml:space="preserve">фильтрация сетевого трафика, основанная на следующих атрибутах: </w:t>
      </w:r>
    </w:p>
    <w:p>
      <w:pPr>
        <w:pStyle w:val="Style94"/>
        <w:rPr>
          <w:highlight w:val="none"/>
          <w:shd w:fill="auto" w:val="clear"/>
        </w:rPr>
      </w:pPr>
      <w:r>
        <w:rPr>
          <w:shd w:fill="auto" w:val="clear"/>
        </w:rPr>
        <w:t xml:space="preserve">сетевой адрес узла отправителя; </w:t>
      </w:r>
    </w:p>
    <w:p>
      <w:pPr>
        <w:pStyle w:val="Style94"/>
        <w:rPr>
          <w:highlight w:val="none"/>
          <w:shd w:fill="auto" w:val="clear"/>
        </w:rPr>
      </w:pPr>
      <w:r>
        <w:rPr>
          <w:shd w:fill="auto" w:val="clear"/>
        </w:rPr>
        <w:t>сетевой адрес узла получателя;</w:t>
      </w:r>
    </w:p>
    <w:p>
      <w:pPr>
        <w:pStyle w:val="Style94"/>
        <w:rPr>
          <w:highlight w:val="none"/>
          <w:shd w:fill="auto" w:val="clear"/>
        </w:rPr>
      </w:pPr>
      <w:r>
        <w:rPr>
          <w:shd w:fill="auto" w:val="clear"/>
        </w:rPr>
        <w:t xml:space="preserve">сетевой протокол, который используется для взаимодействия; </w:t>
      </w:r>
    </w:p>
    <w:p>
      <w:pPr>
        <w:pStyle w:val="Style94"/>
        <w:rPr>
          <w:highlight w:val="none"/>
          <w:shd w:fill="auto" w:val="clear"/>
        </w:rPr>
      </w:pPr>
      <w:r>
        <w:rPr>
          <w:shd w:fill="auto" w:val="clear"/>
        </w:rPr>
        <w:t xml:space="preserve">транспортный протокол, который используется для взаимодействия; </w:t>
      </w:r>
    </w:p>
    <w:p>
      <w:pPr>
        <w:pStyle w:val="Style94"/>
        <w:rPr>
          <w:highlight w:val="none"/>
          <w:shd w:fill="auto" w:val="clear"/>
        </w:rPr>
      </w:pPr>
      <w:r>
        <w:rPr>
          <w:shd w:fill="auto" w:val="clear"/>
        </w:rPr>
        <w:t xml:space="preserve">порты источника и получателя в рамках сеанса (сессии); </w:t>
      </w:r>
    </w:p>
    <w:p>
      <w:pPr>
        <w:pStyle w:val="Style94"/>
        <w:rPr>
          <w:highlight w:val="none"/>
          <w:shd w:fill="auto" w:val="clear"/>
        </w:rPr>
      </w:pPr>
      <w:r>
        <w:rPr>
          <w:shd w:fill="auto" w:val="clear"/>
        </w:rPr>
        <w:t xml:space="preserve">разрешенные (запрещенные) команды; </w:t>
      </w:r>
    </w:p>
    <w:p>
      <w:pPr>
        <w:pStyle w:val="Style94"/>
        <w:rPr>
          <w:highlight w:val="none"/>
          <w:shd w:fill="auto" w:val="clear"/>
        </w:rPr>
      </w:pPr>
      <w:r>
        <w:rPr>
          <w:shd w:fill="auto" w:val="clear"/>
        </w:rPr>
        <w:t xml:space="preserve">разрешенный (запрещенный) мобильный код; </w:t>
      </w:r>
    </w:p>
    <w:p>
      <w:pPr>
        <w:pStyle w:val="Style94"/>
        <w:rPr>
          <w:highlight w:val="none"/>
          <w:shd w:fill="auto" w:val="clear"/>
        </w:rPr>
      </w:pPr>
      <w:r>
        <w:rPr>
          <w:shd w:fill="auto" w:val="clear"/>
        </w:rPr>
        <w:t>разрешенные (запрещенные) протоколы прикладного уровня;</w:t>
      </w:r>
    </w:p>
    <w:p>
      <w:pPr>
        <w:pStyle w:val="Style94"/>
        <w:numPr>
          <w:ilvl w:val="0"/>
          <w:numId w:val="12"/>
        </w:numPr>
        <w:rPr>
          <w:highlight w:val="none"/>
          <w:shd w:fill="auto" w:val="clear"/>
        </w:rPr>
      </w:pPr>
      <w:r>
        <w:rPr>
          <w:rFonts w:eastAsia="Calibri"/>
          <w:shd w:fill="auto" w:val="clear"/>
        </w:rPr>
        <w:t>явное разрешение и запрет информационного потока, базирующиеся на устанавливаемом администратором ПК МЭ и СОВ наборе правил фильтрации, основанном на идентифицированных атрибутах;</w:t>
      </w:r>
    </w:p>
    <w:p>
      <w:pPr>
        <w:pStyle w:val="Style94"/>
        <w:numPr>
          <w:ilvl w:val="0"/>
          <w:numId w:val="12"/>
        </w:numPr>
        <w:rPr>
          <w:highlight w:val="none"/>
          <w:shd w:fill="auto" w:val="clear"/>
        </w:rPr>
      </w:pPr>
      <w:r>
        <w:rPr>
          <w:rFonts w:eastAsia="Calibri"/>
          <w:shd w:fill="auto" w:val="clear"/>
        </w:rPr>
        <w:t>проверка каждого пакета по таблице состояний для определения того, не противоречит ли состояние (статус, тип) пакета ожидаемому состоянию;</w:t>
      </w:r>
    </w:p>
    <w:p>
      <w:pPr>
        <w:pStyle w:val="Style94"/>
        <w:numPr>
          <w:ilvl w:val="0"/>
          <w:numId w:val="12"/>
        </w:numPr>
        <w:rPr>
          <w:highlight w:val="none"/>
          <w:shd w:fill="auto" w:val="clear"/>
        </w:rPr>
      </w:pPr>
      <w:r>
        <w:rPr>
          <w:rFonts w:eastAsia="Calibri"/>
          <w:shd w:fill="auto" w:val="clear"/>
        </w:rPr>
        <w:t>проверка использования сетевых ресурсов, содержащих мобильный код, для которого администратором ПК МЭ и СОВ установлены разрешительные или запретительные атрибуты безопасности;</w:t>
      </w:r>
    </w:p>
    <w:p>
      <w:pPr>
        <w:pStyle w:val="Style94"/>
        <w:numPr>
          <w:ilvl w:val="0"/>
          <w:numId w:val="12"/>
        </w:numPr>
        <w:rPr>
          <w:highlight w:val="none"/>
          <w:shd w:fill="auto" w:val="clear"/>
        </w:rPr>
      </w:pPr>
      <w:r>
        <w:rPr>
          <w:rFonts w:eastAsia="Calibri"/>
          <w:shd w:fill="auto" w:val="clear"/>
        </w:rPr>
        <w:t>разрешение и запрет информационного потока, основывающиеся на результатах проверок;</w:t>
      </w:r>
    </w:p>
    <w:p>
      <w:pPr>
        <w:pStyle w:val="Style94"/>
        <w:numPr>
          <w:ilvl w:val="0"/>
          <w:numId w:val="12"/>
        </w:numPr>
        <w:rPr>
          <w:highlight w:val="none"/>
          <w:shd w:fill="auto" w:val="clear"/>
        </w:rPr>
      </w:pPr>
      <w:r>
        <w:rPr>
          <w:rFonts w:eastAsia="Calibri"/>
          <w:shd w:fill="auto" w:val="clear"/>
        </w:rPr>
        <w:t>фильтрация пакетов с учетом управляющих команд от взаимодействующих средств защиты информации (далее – СЗИ) других видов, в том числе на основании атрибутов, указывающих на признаки нарушения безопасности в информации сетевого трафика;</w:t>
      </w:r>
    </w:p>
    <w:p>
      <w:pPr>
        <w:pStyle w:val="Style94"/>
        <w:numPr>
          <w:ilvl w:val="0"/>
          <w:numId w:val="12"/>
        </w:numPr>
        <w:rPr>
          <w:highlight w:val="none"/>
          <w:shd w:fill="auto" w:val="clear"/>
        </w:rPr>
      </w:pPr>
      <w:r>
        <w:rPr>
          <w:rFonts w:eastAsia="Calibri"/>
          <w:shd w:fill="auto" w:val="clear"/>
        </w:rPr>
        <w:t>разрешение и запрет информационного потока, если значения атрибутов безопасности, установленные взаимодействующими СЗИ для контролируемого сетевого трафика, указывают на отсутствие или наличие нарушений безопасности информации;</w:t>
      </w:r>
    </w:p>
    <w:p>
      <w:pPr>
        <w:pStyle w:val="Style94"/>
        <w:numPr>
          <w:ilvl w:val="0"/>
          <w:numId w:val="12"/>
        </w:numPr>
        <w:rPr>
          <w:highlight w:val="none"/>
          <w:shd w:fill="auto" w:val="clear"/>
        </w:rPr>
      </w:pPr>
      <w:r>
        <w:rPr>
          <w:rFonts w:eastAsia="Calibri"/>
          <w:shd w:fill="auto" w:val="clear"/>
        </w:rPr>
        <w:t xml:space="preserve">согласованная интерпретация управляющих команд, атрибутов сетевого трафика и иных данных, а также поддержка правил интерпретации данных, получаемых от взаимодействующих с продуктом СЗИ других видов; </w:t>
      </w:r>
    </w:p>
    <w:p>
      <w:pPr>
        <w:pStyle w:val="Style94"/>
        <w:numPr>
          <w:ilvl w:val="0"/>
          <w:numId w:val="12"/>
        </w:numPr>
        <w:rPr>
          <w:highlight w:val="none"/>
          <w:shd w:fill="auto" w:val="clear"/>
        </w:rPr>
      </w:pPr>
      <w:r>
        <w:rPr>
          <w:rFonts w:eastAsia="Calibri"/>
          <w:shd w:fill="auto" w:val="clear"/>
        </w:rPr>
        <w:t>регистрация и учет выполнения проверок информации сетевого трафика;</w:t>
      </w:r>
    </w:p>
    <w:p>
      <w:pPr>
        <w:pStyle w:val="Style94"/>
        <w:numPr>
          <w:ilvl w:val="0"/>
          <w:numId w:val="12"/>
        </w:numPr>
        <w:rPr>
          <w:highlight w:val="none"/>
          <w:shd w:fill="auto" w:val="clear"/>
        </w:rPr>
      </w:pPr>
      <w:r>
        <w:rPr>
          <w:rFonts w:eastAsia="Calibri"/>
          <w:shd w:fill="auto" w:val="clear"/>
        </w:rPr>
        <w:t>фиксация факта обнаружения вторжений или нарушений безопасности в журналах аудита;</w:t>
      </w:r>
    </w:p>
    <w:p>
      <w:pPr>
        <w:pStyle w:val="Style94"/>
        <w:numPr>
          <w:ilvl w:val="0"/>
          <w:numId w:val="12"/>
        </w:numPr>
        <w:rPr>
          <w:highlight w:val="none"/>
          <w:shd w:fill="auto" w:val="clear"/>
        </w:rPr>
      </w:pPr>
      <w:r>
        <w:rPr>
          <w:rFonts w:eastAsia="Calibri"/>
          <w:shd w:fill="auto" w:val="clear"/>
        </w:rPr>
        <w:t>регистрация возникновения событий, которые включены в базовый уровень аудита в соответствии с национальным стандартом Российской Федерации ГОСТ Р ИСО/МЭК 15408</w:t>
        <w:noBreakHyphen/>
        <w:t>2</w:t>
        <w:noBreakHyphen/>
        <w:t>2013 «Информационная технология. Методы и средства обеспечения безопасности. Критерии оценки безопасности информационных технологий. Часть 2. Функциональные компоненты безопасности»;</w:t>
      </w:r>
    </w:p>
    <w:p>
      <w:pPr>
        <w:pStyle w:val="Style94"/>
        <w:numPr>
          <w:ilvl w:val="0"/>
          <w:numId w:val="12"/>
        </w:numPr>
        <w:rPr>
          <w:highlight w:val="none"/>
          <w:shd w:fill="auto" w:val="clear"/>
        </w:rPr>
      </w:pPr>
      <w:r>
        <w:rPr>
          <w:rFonts w:eastAsia="Calibri"/>
          <w:shd w:fill="auto" w:val="clear"/>
        </w:rPr>
        <w:t>генерация записей аудита для событий, потенциально подвергаемых аудиту;</w:t>
      </w:r>
    </w:p>
    <w:p>
      <w:pPr>
        <w:pStyle w:val="Style94"/>
        <w:numPr>
          <w:ilvl w:val="0"/>
          <w:numId w:val="12"/>
        </w:numPr>
        <w:rPr>
          <w:highlight w:val="none"/>
          <w:shd w:fill="auto" w:val="clear"/>
        </w:rPr>
      </w:pPr>
      <w:r>
        <w:rPr>
          <w:rFonts w:eastAsia="Calibri"/>
          <w:shd w:fill="auto" w:val="clear"/>
        </w:rPr>
        <w:t>ассоциация каждого события аудита с идентификатором субъекта, его инициировавшего;</w:t>
      </w:r>
    </w:p>
    <w:p>
      <w:pPr>
        <w:pStyle w:val="Style94"/>
        <w:numPr>
          <w:ilvl w:val="0"/>
          <w:numId w:val="12"/>
        </w:numPr>
        <w:rPr>
          <w:highlight w:val="none"/>
          <w:shd w:fill="auto" w:val="clear"/>
        </w:rPr>
      </w:pPr>
      <w:r>
        <w:rPr>
          <w:rFonts w:eastAsia="Calibri"/>
          <w:shd w:fill="auto" w:val="clear"/>
        </w:rPr>
        <w:t>ограничение доступа к чтению записей аудита;</w:t>
      </w:r>
    </w:p>
    <w:p>
      <w:pPr>
        <w:pStyle w:val="Style94"/>
        <w:numPr>
          <w:ilvl w:val="0"/>
          <w:numId w:val="12"/>
        </w:numPr>
        <w:rPr>
          <w:highlight w:val="none"/>
          <w:shd w:fill="auto" w:val="clear"/>
        </w:rPr>
      </w:pPr>
      <w:r>
        <w:rPr>
          <w:rFonts w:eastAsia="Calibri"/>
          <w:shd w:fill="auto" w:val="clear"/>
        </w:rPr>
        <w:t>выбор совокупности событий, подвергающихся аудиту, из совокупности событий, в отношении которых возможно осуществление аудита;</w:t>
      </w:r>
    </w:p>
    <w:p>
      <w:pPr>
        <w:pStyle w:val="Style94"/>
        <w:numPr>
          <w:ilvl w:val="0"/>
          <w:numId w:val="12"/>
        </w:numPr>
        <w:rPr>
          <w:highlight w:val="none"/>
          <w:shd w:fill="auto" w:val="clear"/>
        </w:rPr>
      </w:pPr>
      <w:r>
        <w:rPr>
          <w:rFonts w:eastAsia="Calibri"/>
          <w:shd w:fill="auto" w:val="clear"/>
        </w:rPr>
        <w:t>выявление модификаций записей аудита, защиты хранимых записей аудита от несанкционированного удаления, а также поддержка сохранности записей аудита при переполнении журнала аудита или сбое;</w:t>
      </w:r>
    </w:p>
    <w:p>
      <w:pPr>
        <w:pStyle w:val="Style94"/>
        <w:numPr>
          <w:ilvl w:val="0"/>
          <w:numId w:val="12"/>
        </w:numPr>
        <w:rPr>
          <w:highlight w:val="none"/>
          <w:shd w:fill="auto" w:val="clear"/>
        </w:rPr>
      </w:pPr>
      <w:r>
        <w:rPr>
          <w:rFonts w:eastAsia="Calibri"/>
          <w:shd w:fill="auto" w:val="clear"/>
        </w:rPr>
        <w:t>регистрация событий (журнал аудита, журнал трафика, журнал событий безопасности);</w:t>
      </w:r>
    </w:p>
    <w:p>
      <w:pPr>
        <w:pStyle w:val="Style94"/>
        <w:numPr>
          <w:ilvl w:val="0"/>
          <w:numId w:val="12"/>
        </w:numPr>
        <w:rPr>
          <w:highlight w:val="none"/>
          <w:shd w:fill="auto" w:val="clear"/>
        </w:rPr>
      </w:pPr>
      <w:r>
        <w:rPr>
          <w:rFonts w:eastAsia="Calibri"/>
          <w:shd w:fill="auto" w:val="clear"/>
        </w:rPr>
        <w:t>ротация событий;</w:t>
      </w:r>
    </w:p>
    <w:p>
      <w:pPr>
        <w:pStyle w:val="Style94"/>
        <w:numPr>
          <w:ilvl w:val="0"/>
          <w:numId w:val="12"/>
        </w:numPr>
        <w:rPr>
          <w:highlight w:val="none"/>
          <w:shd w:fill="auto" w:val="clear"/>
        </w:rPr>
      </w:pPr>
      <w:r>
        <w:rPr>
          <w:rFonts w:eastAsia="Calibri"/>
          <w:shd w:fill="auto" w:val="clear"/>
        </w:rPr>
        <w:t>избирательный и выборочный аудит событий;</w:t>
      </w:r>
    </w:p>
    <w:p>
      <w:pPr>
        <w:pStyle w:val="Style94"/>
        <w:numPr>
          <w:ilvl w:val="0"/>
          <w:numId w:val="12"/>
        </w:numPr>
        <w:rPr>
          <w:highlight w:val="none"/>
          <w:shd w:fill="auto" w:val="clear"/>
        </w:rPr>
      </w:pPr>
      <w:r>
        <w:rPr>
          <w:rFonts w:eastAsia="Calibri"/>
          <w:shd w:fill="auto" w:val="clear"/>
        </w:rPr>
        <w:t>идентификация и аутентификация администратора до разрешения любого действия по администрированию, выполняемого при посредничестве ПК МЭ и СОВ от имени этого администратора;</w:t>
      </w:r>
    </w:p>
    <w:p>
      <w:pPr>
        <w:pStyle w:val="Style94"/>
        <w:numPr>
          <w:ilvl w:val="0"/>
          <w:numId w:val="12"/>
        </w:numPr>
        <w:rPr>
          <w:highlight w:val="none"/>
          <w:shd w:fill="auto" w:val="clear"/>
        </w:rPr>
      </w:pPr>
      <w:r>
        <w:rPr>
          <w:rFonts w:eastAsia="Calibri"/>
          <w:shd w:fill="auto" w:val="clear"/>
        </w:rPr>
        <w:t>проверка паролей на доступ к продукту на предмет соответствия метрике качества;</w:t>
      </w:r>
    </w:p>
    <w:p>
      <w:pPr>
        <w:pStyle w:val="Style94"/>
        <w:numPr>
          <w:ilvl w:val="0"/>
          <w:numId w:val="12"/>
        </w:numPr>
        <w:rPr>
          <w:highlight w:val="none"/>
          <w:shd w:fill="auto" w:val="clear"/>
        </w:rPr>
      </w:pPr>
      <w:r>
        <w:rPr>
          <w:rFonts w:eastAsia="Calibri"/>
          <w:shd w:fill="auto" w:val="clear"/>
        </w:rPr>
        <w:t>обнаружение неуспешных попыток аутентификации пользователей и блокирование для данного пользователя доступа к ПК МЭ и СОВ при достижении определенного числа неуспешных попыток аутентификации;</w:t>
      </w:r>
    </w:p>
    <w:p>
      <w:pPr>
        <w:pStyle w:val="Style94"/>
        <w:numPr>
          <w:ilvl w:val="0"/>
          <w:numId w:val="12"/>
        </w:numPr>
        <w:rPr>
          <w:highlight w:val="none"/>
          <w:shd w:fill="auto" w:val="clear"/>
        </w:rPr>
      </w:pPr>
      <w:r>
        <w:rPr>
          <w:rFonts w:eastAsia="Calibri"/>
          <w:shd w:fill="auto" w:val="clear"/>
        </w:rPr>
        <w:t>поддержка для каждого пользователя следующего списка атрибутов безопасности: идентификатор пользователя (логин), пароль, связь пользователя с ролью;</w:t>
      </w:r>
    </w:p>
    <w:p>
      <w:pPr>
        <w:pStyle w:val="Style94"/>
        <w:numPr>
          <w:ilvl w:val="0"/>
          <w:numId w:val="12"/>
        </w:numPr>
        <w:rPr>
          <w:highlight w:val="none"/>
          <w:shd w:fill="auto" w:val="clear"/>
        </w:rPr>
      </w:pPr>
      <w:r>
        <w:rPr>
          <w:rFonts w:eastAsia="Calibri"/>
          <w:shd w:fill="auto" w:val="clear"/>
        </w:rPr>
        <w:t>идентификация и аутентификация пользователей с использованием стойкого пароля;</w:t>
      </w:r>
    </w:p>
    <w:p>
      <w:pPr>
        <w:pStyle w:val="Style94"/>
        <w:numPr>
          <w:ilvl w:val="0"/>
          <w:numId w:val="12"/>
        </w:numPr>
        <w:rPr>
          <w:highlight w:val="none"/>
          <w:shd w:fill="auto" w:val="clear"/>
        </w:rPr>
      </w:pPr>
      <w:r>
        <w:rPr>
          <w:rFonts w:eastAsia="Calibri"/>
          <w:shd w:fill="auto" w:val="clear"/>
        </w:rPr>
        <w:t>разграничение доступа к управлению продуктом путем назначения определенных ролей по управлению ПК МЭ и СОВ;</w:t>
      </w:r>
    </w:p>
    <w:p>
      <w:pPr>
        <w:pStyle w:val="Style94"/>
        <w:numPr>
          <w:ilvl w:val="0"/>
          <w:numId w:val="12"/>
        </w:numPr>
        <w:rPr>
          <w:highlight w:val="none"/>
          <w:shd w:fill="auto" w:val="clear"/>
        </w:rPr>
      </w:pPr>
      <w:r>
        <w:rPr>
          <w:rFonts w:eastAsia="Calibri"/>
          <w:shd w:fill="auto" w:val="clear"/>
        </w:rPr>
        <w:t>поддержка определенных ролей для продукта и их ассоциации с конкретными администраторами ПК МЭ и СОВ и пользователями ИС;</w:t>
      </w:r>
    </w:p>
    <w:p>
      <w:pPr>
        <w:pStyle w:val="Style94"/>
        <w:numPr>
          <w:ilvl w:val="0"/>
          <w:numId w:val="12"/>
        </w:numPr>
        <w:rPr>
          <w:highlight w:val="none"/>
          <w:shd w:fill="auto" w:val="clear"/>
        </w:rPr>
      </w:pPr>
      <w:r>
        <w:rPr>
          <w:rFonts w:eastAsia="Calibri"/>
          <w:shd w:fill="auto" w:val="clear"/>
        </w:rPr>
        <w:t xml:space="preserve">ведение для каждого типа мест расположения узла с установленным ПК МЭ и СОВ </w:t>
      </w:r>
      <w:r>
        <w:rPr>
          <w:rFonts w:eastAsia="Calibri"/>
          <w:shd w:fill="auto" w:val="clear"/>
        </w:rPr>
        <w:fldChar w:fldCharType="begin"/>
      </w:r>
      <w:r>
        <w:rPr>
          <w:rFonts w:eastAsia="Calibri"/>
          <w:shd w:fill="auto" w:val="clear"/>
        </w:rPr>
        <w:instrText xml:space="preserve"> DOCPROPERTY "СНП"</w:instrText>
      </w:r>
      <w:r>
        <w:rPr>
          <w:rFonts w:eastAsia="Calibri"/>
          <w:shd w:fill="auto" w:val="clear"/>
        </w:rPr>
        <w:fldChar w:fldCharType="separate"/>
      </w:r>
      <w:r>
        <w:rPr>
          <w:rFonts w:eastAsia="Calibri"/>
          <w:shd w:fill="auto" w:val="clear"/>
        </w:rPr>
      </w:r>
      <w:r>
        <w:rPr>
          <w:rFonts w:eastAsia="Calibri"/>
          <w:shd w:fill="auto" w:val="clear"/>
        </w:rPr>
        <w:fldChar w:fldCharType="end"/>
      </w:r>
      <w:r>
        <w:rPr>
          <w:rFonts w:eastAsia="Calibri"/>
          <w:shd w:fill="auto" w:val="clear"/>
        </w:rPr>
        <w:t>отдельных профилей проверок;</w:t>
      </w:r>
    </w:p>
    <w:p>
      <w:pPr>
        <w:pStyle w:val="Style94"/>
        <w:numPr>
          <w:ilvl w:val="0"/>
          <w:numId w:val="12"/>
        </w:numPr>
        <w:rPr>
          <w:highlight w:val="none"/>
          <w:shd w:fill="auto" w:val="clear"/>
        </w:rPr>
      </w:pPr>
      <w:r>
        <w:rPr>
          <w:rFonts w:eastAsia="Calibri"/>
          <w:shd w:fill="auto" w:val="clear"/>
        </w:rPr>
        <w:t>изменение области значений информации состояния соединения, доступное администратору ПК МЭ и СОВ;</w:t>
      </w:r>
    </w:p>
    <w:p>
      <w:pPr>
        <w:pStyle w:val="Style94"/>
        <w:numPr>
          <w:ilvl w:val="0"/>
          <w:numId w:val="12"/>
        </w:numPr>
        <w:rPr>
          <w:highlight w:val="none"/>
          <w:shd w:fill="auto" w:val="clear"/>
        </w:rPr>
      </w:pPr>
      <w:r>
        <w:rPr>
          <w:rFonts w:eastAsia="Calibri"/>
          <w:shd w:fill="auto" w:val="clear"/>
        </w:rPr>
        <w:t>присвоение информации состояния соединения только допустимых значений, таких как установление соединения, использование соединения, завершение соединения и других;</w:t>
      </w:r>
    </w:p>
    <w:p>
      <w:pPr>
        <w:pStyle w:val="Style94"/>
        <w:numPr>
          <w:ilvl w:val="0"/>
          <w:numId w:val="12"/>
        </w:numPr>
        <w:rPr>
          <w:highlight w:val="none"/>
          <w:shd w:fill="auto" w:val="clear"/>
        </w:rPr>
      </w:pPr>
      <w:r>
        <w:rPr>
          <w:rFonts w:eastAsia="Calibri"/>
          <w:shd w:fill="auto" w:val="clear"/>
        </w:rPr>
        <w:t>ведение для каждого соединения таблицы состояний на основе информации о состояниях соединения;</w:t>
      </w:r>
    </w:p>
    <w:p>
      <w:pPr>
        <w:pStyle w:val="Style94"/>
        <w:numPr>
          <w:ilvl w:val="0"/>
          <w:numId w:val="12"/>
        </w:numPr>
        <w:rPr>
          <w:highlight w:val="none"/>
          <w:shd w:fill="auto" w:val="clear"/>
        </w:rPr>
      </w:pPr>
      <w:r>
        <w:rPr>
          <w:rFonts w:eastAsia="Calibri"/>
          <w:shd w:fill="auto" w:val="clear"/>
        </w:rPr>
        <w:t xml:space="preserve">назначение, модификация, удаление разрешительных и (или) запретительных атрибутов безопасности для прикладного программного обеспечения (приложений, далее – ПО) с целью последующего осуществления фильтрации, доступные администратору; </w:t>
      </w:r>
    </w:p>
    <w:p>
      <w:pPr>
        <w:pStyle w:val="Style94"/>
        <w:numPr>
          <w:ilvl w:val="0"/>
          <w:numId w:val="12"/>
        </w:numPr>
        <w:rPr>
          <w:highlight w:val="none"/>
          <w:shd w:fill="auto" w:val="clear"/>
        </w:rPr>
      </w:pPr>
      <w:r>
        <w:rPr>
          <w:rFonts w:eastAsia="Calibri"/>
          <w:shd w:fill="auto" w:val="clear"/>
        </w:rPr>
        <w:t xml:space="preserve">модификация, удаление разрешительных и (или) запретительных атрибутов безопасности использования сетевых ресурсов, содержащих отдельные типы мобильного кода с целью последующего осуществления фильтрации, доступные администратору; </w:t>
      </w:r>
    </w:p>
    <w:p>
      <w:pPr>
        <w:pStyle w:val="Style94"/>
        <w:numPr>
          <w:ilvl w:val="0"/>
          <w:numId w:val="12"/>
        </w:numPr>
        <w:rPr>
          <w:highlight w:val="none"/>
          <w:shd w:fill="auto" w:val="clear"/>
        </w:rPr>
      </w:pPr>
      <w:r>
        <w:rPr>
          <w:rFonts w:eastAsia="Calibri"/>
          <w:shd w:fill="auto" w:val="clear"/>
        </w:rPr>
        <w:t>тестирование (самотестирование) функций безопасности продукта (контроль целостности исполняемого кода ПК МЭ и СОВ);</w:t>
      </w:r>
    </w:p>
    <w:p>
      <w:pPr>
        <w:pStyle w:val="Style94"/>
        <w:numPr>
          <w:ilvl w:val="0"/>
          <w:numId w:val="12"/>
        </w:numPr>
        <w:rPr>
          <w:highlight w:val="none"/>
          <w:shd w:fill="auto" w:val="clear"/>
        </w:rPr>
      </w:pPr>
      <w:r>
        <w:rPr>
          <w:rFonts w:eastAsia="Calibri"/>
          <w:shd w:fill="auto" w:val="clear"/>
        </w:rPr>
        <w:t>поддержка ролевой модели управления доступом и возможность ассоциации ролей с конкретными пользователями;</w:t>
      </w:r>
    </w:p>
    <w:p>
      <w:pPr>
        <w:pStyle w:val="Style94"/>
        <w:numPr>
          <w:ilvl w:val="0"/>
          <w:numId w:val="12"/>
        </w:numPr>
        <w:rPr>
          <w:highlight w:val="none"/>
          <w:shd w:fill="auto" w:val="clear"/>
        </w:rPr>
      </w:pPr>
      <w:r>
        <w:rPr>
          <w:rFonts w:eastAsia="Calibri"/>
          <w:shd w:fill="auto" w:val="clear"/>
        </w:rPr>
        <w:t>выдача предупреждающих сообщений пользователю ПК МЭ и СОВ при обнаружении возможного нарушения безопасности;</w:t>
      </w:r>
    </w:p>
    <w:p>
      <w:pPr>
        <w:pStyle w:val="Style94"/>
        <w:numPr>
          <w:ilvl w:val="0"/>
          <w:numId w:val="12"/>
        </w:numPr>
        <w:rPr>
          <w:highlight w:val="none"/>
          <w:shd w:fill="auto" w:val="clear"/>
        </w:rPr>
      </w:pPr>
      <w:r>
        <w:rPr>
          <w:rFonts w:eastAsia="Calibri"/>
          <w:shd w:fill="auto" w:val="clear"/>
        </w:rPr>
        <w:t xml:space="preserve">сбор информации: </w:t>
      </w:r>
    </w:p>
    <w:p>
      <w:pPr>
        <w:pStyle w:val="Style94"/>
        <w:rPr>
          <w:highlight w:val="none"/>
          <w:shd w:fill="auto" w:val="clear"/>
        </w:rPr>
      </w:pPr>
      <w:r>
        <w:rPr>
          <w:shd w:fill="auto" w:val="clear"/>
        </w:rPr>
        <w:t xml:space="preserve">о сетевом трафике, проходящем через контролируемые узлы ИС; </w:t>
      </w:r>
    </w:p>
    <w:p>
      <w:pPr>
        <w:pStyle w:val="Style94"/>
        <w:rPr>
          <w:highlight w:val="none"/>
          <w:shd w:fill="auto" w:val="clear"/>
        </w:rPr>
      </w:pPr>
      <w:r>
        <w:rPr>
          <w:shd w:fill="auto" w:val="clear"/>
        </w:rPr>
        <w:t xml:space="preserve">о событиях, регистрируемых в журналах аудита операционной системы (далее – ОС) и прикладного программного обеспечения (далее – ПО); </w:t>
      </w:r>
    </w:p>
    <w:p>
      <w:pPr>
        <w:pStyle w:val="Style94"/>
        <w:rPr>
          <w:highlight w:val="none"/>
          <w:shd w:fill="auto" w:val="clear"/>
        </w:rPr>
      </w:pPr>
      <w:r>
        <w:rPr>
          <w:shd w:fill="auto" w:val="clear"/>
        </w:rPr>
        <w:t xml:space="preserve">о вызове функций; </w:t>
      </w:r>
    </w:p>
    <w:p>
      <w:pPr>
        <w:pStyle w:val="Style94"/>
        <w:rPr>
          <w:highlight w:val="none"/>
          <w:shd w:fill="auto" w:val="clear"/>
        </w:rPr>
      </w:pPr>
      <w:r>
        <w:rPr>
          <w:shd w:fill="auto" w:val="clear"/>
        </w:rPr>
        <w:t>об обращении к ресурсам;</w:t>
      </w:r>
    </w:p>
    <w:p>
      <w:pPr>
        <w:pStyle w:val="Style94"/>
        <w:numPr>
          <w:ilvl w:val="0"/>
          <w:numId w:val="12"/>
        </w:numPr>
        <w:rPr>
          <w:highlight w:val="none"/>
          <w:shd w:fill="auto" w:val="clear"/>
        </w:rPr>
      </w:pPr>
      <w:r>
        <w:rPr>
          <w:rFonts w:eastAsia="Calibri"/>
          <w:shd w:fill="auto" w:val="clear"/>
        </w:rPr>
        <w:t>выполнение анализа собранных данных о сетевом трафике в режиме, близком к реальному времени, и по результатам анализа фиксирование информации о дате и времени, результате анализа, идентификаторе источника данных, протоколе, используемом для проведения вторжения;</w:t>
      </w:r>
    </w:p>
    <w:p>
      <w:pPr>
        <w:pStyle w:val="Style94"/>
        <w:numPr>
          <w:ilvl w:val="0"/>
          <w:numId w:val="12"/>
        </w:numPr>
        <w:rPr>
          <w:highlight w:val="none"/>
          <w:shd w:fill="auto" w:val="clear"/>
        </w:rPr>
      </w:pPr>
      <w:r>
        <w:rPr>
          <w:rFonts w:eastAsia="Calibri"/>
          <w:shd w:fill="auto" w:val="clear"/>
        </w:rPr>
        <w:t>обнаружение вторжений по отношению к контролируемым узлам ИС в режиме, близком к реальному времени, на уровне отдельных узлов;</w:t>
      </w:r>
    </w:p>
    <w:p>
      <w:pPr>
        <w:pStyle w:val="Style94"/>
        <w:numPr>
          <w:ilvl w:val="0"/>
          <w:numId w:val="12"/>
        </w:numPr>
        <w:rPr>
          <w:highlight w:val="none"/>
          <w:shd w:fill="auto" w:val="clear"/>
        </w:rPr>
      </w:pPr>
      <w:r>
        <w:rPr>
          <w:rFonts w:eastAsia="Calibri"/>
          <w:shd w:fill="auto" w:val="clear"/>
        </w:rPr>
        <w:t>предотвращение сетевых вторжений (компьютерных атак) и запрет информационных потоков в автоматизированном режиме;</w:t>
      </w:r>
    </w:p>
    <w:p>
      <w:pPr>
        <w:pStyle w:val="Style94"/>
        <w:numPr>
          <w:ilvl w:val="0"/>
          <w:numId w:val="12"/>
        </w:numPr>
        <w:rPr>
          <w:highlight w:val="none"/>
          <w:shd w:fill="auto" w:val="clear"/>
        </w:rPr>
      </w:pPr>
      <w:r>
        <w:rPr>
          <w:rFonts w:eastAsia="Calibri"/>
          <w:shd w:fill="auto" w:val="clear"/>
        </w:rPr>
        <w:t>выполнение анализа собранных данных с целью обнаружения вторжений с использованием сигнатурного и эвристических методов;</w:t>
      </w:r>
    </w:p>
    <w:p>
      <w:pPr>
        <w:pStyle w:val="Style94"/>
        <w:numPr>
          <w:ilvl w:val="0"/>
          <w:numId w:val="12"/>
        </w:numPr>
        <w:rPr>
          <w:highlight w:val="none"/>
          <w:shd w:fill="auto" w:val="clear"/>
        </w:rPr>
      </w:pPr>
      <w:r>
        <w:rPr>
          <w:rFonts w:eastAsia="Calibri"/>
          <w:shd w:fill="auto" w:val="clear"/>
        </w:rPr>
        <w:t>выполнение анализа собранных данных с целью обнаружения вторжений с использованием эвристических методов, основанных на методах выявления аномалий сетевого трафика и аномалий в действиях пользователя на заданном уровне эвристического анализа;</w:t>
      </w:r>
    </w:p>
    <w:p>
      <w:pPr>
        <w:pStyle w:val="Style94"/>
        <w:numPr>
          <w:ilvl w:val="0"/>
          <w:numId w:val="12"/>
        </w:numPr>
        <w:rPr>
          <w:highlight w:val="none"/>
          <w:shd w:fill="auto" w:val="clear"/>
        </w:rPr>
      </w:pPr>
      <w:r>
        <w:rPr>
          <w:rFonts w:eastAsia="Calibri"/>
          <w:shd w:fill="auto" w:val="clear"/>
        </w:rPr>
        <w:t>обнаружение вторжений на основе анализа служебной информации протоколов сетевого уровня базовой эталонной модели взаимосвязи открытых систем;</w:t>
      </w:r>
    </w:p>
    <w:p>
      <w:pPr>
        <w:pStyle w:val="Style94"/>
        <w:numPr>
          <w:ilvl w:val="0"/>
          <w:numId w:val="12"/>
        </w:numPr>
        <w:rPr>
          <w:highlight w:val="none"/>
          <w:shd w:fill="auto" w:val="clear"/>
        </w:rPr>
      </w:pPr>
      <w:r>
        <w:rPr>
          <w:rFonts w:eastAsia="Calibri"/>
          <w:shd w:fill="auto" w:val="clear"/>
        </w:rPr>
        <w:t>автоматизированное и автоматическое обновление базы решающих правил (далее – БРП);</w:t>
      </w:r>
    </w:p>
    <w:p>
      <w:pPr>
        <w:pStyle w:val="Style94"/>
        <w:numPr>
          <w:ilvl w:val="0"/>
          <w:numId w:val="12"/>
        </w:numPr>
        <w:rPr>
          <w:highlight w:val="none"/>
          <w:shd w:fill="auto" w:val="clear"/>
        </w:rPr>
      </w:pPr>
      <w:r>
        <w:rPr>
          <w:rFonts w:eastAsia="Calibri"/>
          <w:shd w:fill="auto" w:val="clear"/>
        </w:rPr>
        <w:t>фильтрация всего входящего и исходящего трафика открытой сети;</w:t>
      </w:r>
    </w:p>
    <w:p>
      <w:pPr>
        <w:pStyle w:val="Style94"/>
        <w:numPr>
          <w:ilvl w:val="0"/>
          <w:numId w:val="12"/>
        </w:numPr>
        <w:rPr>
          <w:highlight w:val="none"/>
          <w:shd w:fill="auto" w:val="clear"/>
        </w:rPr>
      </w:pPr>
      <w:r>
        <w:rPr>
          <w:rFonts w:eastAsia="Calibri"/>
          <w:shd w:fill="auto" w:val="clear"/>
        </w:rPr>
        <w:t>обнаружение файловой активности (отслеживание изменений в каталогах или группах файлов);</w:t>
      </w:r>
    </w:p>
    <w:p>
      <w:pPr>
        <w:pStyle w:val="Style94"/>
        <w:numPr>
          <w:ilvl w:val="0"/>
          <w:numId w:val="12"/>
        </w:numPr>
        <w:rPr>
          <w:highlight w:val="none"/>
          <w:shd w:fill="auto" w:val="clear"/>
        </w:rPr>
      </w:pPr>
      <w:r>
        <w:rPr>
          <w:rFonts w:eastAsia="Calibri"/>
          <w:shd w:fill="auto" w:val="clear"/>
        </w:rPr>
        <w:t>резервное копирование и восстановление конфигурации ПК МЭ и СОВ;</w:t>
      </w:r>
    </w:p>
    <w:p>
      <w:pPr>
        <w:pStyle w:val="Style94"/>
        <w:numPr>
          <w:ilvl w:val="0"/>
          <w:numId w:val="12"/>
        </w:numPr>
        <w:rPr>
          <w:highlight w:val="none"/>
          <w:shd w:fill="auto" w:val="clear"/>
        </w:rPr>
      </w:pPr>
      <w:r>
        <w:rPr>
          <w:rFonts w:eastAsia="Calibri"/>
          <w:shd w:fill="auto" w:val="clear"/>
        </w:rPr>
        <w:t>обнаружение сетевой активности;</w:t>
      </w:r>
    </w:p>
    <w:p>
      <w:pPr>
        <w:pStyle w:val="Style94"/>
        <w:numPr>
          <w:ilvl w:val="0"/>
          <w:numId w:val="12"/>
        </w:numPr>
        <w:rPr>
          <w:highlight w:val="none"/>
          <w:shd w:fill="auto" w:val="clear"/>
        </w:rPr>
      </w:pPr>
      <w:r>
        <w:rPr>
          <w:rFonts w:eastAsia="Calibri"/>
          <w:shd w:fill="auto" w:val="clear"/>
        </w:rPr>
        <w:t>отслеживание создания файлов и вычисление их контрольных сумм;</w:t>
      </w:r>
    </w:p>
    <w:p>
      <w:pPr>
        <w:pStyle w:val="Style94"/>
        <w:numPr>
          <w:ilvl w:val="0"/>
          <w:numId w:val="12"/>
        </w:numPr>
        <w:rPr>
          <w:highlight w:val="none"/>
          <w:shd w:fill="auto" w:val="clear"/>
        </w:rPr>
      </w:pPr>
      <w:r>
        <w:rPr>
          <w:rFonts w:eastAsia="Calibri"/>
          <w:shd w:fill="auto" w:val="clear"/>
        </w:rPr>
        <w:t>импорт и экспорт БРП;</w:t>
      </w:r>
    </w:p>
    <w:p>
      <w:pPr>
        <w:pStyle w:val="Style94"/>
        <w:numPr>
          <w:ilvl w:val="0"/>
          <w:numId w:val="12"/>
        </w:numPr>
        <w:rPr>
          <w:highlight w:val="none"/>
          <w:shd w:fill="auto" w:val="clear"/>
        </w:rPr>
      </w:pPr>
      <w:r>
        <w:rPr>
          <w:rFonts w:eastAsia="Calibri"/>
          <w:shd w:fill="auto" w:val="clear"/>
        </w:rPr>
        <w:t>обнаружение аномальных событий с помощью критериев обнаружения аномалий.</w:t>
      </w:r>
    </w:p>
    <w:p>
      <w:pPr>
        <w:pStyle w:val="ListParagraph"/>
        <w:numPr>
          <w:ilvl w:val="1"/>
          <w:numId w:val="11"/>
        </w:numPr>
        <w:spacing w:before="280" w:after="0"/>
        <w:contextualSpacing/>
        <w:jc w:val="both"/>
        <w:rPr>
          <w:highlight w:val="none"/>
          <w:shd w:fill="auto" w:val="clear"/>
        </w:rPr>
      </w:pPr>
      <w:bookmarkStart w:id="21" w:name="_Toc182579954"/>
      <w:bookmarkStart w:id="22" w:name="_Toc128735162"/>
      <w:r>
        <w:rPr>
          <w:rFonts w:eastAsia="Calibri"/>
          <w:b/>
          <w:shd w:fill="auto" w:val="clear"/>
          <w:lang w:eastAsia="ar-SA"/>
        </w:rPr>
        <w:t>Системные требования</w:t>
      </w:r>
      <w:bookmarkEnd w:id="21"/>
      <w:bookmarkEnd w:id="22"/>
    </w:p>
    <w:p>
      <w:pPr>
        <w:pStyle w:val="Normal"/>
        <w:ind w:firstLine="360"/>
        <w:jc w:val="both"/>
        <w:rPr>
          <w:highlight w:val="none"/>
          <w:shd w:fill="auto" w:val="clear"/>
        </w:rPr>
      </w:pPr>
      <w:r>
        <w:rPr>
          <w:rFonts w:eastAsia="Calibri"/>
          <w:shd w:fill="auto" w:val="clear"/>
        </w:rPr>
        <w:t>Для компонентов ПК МЭ и СОВ должна быть обеспечена возможность функционирования под управлением следующих ОС (64-разрядные):</w:t>
      </w:r>
    </w:p>
    <w:p>
      <w:pPr>
        <w:pStyle w:val="Normal"/>
        <w:ind w:firstLine="360"/>
        <w:jc w:val="both"/>
        <w:rPr>
          <w:highlight w:val="none"/>
          <w:shd w:fill="auto" w:val="clear"/>
        </w:rPr>
      </w:pPr>
      <w:r>
        <w:rPr>
          <w:rFonts w:eastAsia="Calibri"/>
          <w:shd w:fill="auto" w:val="clear"/>
        </w:rPr>
        <w:t>Для Агента Linux:</w:t>
      </w:r>
    </w:p>
    <w:p>
      <w:pPr>
        <w:pStyle w:val="Style94"/>
        <w:numPr>
          <w:ilvl w:val="0"/>
          <w:numId w:val="12"/>
        </w:numPr>
        <w:rPr>
          <w:highlight w:val="none"/>
          <w:shd w:fill="auto" w:val="clear"/>
        </w:rPr>
      </w:pPr>
      <w:r>
        <w:rPr>
          <w:rFonts w:eastAsia="Calibri"/>
          <w:shd w:fill="auto" w:val="clear"/>
          <w:lang w:val="en-US"/>
        </w:rPr>
        <w:t>Astra Linux Special Edition 1.8 (</w:t>
      </w:r>
      <w:r>
        <w:rPr>
          <w:rFonts w:eastAsia="Calibri"/>
          <w:shd w:fill="auto" w:val="clear"/>
        </w:rPr>
        <w:t>РУСБ</w:t>
      </w:r>
      <w:r>
        <w:rPr>
          <w:rFonts w:eastAsia="Calibri"/>
          <w:shd w:fill="auto" w:val="clear"/>
          <w:lang w:val="en-US"/>
        </w:rPr>
        <w:t>.10015-01).</w:t>
      </w:r>
    </w:p>
    <w:p>
      <w:pPr>
        <w:pStyle w:val="ListParagraph"/>
        <w:numPr>
          <w:ilvl w:val="1"/>
          <w:numId w:val="11"/>
        </w:numPr>
        <w:spacing w:before="280" w:after="0"/>
        <w:contextualSpacing/>
        <w:jc w:val="both"/>
        <w:rPr>
          <w:highlight w:val="none"/>
          <w:shd w:fill="auto" w:val="clear"/>
        </w:rPr>
      </w:pPr>
      <w:bookmarkStart w:id="23" w:name="_Toc108444518"/>
      <w:bookmarkStart w:id="24" w:name="_Toc128735163"/>
      <w:bookmarkStart w:id="25" w:name="_Toc182579955"/>
      <w:r>
        <w:rPr>
          <w:rFonts w:eastAsia="Calibri"/>
          <w:b/>
          <w:shd w:fill="auto" w:val="clear"/>
          <w:lang w:eastAsia="ar-SA"/>
        </w:rPr>
        <w:t>Требования к сертификации</w:t>
      </w:r>
      <w:bookmarkEnd w:id="23"/>
      <w:bookmarkEnd w:id="24"/>
      <w:bookmarkEnd w:id="25"/>
    </w:p>
    <w:p>
      <w:pPr>
        <w:pStyle w:val="Normal"/>
        <w:ind w:firstLine="360"/>
        <w:jc w:val="both"/>
        <w:rPr>
          <w:highlight w:val="none"/>
          <w:shd w:fill="auto" w:val="clear"/>
        </w:rPr>
      </w:pPr>
      <w:r>
        <w:rPr>
          <w:rFonts w:eastAsia="Calibri"/>
          <w:shd w:fill="auto" w:val="clear"/>
        </w:rPr>
        <w:t xml:space="preserve">ПК МЭ и СОВ должен соответствовать требованиям руководящих документов: </w:t>
      </w:r>
    </w:p>
    <w:p>
      <w:pPr>
        <w:pStyle w:val="Style94"/>
        <w:numPr>
          <w:ilvl w:val="0"/>
          <w:numId w:val="12"/>
        </w:numPr>
        <w:rPr>
          <w:highlight w:val="none"/>
          <w:shd w:fill="auto" w:val="clear"/>
        </w:rPr>
      </w:pPr>
      <w:r>
        <w:rPr>
          <w:shd w:fill="auto" w:val="clear"/>
        </w:rPr>
        <w:t>«</w:t>
      </w:r>
      <w:r>
        <w:rPr>
          <w:rFonts w:eastAsia="Calibri"/>
          <w:shd w:fill="auto" w:val="clear"/>
        </w:rPr>
        <w:t>Требования к межсетевым экранам» (ФСТЭК России, 2016);</w:t>
      </w:r>
    </w:p>
    <w:p>
      <w:pPr>
        <w:pStyle w:val="Style94"/>
        <w:numPr>
          <w:ilvl w:val="0"/>
          <w:numId w:val="12"/>
        </w:numPr>
        <w:rPr>
          <w:highlight w:val="none"/>
          <w:shd w:fill="auto" w:val="clear"/>
        </w:rPr>
      </w:pPr>
      <w:r>
        <w:rPr>
          <w:rFonts w:eastAsia="Calibri"/>
          <w:shd w:fill="auto" w:val="clear"/>
        </w:rPr>
        <w:t>«Требования к системам обнаружения вторжений» (ФСТЭК России, 2011);</w:t>
      </w:r>
    </w:p>
    <w:p>
      <w:pPr>
        <w:pStyle w:val="Style94"/>
        <w:numPr>
          <w:ilvl w:val="0"/>
          <w:numId w:val="12"/>
        </w:numPr>
        <w:rPr>
          <w:highlight w:val="none"/>
          <w:shd w:fill="auto" w:val="clear"/>
        </w:rPr>
      </w:pPr>
      <w:r>
        <w:rPr>
          <w:rFonts w:eastAsia="Calibri"/>
          <w:shd w:fill="auto" w:val="clear"/>
        </w:rPr>
        <w:t>«Профиль защиты межсетевых экранов типа «В» не ниже пятого класса защиты. ИТ.МЭ.В5.ПЗ» (ФСТЭК России, 2016);</w:t>
      </w:r>
    </w:p>
    <w:p>
      <w:pPr>
        <w:pStyle w:val="Style94"/>
        <w:numPr>
          <w:ilvl w:val="0"/>
          <w:numId w:val="12"/>
        </w:numPr>
        <w:rPr>
          <w:highlight w:val="none"/>
          <w:shd w:fill="auto" w:val="clear"/>
        </w:rPr>
      </w:pPr>
      <w:r>
        <w:rPr>
          <w:rFonts w:eastAsia="Calibri"/>
          <w:shd w:fill="auto" w:val="clear"/>
        </w:rPr>
        <w:t>«Профиль защиты систем обнаружения вторжений уровня узла» не ниже пятого класса защиты. ИТ.СОВ.У5.ПЗ» (ФСТЭК России, 2012);</w:t>
      </w:r>
    </w:p>
    <w:p>
      <w:pPr>
        <w:pStyle w:val="Style94"/>
        <w:numPr>
          <w:ilvl w:val="0"/>
          <w:numId w:val="12"/>
        </w:numPr>
        <w:rPr>
          <w:highlight w:val="none"/>
          <w:shd w:fill="auto" w:val="clear"/>
        </w:rPr>
      </w:pPr>
      <w:r>
        <w:rPr>
          <w:rFonts w:eastAsia="Calibri"/>
          <w:shd w:fill="auto" w:val="clear"/>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 не ниже 5 уровня доверия.</w:t>
      </w:r>
    </w:p>
    <w:p>
      <w:pPr>
        <w:pStyle w:val="ListParagraph"/>
        <w:rPr>
          <w:rFonts w:eastAsia="Calibri"/>
          <w:b/>
          <w:highlight w:val="none"/>
          <w:shd w:fill="auto" w:val="clear"/>
        </w:rPr>
      </w:pPr>
      <w:r>
        <w:rPr>
          <w:rFonts w:eastAsia="Calibri"/>
          <w:b/>
          <w:shd w:fill="auto" w:val="clear"/>
        </w:rPr>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программному комплексу управления VPN-сетью</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 xml:space="preserve">Общие требования </w:t>
      </w:r>
    </w:p>
    <w:p>
      <w:pPr>
        <w:pStyle w:val="Style94"/>
        <w:numPr>
          <w:ilvl w:val="0"/>
          <w:numId w:val="12"/>
        </w:numPr>
        <w:rPr>
          <w:highlight w:val="none"/>
          <w:shd w:fill="auto" w:val="clear"/>
        </w:rPr>
      </w:pPr>
      <w:r>
        <w:rPr>
          <w:rFonts w:eastAsia="Calibri"/>
          <w:shd w:fill="auto" w:val="clear"/>
        </w:rPr>
        <w:t>Срок действия предоставляемой лицензии – бессрочно;</w:t>
      </w:r>
    </w:p>
    <w:p>
      <w:pPr>
        <w:pStyle w:val="Style94"/>
        <w:numPr>
          <w:ilvl w:val="0"/>
          <w:numId w:val="12"/>
        </w:numPr>
        <w:rPr>
          <w:highlight w:val="none"/>
          <w:shd w:fill="auto" w:val="clear"/>
        </w:rPr>
      </w:pPr>
      <w:r>
        <w:rPr>
          <w:rFonts w:eastAsia="Calibri"/>
          <w:shd w:fill="auto" w:val="clear"/>
        </w:rPr>
        <w:t>Производитель обязан предоставлять Заказчику в рамках гарантийной поддержке:</w:t>
      </w:r>
    </w:p>
    <w:p>
      <w:pPr>
        <w:pStyle w:val="Style94"/>
        <w:rPr>
          <w:highlight w:val="none"/>
          <w:shd w:fill="auto" w:val="clear"/>
        </w:rPr>
      </w:pPr>
      <w:r>
        <w:rPr>
          <w:shd w:fill="auto" w:val="clear"/>
        </w:rPr>
        <w:t xml:space="preserve">Обновления (включая </w:t>
      </w:r>
      <w:r>
        <w:rPr>
          <w:shd w:fill="auto" w:val="clear"/>
          <w:lang w:val="en-US"/>
        </w:rPr>
        <w:t>hotfix</w:t>
      </w:r>
      <w:r>
        <w:rPr>
          <w:shd w:fill="auto" w:val="clear"/>
        </w:rPr>
        <w:t xml:space="preserve">, устраняющее дефекты, выявленные в продукте) без дополнительной оплаты в течении </w:t>
      </w:r>
      <w:r>
        <w:rPr>
          <w:b/>
          <w:bCs/>
          <w:shd w:fill="auto" w:val="clear"/>
        </w:rPr>
        <w:t>не менее 12 месяцев</w:t>
      </w:r>
      <w:r>
        <w:rPr>
          <w:shd w:fill="auto" w:val="clear"/>
        </w:rPr>
        <w:t xml:space="preserve"> с даты поставки;</w:t>
      </w:r>
    </w:p>
    <w:p>
      <w:pPr>
        <w:pStyle w:val="Style94"/>
        <w:rPr>
          <w:highlight w:val="none"/>
          <w:shd w:fill="auto" w:val="clear"/>
        </w:rPr>
      </w:pPr>
      <w:r>
        <w:rPr>
          <w:shd w:fill="auto" w:val="clear"/>
        </w:rPr>
        <w:t>Доступ к защищенному репозиторию обновлений;</w:t>
      </w:r>
    </w:p>
    <w:p>
      <w:pPr>
        <w:pStyle w:val="Style94"/>
        <w:rPr>
          <w:highlight w:val="none"/>
          <w:shd w:fill="auto" w:val="clear"/>
        </w:rPr>
      </w:pPr>
      <w:r>
        <w:rPr>
          <w:shd w:fill="auto" w:val="clear"/>
        </w:rPr>
        <w:t xml:space="preserve">Техническую поддержку по электронной почте или через </w:t>
      </w:r>
      <w:r>
        <w:rPr>
          <w:shd w:fill="auto" w:val="clear"/>
          <w:lang w:val="en-US"/>
        </w:rPr>
        <w:t>web</w:t>
      </w:r>
      <w:r>
        <w:rPr>
          <w:shd w:fill="auto" w:val="clear"/>
        </w:rPr>
        <w:t>-форму на сайте Производителя (Время реакции на обращение Заказчика /Головного Заказчика определяется уровнем критичности инцидента, присвоенным при регистрации обращения в службе технической поддержки Производителя, а также видом сертификата технической поддержки).</w:t>
      </w:r>
    </w:p>
    <w:p>
      <w:pPr>
        <w:pStyle w:val="Style94"/>
        <w:numPr>
          <w:ilvl w:val="0"/>
          <w:numId w:val="12"/>
        </w:numPr>
        <w:rPr>
          <w:highlight w:val="none"/>
          <w:shd w:fill="auto" w:val="clear"/>
        </w:rPr>
      </w:pPr>
      <w:r>
        <w:rPr>
          <w:rFonts w:eastAsia="Calibri"/>
          <w:shd w:fill="auto" w:val="clear"/>
        </w:rPr>
        <w:t>Техническая поддержка предоставляется только по продуктам, используемым в строгом соответствии с требованиями эксплуатационной документации, в рекомендованных Производителем операционных система.</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Требования к управлению VPN-сетью</w:t>
      </w:r>
    </w:p>
    <w:p>
      <w:pPr>
        <w:pStyle w:val="Normal"/>
        <w:ind w:firstLine="360"/>
        <w:jc w:val="both"/>
        <w:rPr>
          <w:highlight w:val="none"/>
          <w:shd w:fill="auto" w:val="clear"/>
        </w:rPr>
      </w:pPr>
      <w:r>
        <w:rPr>
          <w:rFonts w:eastAsia="Calibri"/>
          <w:shd w:fill="auto" w:val="clear"/>
        </w:rPr>
        <w:t>Программный комплекс (далее – ПК) управления VPN-сетью должен обеспечивать:</w:t>
      </w:r>
    </w:p>
    <w:p>
      <w:pPr>
        <w:pStyle w:val="Style94"/>
        <w:numPr>
          <w:ilvl w:val="0"/>
          <w:numId w:val="12"/>
        </w:numPr>
        <w:rPr>
          <w:highlight w:val="none"/>
          <w:shd w:fill="auto" w:val="clear"/>
        </w:rPr>
      </w:pPr>
      <w:r>
        <w:rPr>
          <w:rFonts w:eastAsia="Calibri"/>
          <w:shd w:fill="auto" w:val="clear"/>
        </w:rPr>
        <w:t>управление структурой защищенной виртуальной сети (VPN);</w:t>
      </w:r>
    </w:p>
    <w:p>
      <w:pPr>
        <w:pStyle w:val="Style94"/>
        <w:numPr>
          <w:ilvl w:val="0"/>
          <w:numId w:val="12"/>
        </w:numPr>
        <w:rPr>
          <w:highlight w:val="none"/>
          <w:shd w:fill="auto" w:val="clear"/>
        </w:rPr>
      </w:pPr>
      <w:r>
        <w:rPr>
          <w:rFonts w:eastAsia="Calibri"/>
          <w:shd w:fill="auto" w:val="clear"/>
        </w:rPr>
        <w:t xml:space="preserve">регистрацию сетевых узлов (далее – СУ) и пользователей VPN-сети; </w:t>
      </w:r>
    </w:p>
    <w:p>
      <w:pPr>
        <w:pStyle w:val="Style94"/>
        <w:numPr>
          <w:ilvl w:val="0"/>
          <w:numId w:val="12"/>
        </w:numPr>
        <w:rPr>
          <w:highlight w:val="none"/>
          <w:shd w:fill="auto" w:val="clear"/>
        </w:rPr>
      </w:pPr>
      <w:r>
        <w:rPr>
          <w:rFonts w:eastAsia="Calibri"/>
          <w:shd w:fill="auto" w:val="clear"/>
        </w:rPr>
        <w:t xml:space="preserve">задание связей между объектами (СУ, пользователи, группы пользователей) VPN-сети; </w:t>
      </w:r>
    </w:p>
    <w:p>
      <w:pPr>
        <w:pStyle w:val="Style94"/>
        <w:numPr>
          <w:ilvl w:val="0"/>
          <w:numId w:val="12"/>
        </w:numPr>
        <w:rPr>
          <w:highlight w:val="none"/>
          <w:shd w:fill="auto" w:val="clear"/>
        </w:rPr>
      </w:pPr>
      <w:r>
        <w:rPr>
          <w:rFonts w:eastAsia="Calibri"/>
          <w:shd w:fill="auto" w:val="clear"/>
        </w:rPr>
        <w:t>контроль перечня лицензий на ПК и ПАК защищенной виртуальной сети (VPN);</w:t>
      </w:r>
    </w:p>
    <w:p>
      <w:pPr>
        <w:pStyle w:val="Style94"/>
        <w:numPr>
          <w:ilvl w:val="0"/>
          <w:numId w:val="12"/>
        </w:numPr>
        <w:rPr>
          <w:highlight w:val="none"/>
          <w:shd w:fill="auto" w:val="clear"/>
        </w:rPr>
      </w:pPr>
      <w:r>
        <w:rPr>
          <w:rFonts w:eastAsia="Calibri"/>
          <w:shd w:fill="auto" w:val="clear"/>
        </w:rPr>
        <w:t>возможность интеграции с Active Directory;</w:t>
      </w:r>
    </w:p>
    <w:p>
      <w:pPr>
        <w:pStyle w:val="Style94"/>
        <w:numPr>
          <w:ilvl w:val="0"/>
          <w:numId w:val="12"/>
        </w:numPr>
        <w:rPr>
          <w:highlight w:val="none"/>
          <w:shd w:fill="auto" w:val="clear"/>
        </w:rPr>
      </w:pPr>
      <w:r>
        <w:rPr>
          <w:rFonts w:eastAsia="Calibri"/>
          <w:shd w:fill="auto" w:val="clear"/>
        </w:rPr>
        <w:t>настройки доменной аутентификации с помощью служб федераций AD FS;</w:t>
      </w:r>
    </w:p>
    <w:p>
      <w:pPr>
        <w:pStyle w:val="Style94"/>
        <w:numPr>
          <w:ilvl w:val="0"/>
          <w:numId w:val="12"/>
        </w:numPr>
        <w:rPr>
          <w:highlight w:val="none"/>
          <w:shd w:fill="auto" w:val="clear"/>
        </w:rPr>
      </w:pPr>
      <w:r>
        <w:rPr>
          <w:rFonts w:eastAsia="Calibri"/>
          <w:shd w:fill="auto" w:val="clear"/>
        </w:rPr>
        <w:t>ведение журнала событий;</w:t>
      </w:r>
    </w:p>
    <w:p>
      <w:pPr>
        <w:pStyle w:val="Style94"/>
        <w:numPr>
          <w:ilvl w:val="0"/>
          <w:numId w:val="12"/>
        </w:numPr>
        <w:rPr>
          <w:highlight w:val="none"/>
          <w:shd w:fill="auto" w:val="clear"/>
        </w:rPr>
      </w:pPr>
      <w:r>
        <w:rPr>
          <w:rFonts w:eastAsia="Calibri"/>
          <w:shd w:fill="auto" w:val="clear"/>
        </w:rPr>
        <w:t>многопользовательский доступ администраторов с ролевой моделью доступа;</w:t>
      </w:r>
    </w:p>
    <w:p>
      <w:pPr>
        <w:pStyle w:val="Style94"/>
        <w:numPr>
          <w:ilvl w:val="0"/>
          <w:numId w:val="12"/>
        </w:numPr>
        <w:rPr>
          <w:highlight w:val="none"/>
          <w:shd w:fill="auto" w:val="clear"/>
        </w:rPr>
      </w:pPr>
      <w:r>
        <w:rPr>
          <w:rFonts w:eastAsia="Calibri"/>
          <w:shd w:fill="auto" w:val="clear"/>
        </w:rPr>
        <w:t xml:space="preserve">аутентификацию администраторов по паролю или сертификатам и аудит их действий; </w:t>
      </w:r>
    </w:p>
    <w:p>
      <w:pPr>
        <w:pStyle w:val="Style94"/>
        <w:numPr>
          <w:ilvl w:val="0"/>
          <w:numId w:val="12"/>
        </w:numPr>
        <w:rPr>
          <w:highlight w:val="none"/>
          <w:shd w:fill="auto" w:val="clear"/>
        </w:rPr>
      </w:pPr>
      <w:r>
        <w:rPr>
          <w:rFonts w:eastAsia="Calibri"/>
          <w:shd w:fill="auto" w:val="clear"/>
        </w:rPr>
        <w:t>разграничение полномочий администраторов;</w:t>
      </w:r>
    </w:p>
    <w:p>
      <w:pPr>
        <w:pStyle w:val="Style94"/>
        <w:numPr>
          <w:ilvl w:val="0"/>
          <w:numId w:val="12"/>
        </w:numPr>
        <w:rPr>
          <w:highlight w:val="none"/>
          <w:shd w:fill="auto" w:val="clear"/>
        </w:rPr>
      </w:pPr>
      <w:r>
        <w:rPr>
          <w:rFonts w:eastAsia="Calibri"/>
          <w:shd w:fill="auto" w:val="clear"/>
        </w:rPr>
        <w:t>централизованное управление настройками СУ VPN-сети и политиками доступа пользователей к функциям узлов VPN-сети;</w:t>
      </w:r>
    </w:p>
    <w:p>
      <w:pPr>
        <w:pStyle w:val="Style94"/>
        <w:numPr>
          <w:ilvl w:val="0"/>
          <w:numId w:val="12"/>
        </w:numPr>
        <w:rPr>
          <w:highlight w:val="none"/>
          <w:shd w:fill="auto" w:val="clear"/>
        </w:rPr>
      </w:pPr>
      <w:r>
        <w:rPr>
          <w:rFonts w:eastAsia="Calibri"/>
          <w:shd w:fill="auto" w:val="clear"/>
        </w:rPr>
        <w:t>управление конфигурациями и справочниками узлов и пользователей VPN-сети;</w:t>
      </w:r>
    </w:p>
    <w:p>
      <w:pPr>
        <w:pStyle w:val="Style94"/>
        <w:numPr>
          <w:ilvl w:val="0"/>
          <w:numId w:val="12"/>
        </w:numPr>
        <w:rPr>
          <w:highlight w:val="none"/>
          <w:shd w:fill="auto" w:val="clear"/>
        </w:rPr>
      </w:pPr>
      <w:r>
        <w:rPr>
          <w:rFonts w:eastAsia="Calibri"/>
          <w:shd w:fill="auto" w:val="clear"/>
        </w:rPr>
        <w:t>рассылку узлам и пользователям VPN-сети обновлений справочников, ключевой информации и программного обеспечения;</w:t>
      </w:r>
    </w:p>
    <w:p>
      <w:pPr>
        <w:pStyle w:val="Style94"/>
        <w:numPr>
          <w:ilvl w:val="0"/>
          <w:numId w:val="12"/>
        </w:numPr>
        <w:rPr>
          <w:highlight w:val="none"/>
          <w:shd w:fill="auto" w:val="clear"/>
        </w:rPr>
      </w:pPr>
      <w:r>
        <w:rPr>
          <w:rFonts w:eastAsia="Calibri"/>
          <w:shd w:fill="auto" w:val="clear"/>
        </w:rPr>
        <w:t xml:space="preserve">аудит обновления справочно-ключевой информации на узлах VPN-сети; </w:t>
      </w:r>
    </w:p>
    <w:p>
      <w:pPr>
        <w:pStyle w:val="Style94"/>
        <w:numPr>
          <w:ilvl w:val="0"/>
          <w:numId w:val="12"/>
        </w:numPr>
        <w:rPr>
          <w:highlight w:val="none"/>
          <w:shd w:fill="auto" w:val="clear"/>
        </w:rPr>
      </w:pPr>
      <w:r>
        <w:rPr>
          <w:rFonts w:eastAsia="Calibri"/>
          <w:shd w:fill="auto" w:val="clear"/>
        </w:rPr>
        <w:t>разделение VPN-сети на изолированные части – организации, к которым может быть предоставлен отдельный доступ;</w:t>
      </w:r>
    </w:p>
    <w:p>
      <w:pPr>
        <w:pStyle w:val="Style94"/>
        <w:numPr>
          <w:ilvl w:val="0"/>
          <w:numId w:val="12"/>
        </w:numPr>
        <w:rPr>
          <w:highlight w:val="none"/>
          <w:shd w:fill="auto" w:val="clear"/>
        </w:rPr>
      </w:pPr>
      <w:r>
        <w:rPr>
          <w:rFonts w:eastAsia="Calibri"/>
          <w:shd w:fill="auto" w:val="clear"/>
        </w:rPr>
        <w:t>формирование наборов справочно-ключевой информации для первичной инициализации СУ VPN-сети, а также управление обновлением ключевой информации для узлов и пользователей VPN-сети;</w:t>
      </w:r>
    </w:p>
    <w:p>
      <w:pPr>
        <w:pStyle w:val="Style94"/>
        <w:numPr>
          <w:ilvl w:val="0"/>
          <w:numId w:val="12"/>
        </w:numPr>
        <w:rPr>
          <w:highlight w:val="none"/>
          <w:shd w:fill="auto" w:val="clear"/>
        </w:rPr>
      </w:pPr>
      <w:r>
        <w:rPr>
          <w:rFonts w:eastAsia="Calibri"/>
          <w:shd w:fill="auto" w:val="clear"/>
        </w:rPr>
        <w:t>настройка сложности паролей пользователей и администраторов сетевых узлов;</w:t>
      </w:r>
    </w:p>
    <w:p>
      <w:pPr>
        <w:pStyle w:val="Style94"/>
        <w:numPr>
          <w:ilvl w:val="0"/>
          <w:numId w:val="12"/>
        </w:numPr>
        <w:rPr>
          <w:highlight w:val="none"/>
          <w:shd w:fill="auto" w:val="clear"/>
        </w:rPr>
      </w:pPr>
      <w:r>
        <w:rPr>
          <w:rFonts w:eastAsia="Calibri"/>
          <w:shd w:fill="auto" w:val="clear"/>
        </w:rPr>
        <w:t>создание профилей DNS для сетевых узлов.</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 xml:space="preserve"> </w:t>
      </w:r>
      <w:r>
        <w:rPr>
          <w:rFonts w:eastAsia="Calibri"/>
          <w:b/>
          <w:shd w:fill="auto" w:val="clear"/>
          <w:lang w:eastAsia="ar-SA"/>
        </w:rPr>
        <w:t>Системные требования</w:t>
      </w:r>
    </w:p>
    <w:p>
      <w:pPr>
        <w:pStyle w:val="Normal"/>
        <w:ind w:firstLine="360"/>
        <w:jc w:val="both"/>
        <w:rPr>
          <w:highlight w:val="none"/>
          <w:shd w:fill="auto" w:val="clear"/>
        </w:rPr>
      </w:pPr>
      <w:r>
        <w:rPr>
          <w:rFonts w:eastAsia="Calibri"/>
          <w:shd w:fill="auto" w:val="clear"/>
        </w:rPr>
        <w:t xml:space="preserve">ПК управления VPN-сетью должен функционировать под управлением операционных систем: </w:t>
      </w:r>
    </w:p>
    <w:p>
      <w:pPr>
        <w:pStyle w:val="Style94"/>
        <w:numPr>
          <w:ilvl w:val="0"/>
          <w:numId w:val="12"/>
        </w:numPr>
        <w:rPr>
          <w:highlight w:val="none"/>
          <w:shd w:fill="auto" w:val="clear"/>
        </w:rPr>
      </w:pPr>
      <w:r>
        <w:rPr>
          <w:rFonts w:eastAsia="Calibri"/>
          <w:shd w:fill="auto" w:val="clear"/>
          <w:lang w:val="en-US"/>
        </w:rPr>
        <w:t>Astra Linux Special Edition «</w:t>
      </w:r>
      <w:r>
        <w:rPr>
          <w:rFonts w:eastAsia="Calibri"/>
          <w:shd w:fill="auto" w:val="clear"/>
        </w:rPr>
        <w:t>Смоленск</w:t>
      </w:r>
      <w:r>
        <w:rPr>
          <w:rFonts w:eastAsia="Calibri"/>
          <w:shd w:fill="auto" w:val="clear"/>
          <w:lang w:val="en-US"/>
        </w:rPr>
        <w:t>» 1.8.1;</w:t>
      </w:r>
    </w:p>
    <w:p>
      <w:pPr>
        <w:pStyle w:val="Style94"/>
        <w:numPr>
          <w:ilvl w:val="0"/>
          <w:numId w:val="12"/>
        </w:numPr>
        <w:rPr>
          <w:highlight w:val="none"/>
          <w:shd w:fill="auto" w:val="clear"/>
        </w:rPr>
      </w:pPr>
      <w:r>
        <w:rPr>
          <w:rFonts w:eastAsia="Calibri"/>
          <w:shd w:fill="auto" w:val="clear"/>
          <w:lang w:val="en-US"/>
        </w:rPr>
        <w:t>Astra Linux Special Edition «</w:t>
      </w:r>
      <w:r>
        <w:rPr>
          <w:rFonts w:eastAsia="Calibri"/>
          <w:shd w:fill="auto" w:val="clear"/>
        </w:rPr>
        <w:t>Воронеж</w:t>
      </w:r>
      <w:r>
        <w:rPr>
          <w:rFonts w:eastAsia="Calibri"/>
          <w:shd w:fill="auto" w:val="clear"/>
          <w:lang w:val="en-US"/>
        </w:rPr>
        <w:t xml:space="preserve">» 1.8.1. </w:t>
      </w:r>
    </w:p>
    <w:p>
      <w:pPr>
        <w:pStyle w:val="ListParagraph"/>
        <w:numPr>
          <w:ilvl w:val="1"/>
          <w:numId w:val="11"/>
        </w:numPr>
        <w:spacing w:before="280" w:after="0"/>
        <w:contextualSpacing/>
        <w:jc w:val="both"/>
        <w:rPr>
          <w:highlight w:val="none"/>
          <w:shd w:fill="auto" w:val="clear"/>
        </w:rPr>
      </w:pPr>
      <w:bookmarkStart w:id="26" w:name="_Hlk199511717"/>
      <w:bookmarkStart w:id="27" w:name="_Toc129351940"/>
      <w:r>
        <w:rPr>
          <w:rFonts w:eastAsia="Calibri"/>
          <w:b/>
          <w:shd w:fill="auto" w:val="clear"/>
          <w:lang w:val="en-US" w:eastAsia="ar-SA"/>
        </w:rPr>
        <w:t xml:space="preserve"> </w:t>
      </w:r>
      <w:r>
        <w:rPr>
          <w:rFonts w:eastAsia="Calibri"/>
          <w:b/>
          <w:shd w:fill="auto" w:val="clear"/>
          <w:lang w:eastAsia="ar-SA"/>
        </w:rPr>
        <w:t>Требования к сертификации</w:t>
      </w:r>
      <w:bookmarkEnd w:id="26"/>
      <w:bookmarkEnd w:id="27"/>
    </w:p>
    <w:p>
      <w:pPr>
        <w:pStyle w:val="Normal"/>
        <w:ind w:firstLine="360"/>
        <w:jc w:val="both"/>
        <w:rPr>
          <w:highlight w:val="none"/>
          <w:shd w:fill="auto" w:val="clear"/>
        </w:rPr>
      </w:pPr>
      <w:r>
        <w:rPr>
          <w:rFonts w:eastAsia="Calibri"/>
          <w:shd w:fill="auto" w:val="clear"/>
        </w:rPr>
        <w:t xml:space="preserve">ПК управления VPN-сетью должен иметь действующий сертификат соответствия ФСБ Российской Федерации на средство криптографической защиты информации, выданный на поставляемую версию и исполнение программного обеспечения и соответствовать: </w:t>
      </w:r>
    </w:p>
    <w:p>
      <w:pPr>
        <w:pStyle w:val="Style94"/>
        <w:numPr>
          <w:ilvl w:val="0"/>
          <w:numId w:val="12"/>
        </w:numPr>
        <w:rPr>
          <w:highlight w:val="none"/>
          <w:shd w:fill="auto" w:val="clear"/>
        </w:rPr>
      </w:pPr>
      <w:r>
        <w:rPr>
          <w:rFonts w:eastAsia="Calibri"/>
          <w:shd w:fill="auto" w:val="clear"/>
        </w:rPr>
        <w:t>требованиям к средствам криптографической защиты информации, предназначенным для защиты информации, не содержащей сведений, составляющих государственную тайну, класса КС 3 и может использоваться для криптографической защиты (создание и управление ключевой информацией, шифрование файлов и данных, содержащихся в областях оперативной памяти, вычисление имитовставки для файлов и данных, содержащихся в областях оперативной памяти, вычисление значения хэш-функции для файлов и данных, содержащихся в областях оперативной памяти, криптографическая аутентификация абонентов при установлении соединения, защита TLS-соединений) информации, не содержащей сведений, составляющих государственную тайну.</w:t>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 xml:space="preserve">Требования к средству анализа защищенности на 4 IP адреса </w:t>
      </w:r>
    </w:p>
    <w:p>
      <w:pPr>
        <w:pStyle w:val="Style94"/>
        <w:rPr>
          <w:highlight w:val="none"/>
          <w:shd w:fill="auto" w:val="clear"/>
        </w:rPr>
      </w:pPr>
      <w:r>
        <w:rPr>
          <w:rFonts w:eastAsia="Calibri"/>
          <w:shd w:fill="auto" w:val="clear"/>
        </w:rPr>
        <w:t>Срок действия предоставляемой лицензии – бессрочно;</w:t>
      </w:r>
    </w:p>
    <w:p>
      <w:pPr>
        <w:pStyle w:val="Style94"/>
        <w:rPr>
          <w:highlight w:val="none"/>
          <w:shd w:fill="auto" w:val="clear"/>
        </w:rPr>
      </w:pPr>
      <w:r>
        <w:rPr>
          <w:rFonts w:eastAsia="Calibri"/>
          <w:shd w:fill="auto" w:val="clear"/>
        </w:rPr>
        <w:t>Производитель обязан предоставлять Заказчику в рамках гарантийной поддержке:</w:t>
      </w:r>
    </w:p>
    <w:p>
      <w:pPr>
        <w:pStyle w:val="Style94"/>
        <w:rPr>
          <w:highlight w:val="none"/>
          <w:shd w:fill="auto" w:val="clear"/>
        </w:rPr>
      </w:pPr>
      <w:r>
        <w:rPr>
          <w:shd w:fill="auto" w:val="clear"/>
        </w:rPr>
        <w:t xml:space="preserve">Обновления (включая </w:t>
      </w:r>
      <w:r>
        <w:rPr>
          <w:shd w:fill="auto" w:val="clear"/>
          <w:lang w:val="en-US"/>
        </w:rPr>
        <w:t>hotfix</w:t>
      </w:r>
      <w:r>
        <w:rPr>
          <w:shd w:fill="auto" w:val="clear"/>
        </w:rPr>
        <w:t xml:space="preserve">, устраняющее дефекты, выявленные в продукте) без дополнительной оплаты в течении </w:t>
      </w:r>
      <w:r>
        <w:rPr>
          <w:b/>
          <w:bCs/>
          <w:shd w:fill="auto" w:val="clear"/>
        </w:rPr>
        <w:t>не менее 12 месяцев</w:t>
      </w:r>
      <w:r>
        <w:rPr>
          <w:shd w:fill="auto" w:val="clear"/>
        </w:rPr>
        <w:t xml:space="preserve"> с даты поставки;</w:t>
      </w:r>
    </w:p>
    <w:p>
      <w:pPr>
        <w:pStyle w:val="Style94"/>
        <w:rPr>
          <w:highlight w:val="none"/>
          <w:shd w:fill="auto" w:val="clear"/>
        </w:rPr>
      </w:pPr>
      <w:r>
        <w:rPr>
          <w:shd w:fill="auto" w:val="clear"/>
        </w:rPr>
        <w:t>Предоставление обновлений правил аудита конфигураций;</w:t>
      </w:r>
    </w:p>
    <w:p>
      <w:pPr>
        <w:pStyle w:val="Style94"/>
        <w:rPr>
          <w:highlight w:val="none"/>
          <w:shd w:fill="auto" w:val="clear"/>
        </w:rPr>
      </w:pPr>
      <w:r>
        <w:rPr>
          <w:shd w:fill="auto" w:val="clear"/>
        </w:rPr>
        <w:t>Обновление в рамках минорных версий (электронная формат);</w:t>
      </w:r>
    </w:p>
    <w:p>
      <w:pPr>
        <w:pStyle w:val="Style94"/>
        <w:rPr>
          <w:highlight w:val="none"/>
          <w:shd w:fill="auto" w:val="clear"/>
        </w:rPr>
      </w:pPr>
      <w:r>
        <w:rPr>
          <w:shd w:fill="auto" w:val="clear"/>
        </w:rPr>
        <w:t>Консультация по вопросам установки, настройки продукта и его задач;</w:t>
      </w:r>
    </w:p>
    <w:p>
      <w:pPr>
        <w:pStyle w:val="Style94"/>
        <w:rPr>
          <w:highlight w:val="none"/>
          <w:shd w:fill="auto" w:val="clear"/>
        </w:rPr>
      </w:pPr>
      <w:r>
        <w:rPr>
          <w:shd w:fill="auto" w:val="clear"/>
        </w:rPr>
        <w:t>Техническую поддержку по электронной почте (Время реакции на обращение Заказчика /Головного Заказчика определяется уровнем критичности инцидента, присвоенным при регистрации обращения в службе технической поддержки Производителя, а также видом сертификата технической поддержки).</w:t>
      </w:r>
    </w:p>
    <w:p>
      <w:pPr>
        <w:pStyle w:val="Normal"/>
        <w:ind w:firstLine="360"/>
        <w:jc w:val="both"/>
        <w:rPr>
          <w:highlight w:val="none"/>
          <w:shd w:fill="auto" w:val="clear"/>
        </w:rPr>
      </w:pPr>
      <w:r>
        <w:rPr>
          <w:rFonts w:eastAsia="Calibri"/>
          <w:shd w:fill="auto" w:val="clear"/>
        </w:rPr>
        <w:t>Техническая поддержка предоставляется только по продуктам, используемым в строгом соответствии с требованиями эксплуатационной документации, в рекомендованных Производителем операционных системах</w:t>
      </w:r>
    </w:p>
    <w:p>
      <w:pPr>
        <w:pStyle w:val="Normal"/>
        <w:ind w:firstLine="360"/>
        <w:jc w:val="both"/>
        <w:rPr>
          <w:highlight w:val="none"/>
          <w:shd w:fill="auto" w:val="clear"/>
        </w:rPr>
      </w:pPr>
      <w:r>
        <w:rPr>
          <w:rFonts w:eastAsia="Calibri"/>
          <w:shd w:fill="auto" w:val="clear"/>
        </w:rPr>
        <w:t>Средство анализа защищенности (САЗ) на 4 IP адреса должно удовлетворять следующим требованиями:</w:t>
      </w:r>
    </w:p>
    <w:p>
      <w:pPr>
        <w:pStyle w:val="Style94"/>
        <w:numPr>
          <w:ilvl w:val="0"/>
          <w:numId w:val="12"/>
        </w:numPr>
        <w:rPr>
          <w:highlight w:val="none"/>
          <w:shd w:fill="auto" w:val="clear"/>
        </w:rPr>
      </w:pPr>
      <w:r>
        <w:rPr>
          <w:rFonts w:eastAsia="Calibri"/>
          <w:shd w:fill="auto" w:val="clear"/>
        </w:rPr>
        <w:t xml:space="preserve">Срок действия предоставляемой лицензии – бессрочно; </w:t>
      </w:r>
    </w:p>
    <w:p>
      <w:pPr>
        <w:pStyle w:val="Style94"/>
        <w:numPr>
          <w:ilvl w:val="0"/>
          <w:numId w:val="12"/>
        </w:numPr>
        <w:rPr>
          <w:highlight w:val="none"/>
          <w:shd w:fill="auto" w:val="clear"/>
        </w:rPr>
      </w:pPr>
      <w:r>
        <w:rPr>
          <w:rFonts w:eastAsia="Calibri"/>
          <w:shd w:fill="auto" w:val="clear"/>
        </w:rPr>
        <w:t>САЗ должно обеспечивать инвентаризацию ресурсов сети, определение состояния TCP и UDP портов в нескольких режимах: сканирование всех портов в диапазоне от 1 до 65535, сканирование наиболее популярных портов с выбором интенсивности определения версий сервисов, также иметь возможность установление полного TCP-соединения;</w:t>
      </w:r>
    </w:p>
    <w:p>
      <w:pPr>
        <w:pStyle w:val="Style94"/>
        <w:numPr>
          <w:ilvl w:val="0"/>
          <w:numId w:val="12"/>
        </w:numPr>
        <w:rPr>
          <w:highlight w:val="none"/>
          <w:shd w:fill="auto" w:val="clear"/>
        </w:rPr>
      </w:pPr>
      <w:r>
        <w:rPr>
          <w:rFonts w:eastAsia="Calibri"/>
          <w:shd w:fill="auto" w:val="clear"/>
        </w:rPr>
        <w:t>САЗ должно осуществлять идентификацию операционных систем и сетевых приложений, трассировку маршрутов следования данных для построения топологии сети (карты сети);</w:t>
      </w:r>
    </w:p>
    <w:p>
      <w:pPr>
        <w:pStyle w:val="Style94"/>
        <w:numPr>
          <w:ilvl w:val="0"/>
          <w:numId w:val="12"/>
        </w:numPr>
        <w:rPr>
          <w:highlight w:val="none"/>
          <w:shd w:fill="auto" w:val="clear"/>
        </w:rPr>
      </w:pPr>
      <w:r>
        <w:rPr>
          <w:rFonts w:eastAsia="Calibri"/>
          <w:shd w:fill="auto" w:val="clear"/>
        </w:rPr>
        <w:t>САЗ должно иметь возможность выбора порта, с которого осуществляется сканирование, а также выбор сетевого интерфейса для проведения сканирования;</w:t>
      </w:r>
    </w:p>
    <w:p>
      <w:pPr>
        <w:pStyle w:val="Style94"/>
        <w:numPr>
          <w:ilvl w:val="0"/>
          <w:numId w:val="12"/>
        </w:numPr>
        <w:rPr>
          <w:highlight w:val="none"/>
          <w:shd w:fill="auto" w:val="clear"/>
        </w:rPr>
      </w:pPr>
      <w:r>
        <w:rPr>
          <w:rFonts w:eastAsia="Calibri"/>
          <w:shd w:fill="auto" w:val="clear"/>
        </w:rPr>
        <w:t>САЗ должно иметь возможность настройки политики сканирования ресурсов сети в части определения минимального и максимального количества пакетов в секунду, отправляемых на ресурсы сети для выполнения сканирования;</w:t>
      </w:r>
    </w:p>
    <w:p>
      <w:pPr>
        <w:pStyle w:val="Style94"/>
        <w:numPr>
          <w:ilvl w:val="0"/>
          <w:numId w:val="12"/>
        </w:numPr>
        <w:rPr>
          <w:highlight w:val="none"/>
          <w:shd w:fill="auto" w:val="clear"/>
        </w:rPr>
      </w:pPr>
      <w:r>
        <w:rPr>
          <w:rFonts w:eastAsia="Calibri"/>
          <w:shd w:fill="auto" w:val="clear"/>
        </w:rPr>
        <w:t>САЗ должно иметь возможность использовать скрипты в рамках проведения сканирования</w:t>
      </w:r>
    </w:p>
    <w:p>
      <w:pPr>
        <w:pStyle w:val="Style94"/>
        <w:numPr>
          <w:ilvl w:val="0"/>
          <w:numId w:val="12"/>
        </w:numPr>
        <w:rPr>
          <w:highlight w:val="none"/>
          <w:shd w:fill="auto" w:val="clear"/>
        </w:rPr>
      </w:pPr>
      <w:r>
        <w:rPr>
          <w:rFonts w:eastAsia="Calibri"/>
          <w:shd w:fill="auto" w:val="clear"/>
        </w:rPr>
        <w:t>САЗ должно иметь возможность проведения инвентаризации с использованием учетных записей для получения списков установленного ПО, аппаратного обеспечения, пользователей, подключений к беспроводным сетям и подключений USB-устройств;</w:t>
      </w:r>
    </w:p>
    <w:p>
      <w:pPr>
        <w:pStyle w:val="Style94"/>
        <w:numPr>
          <w:ilvl w:val="0"/>
          <w:numId w:val="12"/>
        </w:numPr>
        <w:rPr>
          <w:highlight w:val="none"/>
          <w:shd w:fill="auto" w:val="clear"/>
        </w:rPr>
      </w:pPr>
      <w:r>
        <w:rPr>
          <w:rFonts w:eastAsia="Calibri"/>
          <w:shd w:fill="auto" w:val="clear"/>
        </w:rPr>
        <w:t>САЗ должно обеспечивать возможность аутентификации по протоколам SSH и WinRM и использовать локальные и доменные учетные записи;</w:t>
      </w:r>
    </w:p>
    <w:p>
      <w:pPr>
        <w:pStyle w:val="Style94"/>
        <w:numPr>
          <w:ilvl w:val="0"/>
          <w:numId w:val="12"/>
        </w:numPr>
        <w:rPr>
          <w:highlight w:val="none"/>
          <w:shd w:fill="auto" w:val="clear"/>
        </w:rPr>
      </w:pPr>
      <w:r>
        <w:rPr>
          <w:rFonts w:eastAsia="Calibri"/>
          <w:shd w:fill="auto" w:val="clear"/>
        </w:rPr>
        <w:t>САЗ должно обнаруживать уязвимости кода и конфигурации программного обеспечения. Для выявления (поиска) уязвимостей САЗ должно использовать встроенную кумулятивную базу данных уязвимостей кода и уязвимостей конфигурации программного обеспечения;</w:t>
      </w:r>
    </w:p>
    <w:p>
      <w:pPr>
        <w:pStyle w:val="Style94"/>
        <w:numPr>
          <w:ilvl w:val="0"/>
          <w:numId w:val="12"/>
        </w:numPr>
        <w:rPr>
          <w:highlight w:val="none"/>
          <w:shd w:fill="auto" w:val="clear"/>
        </w:rPr>
      </w:pPr>
      <w:r>
        <w:rPr>
          <w:rFonts w:eastAsia="Calibri"/>
          <w:shd w:fill="auto" w:val="clear"/>
        </w:rPr>
        <w:t xml:space="preserve">База данных уязвимостей САЗ должна содержать унифицированные описания уязвимостей, аналогичные содержащимся в следующих общедоступных источниках: </w:t>
      </w:r>
    </w:p>
    <w:p>
      <w:pPr>
        <w:pStyle w:val="Style94"/>
        <w:rPr/>
      </w:pPr>
      <w:r>
        <w:rPr>
          <w:shd w:fill="auto" w:val="clear"/>
        </w:rPr>
        <w:t>Банк данных угроз безопасности информации ФСТЭК России (</w:t>
      </w:r>
      <w:hyperlink r:id="rId2">
        <w:r>
          <w:rPr>
            <w:rStyle w:val="Style"/>
            <w:shd w:fill="auto" w:val="clear"/>
          </w:rPr>
          <w:t>http://www.bdu.fstec.ru</w:t>
        </w:r>
      </w:hyperlink>
      <w:r>
        <w:rPr>
          <w:shd w:fill="auto" w:val="clear"/>
        </w:rPr>
        <w:t>)</w:t>
      </w:r>
    </w:p>
    <w:p>
      <w:pPr>
        <w:pStyle w:val="Style94"/>
        <w:rPr/>
      </w:pPr>
      <w:r>
        <w:rPr>
          <w:shd w:fill="auto" w:val="clear"/>
        </w:rPr>
        <w:t>База</w:t>
      </w:r>
      <w:r>
        <w:rPr>
          <w:shd w:fill="auto" w:val="clear"/>
          <w:lang w:val="en-US"/>
        </w:rPr>
        <w:t xml:space="preserve"> </w:t>
      </w:r>
      <w:r>
        <w:rPr>
          <w:shd w:fill="auto" w:val="clear"/>
        </w:rPr>
        <w:t>данных</w:t>
      </w:r>
      <w:r>
        <w:rPr>
          <w:shd w:fill="auto" w:val="clear"/>
          <w:lang w:val="en-US"/>
        </w:rPr>
        <w:t xml:space="preserve"> «Common Vulnerabilities and Exposures (</w:t>
      </w:r>
      <w:hyperlink r:id="rId3">
        <w:r>
          <w:rPr>
            <w:rStyle w:val="Style"/>
            <w:shd w:fill="auto" w:val="clear"/>
            <w:lang w:val="en-US"/>
          </w:rPr>
          <w:t>https://cve.mitre.org</w:t>
        </w:r>
      </w:hyperlink>
      <w:r>
        <w:rPr>
          <w:shd w:fill="auto" w:val="clear"/>
          <w:lang w:val="en-US"/>
        </w:rPr>
        <w:t>).</w:t>
      </w:r>
    </w:p>
    <w:p>
      <w:pPr>
        <w:pStyle w:val="Style94"/>
        <w:numPr>
          <w:ilvl w:val="0"/>
          <w:numId w:val="12"/>
        </w:numPr>
        <w:rPr>
          <w:highlight w:val="none"/>
          <w:shd w:fill="auto" w:val="clear"/>
        </w:rPr>
      </w:pPr>
      <w:r>
        <w:rPr>
          <w:rFonts w:eastAsia="Calibri"/>
          <w:shd w:fill="auto" w:val="clear"/>
        </w:rPr>
        <w:t>База данных уязвимостей САЗ должна иметь возможность обновляться как в онлайн-режиме, так и в оффлайн с помощью архива;</w:t>
      </w:r>
    </w:p>
    <w:p>
      <w:pPr>
        <w:pStyle w:val="Style94"/>
        <w:numPr>
          <w:ilvl w:val="0"/>
          <w:numId w:val="12"/>
        </w:numPr>
        <w:rPr>
          <w:highlight w:val="none"/>
          <w:shd w:fill="auto" w:val="clear"/>
        </w:rPr>
      </w:pPr>
      <w:r>
        <w:rPr>
          <w:rFonts w:eastAsia="Calibri"/>
          <w:shd w:fill="auto" w:val="clear"/>
        </w:rPr>
        <w:t>База данных уязвимостей САЗ доступная для скачивания с сервера обновлений САЗ должна обновляться минимум один раз в 24 часа;</w:t>
      </w:r>
    </w:p>
    <w:p>
      <w:pPr>
        <w:pStyle w:val="Style94"/>
        <w:numPr>
          <w:ilvl w:val="0"/>
          <w:numId w:val="12"/>
        </w:numPr>
        <w:rPr>
          <w:highlight w:val="none"/>
          <w:shd w:fill="auto" w:val="clear"/>
        </w:rPr>
      </w:pPr>
      <w:r>
        <w:rPr>
          <w:rFonts w:eastAsia="Calibri"/>
          <w:shd w:fill="auto" w:val="clear"/>
        </w:rPr>
        <w:t>САЗ должно осуществлять поиск уязвимостей вручную или по расписанию, задаваемому оператором;</w:t>
      </w:r>
    </w:p>
    <w:p>
      <w:pPr>
        <w:pStyle w:val="Style94"/>
        <w:numPr>
          <w:ilvl w:val="0"/>
          <w:numId w:val="12"/>
        </w:numPr>
        <w:rPr>
          <w:highlight w:val="none"/>
          <w:shd w:fill="auto" w:val="clear"/>
        </w:rPr>
      </w:pPr>
      <w:r>
        <w:rPr>
          <w:rFonts w:eastAsia="Calibri"/>
          <w:shd w:fill="auto" w:val="clear"/>
        </w:rPr>
        <w:t>По каждой уязвимости в САЗ должна быть следующая информация:</w:t>
      </w:r>
    </w:p>
    <w:p>
      <w:pPr>
        <w:pStyle w:val="Style94"/>
        <w:rPr>
          <w:highlight w:val="none"/>
          <w:shd w:fill="auto" w:val="clear"/>
        </w:rPr>
      </w:pPr>
      <w:r>
        <w:rPr>
          <w:shd w:fill="auto" w:val="clear"/>
        </w:rPr>
        <w:t>Описание уязвимости на русском языке;</w:t>
      </w:r>
    </w:p>
    <w:p>
      <w:pPr>
        <w:pStyle w:val="Style94"/>
        <w:rPr>
          <w:highlight w:val="none"/>
          <w:shd w:fill="auto" w:val="clear"/>
        </w:rPr>
      </w:pPr>
      <w:r>
        <w:rPr>
          <w:shd w:fill="auto" w:val="clear"/>
        </w:rPr>
        <w:t>CVSS2\CVSS3\CVSS4 балл уязвимости;</w:t>
      </w:r>
    </w:p>
    <w:p>
      <w:pPr>
        <w:pStyle w:val="Style94"/>
        <w:rPr>
          <w:highlight w:val="none"/>
          <w:shd w:fill="auto" w:val="clear"/>
        </w:rPr>
      </w:pPr>
      <w:r>
        <w:rPr>
          <w:shd w:fill="auto" w:val="clear"/>
        </w:rPr>
        <w:t>CVSS2\CVSS3\CVSS4 вектор уязвимости;</w:t>
      </w:r>
    </w:p>
    <w:p>
      <w:pPr>
        <w:pStyle w:val="Style94"/>
        <w:rPr>
          <w:highlight w:val="none"/>
          <w:shd w:fill="auto" w:val="clear"/>
        </w:rPr>
      </w:pPr>
      <w:r>
        <w:rPr>
          <w:shd w:fill="auto" w:val="clear"/>
        </w:rPr>
        <w:t>Название уязвимого ПО;</w:t>
      </w:r>
    </w:p>
    <w:p>
      <w:pPr>
        <w:pStyle w:val="Style94"/>
        <w:rPr>
          <w:highlight w:val="none"/>
          <w:shd w:fill="auto" w:val="clear"/>
        </w:rPr>
      </w:pPr>
      <w:r>
        <w:rPr>
          <w:shd w:fill="auto" w:val="clear"/>
        </w:rPr>
        <w:t>Версия уязвимого ПО;</w:t>
      </w:r>
    </w:p>
    <w:p>
      <w:pPr>
        <w:pStyle w:val="Style94"/>
        <w:rPr>
          <w:highlight w:val="none"/>
          <w:shd w:fill="auto" w:val="clear"/>
        </w:rPr>
      </w:pPr>
      <w:r>
        <w:rPr>
          <w:shd w:fill="auto" w:val="clear"/>
        </w:rPr>
        <w:t>Рекомендации по устранению уязвимости;</w:t>
      </w:r>
    </w:p>
    <w:p>
      <w:pPr>
        <w:pStyle w:val="Style94"/>
        <w:rPr>
          <w:highlight w:val="none"/>
          <w:shd w:fill="auto" w:val="clear"/>
        </w:rPr>
      </w:pPr>
      <w:r>
        <w:rPr>
          <w:shd w:fill="auto" w:val="clear"/>
        </w:rPr>
        <w:t>Список существующих эксплойтов для эксплуатации уязвимости;</w:t>
      </w:r>
    </w:p>
    <w:p>
      <w:pPr>
        <w:pStyle w:val="Style94"/>
        <w:rPr>
          <w:highlight w:val="none"/>
          <w:shd w:fill="auto" w:val="clear"/>
        </w:rPr>
      </w:pPr>
      <w:r>
        <w:rPr>
          <w:shd w:fill="auto" w:val="clear"/>
        </w:rPr>
        <w:t>Метрика EPSS.</w:t>
      </w:r>
    </w:p>
    <w:p>
      <w:pPr>
        <w:pStyle w:val="Style94"/>
        <w:numPr>
          <w:ilvl w:val="0"/>
          <w:numId w:val="12"/>
        </w:numPr>
        <w:rPr>
          <w:highlight w:val="none"/>
          <w:shd w:fill="auto" w:val="clear"/>
        </w:rPr>
      </w:pPr>
      <w:r>
        <w:rPr>
          <w:rFonts w:eastAsia="Calibri"/>
          <w:shd w:fill="auto" w:val="clear"/>
        </w:rPr>
        <w:t>САЗ должно осуществлять подбор паролей по словарю для следующих сетевых сервисов:</w:t>
      </w:r>
    </w:p>
    <w:p>
      <w:pPr>
        <w:pStyle w:val="Style94"/>
        <w:rPr>
          <w:highlight w:val="none"/>
          <w:shd w:fill="auto" w:val="clear"/>
        </w:rPr>
      </w:pPr>
      <w:r>
        <w:rPr>
          <w:shd w:fill="auto" w:val="clear"/>
          <w:lang w:val="en-US"/>
        </w:rPr>
        <w:t>ftp;</w:t>
      </w:r>
    </w:p>
    <w:p>
      <w:pPr>
        <w:pStyle w:val="Style94"/>
        <w:rPr>
          <w:highlight w:val="none"/>
          <w:shd w:fill="auto" w:val="clear"/>
        </w:rPr>
      </w:pPr>
      <w:r>
        <w:rPr>
          <w:shd w:fill="auto" w:val="clear"/>
          <w:lang w:val="en-US"/>
        </w:rPr>
        <w:t>imap;</w:t>
      </w:r>
    </w:p>
    <w:p>
      <w:pPr>
        <w:pStyle w:val="Style94"/>
        <w:rPr>
          <w:highlight w:val="none"/>
          <w:shd w:fill="auto" w:val="clear"/>
        </w:rPr>
      </w:pPr>
      <w:r>
        <w:rPr>
          <w:shd w:fill="auto" w:val="clear"/>
          <w:lang w:val="en-US"/>
        </w:rPr>
        <w:t>imaps;</w:t>
      </w:r>
    </w:p>
    <w:p>
      <w:pPr>
        <w:pStyle w:val="Style94"/>
        <w:rPr>
          <w:highlight w:val="none"/>
          <w:shd w:fill="auto" w:val="clear"/>
        </w:rPr>
      </w:pPr>
      <w:r>
        <w:rPr>
          <w:shd w:fill="auto" w:val="clear"/>
          <w:lang w:val="en-US"/>
        </w:rPr>
        <w:t>mssql;</w:t>
      </w:r>
    </w:p>
    <w:p>
      <w:pPr>
        <w:pStyle w:val="Style94"/>
        <w:rPr>
          <w:highlight w:val="none"/>
          <w:shd w:fill="auto" w:val="clear"/>
        </w:rPr>
      </w:pPr>
      <w:r>
        <w:rPr>
          <w:shd w:fill="auto" w:val="clear"/>
          <w:lang w:val="en-US"/>
        </w:rPr>
        <w:t>mysql;</w:t>
      </w:r>
    </w:p>
    <w:p>
      <w:pPr>
        <w:pStyle w:val="Style94"/>
        <w:rPr>
          <w:highlight w:val="none"/>
          <w:shd w:fill="auto" w:val="clear"/>
        </w:rPr>
      </w:pPr>
      <w:r>
        <w:rPr>
          <w:shd w:fill="auto" w:val="clear"/>
          <w:lang w:val="en-US"/>
        </w:rPr>
        <w:t>pop3;</w:t>
      </w:r>
    </w:p>
    <w:p>
      <w:pPr>
        <w:pStyle w:val="Style94"/>
        <w:rPr>
          <w:highlight w:val="none"/>
          <w:shd w:fill="auto" w:val="clear"/>
        </w:rPr>
      </w:pPr>
      <w:r>
        <w:rPr>
          <w:shd w:fill="auto" w:val="clear"/>
          <w:lang w:val="en-US"/>
        </w:rPr>
        <w:t>pop3s;</w:t>
      </w:r>
    </w:p>
    <w:p>
      <w:pPr>
        <w:pStyle w:val="Style94"/>
        <w:rPr>
          <w:highlight w:val="none"/>
          <w:shd w:fill="auto" w:val="clear"/>
        </w:rPr>
      </w:pPr>
      <w:r>
        <w:rPr>
          <w:shd w:fill="auto" w:val="clear"/>
          <w:lang w:val="en-US"/>
        </w:rPr>
        <w:t>postgres;</w:t>
      </w:r>
    </w:p>
    <w:p>
      <w:pPr>
        <w:pStyle w:val="Style94"/>
        <w:rPr>
          <w:highlight w:val="none"/>
          <w:shd w:fill="auto" w:val="clear"/>
        </w:rPr>
      </w:pPr>
      <w:r>
        <w:rPr>
          <w:shd w:fill="auto" w:val="clear"/>
          <w:lang w:val="en-US"/>
        </w:rPr>
        <w:t>rdp;</w:t>
      </w:r>
    </w:p>
    <w:p>
      <w:pPr>
        <w:pStyle w:val="Style94"/>
        <w:rPr>
          <w:highlight w:val="none"/>
          <w:shd w:fill="auto" w:val="clear"/>
        </w:rPr>
      </w:pPr>
      <w:r>
        <w:rPr>
          <w:shd w:fill="auto" w:val="clear"/>
          <w:lang w:val="en-US"/>
        </w:rPr>
        <w:t>redis;</w:t>
      </w:r>
    </w:p>
    <w:p>
      <w:pPr>
        <w:pStyle w:val="Style94"/>
        <w:rPr>
          <w:highlight w:val="none"/>
          <w:shd w:fill="auto" w:val="clear"/>
        </w:rPr>
      </w:pPr>
      <w:r>
        <w:rPr>
          <w:shd w:fill="auto" w:val="clear"/>
          <w:lang w:val="en-US"/>
        </w:rPr>
        <w:t>smb;</w:t>
      </w:r>
    </w:p>
    <w:p>
      <w:pPr>
        <w:pStyle w:val="Style94"/>
        <w:rPr>
          <w:highlight w:val="none"/>
          <w:shd w:fill="auto" w:val="clear"/>
        </w:rPr>
      </w:pPr>
      <w:r>
        <w:rPr>
          <w:shd w:fill="auto" w:val="clear"/>
          <w:lang w:val="en-US"/>
        </w:rPr>
        <w:t>smtp;</w:t>
      </w:r>
    </w:p>
    <w:p>
      <w:pPr>
        <w:pStyle w:val="Style94"/>
        <w:rPr>
          <w:highlight w:val="none"/>
          <w:shd w:fill="auto" w:val="clear"/>
        </w:rPr>
      </w:pPr>
      <w:r>
        <w:rPr>
          <w:shd w:fill="auto" w:val="clear"/>
          <w:lang w:val="en-US"/>
        </w:rPr>
        <w:t>smtps;</w:t>
      </w:r>
    </w:p>
    <w:p>
      <w:pPr>
        <w:pStyle w:val="Style94"/>
        <w:rPr>
          <w:highlight w:val="none"/>
          <w:shd w:fill="auto" w:val="clear"/>
        </w:rPr>
      </w:pPr>
      <w:r>
        <w:rPr>
          <w:shd w:fill="auto" w:val="clear"/>
          <w:lang w:val="en-US"/>
        </w:rPr>
        <w:t>snmp;</w:t>
      </w:r>
    </w:p>
    <w:p>
      <w:pPr>
        <w:pStyle w:val="Style94"/>
        <w:rPr>
          <w:highlight w:val="none"/>
          <w:shd w:fill="auto" w:val="clear"/>
        </w:rPr>
      </w:pPr>
      <w:r>
        <w:rPr>
          <w:shd w:fill="auto" w:val="clear"/>
          <w:lang w:val="en-US"/>
        </w:rPr>
        <w:t>ssh;</w:t>
      </w:r>
    </w:p>
    <w:p>
      <w:pPr>
        <w:pStyle w:val="Style94"/>
        <w:rPr>
          <w:highlight w:val="none"/>
          <w:shd w:fill="auto" w:val="clear"/>
        </w:rPr>
      </w:pPr>
      <w:r>
        <w:rPr>
          <w:shd w:fill="auto" w:val="clear"/>
          <w:lang w:val="en-US"/>
        </w:rPr>
        <w:t>telnet;</w:t>
      </w:r>
    </w:p>
    <w:p>
      <w:pPr>
        <w:pStyle w:val="Style94"/>
        <w:rPr>
          <w:highlight w:val="none"/>
          <w:shd w:fill="auto" w:val="clear"/>
        </w:rPr>
      </w:pPr>
      <w:r>
        <w:rPr>
          <w:shd w:fill="auto" w:val="clear"/>
          <w:lang w:val="en-US"/>
        </w:rPr>
        <w:t>vnc.</w:t>
      </w:r>
    </w:p>
    <w:p>
      <w:pPr>
        <w:pStyle w:val="Style94"/>
        <w:numPr>
          <w:ilvl w:val="0"/>
          <w:numId w:val="12"/>
        </w:numPr>
        <w:rPr>
          <w:highlight w:val="none"/>
          <w:shd w:fill="auto" w:val="clear"/>
        </w:rPr>
      </w:pPr>
      <w:r>
        <w:rPr>
          <w:rFonts w:eastAsia="Calibri"/>
          <w:shd w:fill="auto" w:val="clear"/>
        </w:rPr>
        <w:t>САЗ при подборе паролей должно осуществлять проверку пустого пароля, проверять совпадения логина и пароля, проверять совпадения логина и пароля в обратном порядке</w:t>
      </w:r>
    </w:p>
    <w:p>
      <w:pPr>
        <w:pStyle w:val="Style94"/>
        <w:numPr>
          <w:ilvl w:val="0"/>
          <w:numId w:val="12"/>
        </w:numPr>
        <w:rPr>
          <w:highlight w:val="none"/>
          <w:shd w:fill="auto" w:val="clear"/>
        </w:rPr>
      </w:pPr>
      <w:r>
        <w:rPr>
          <w:rFonts w:eastAsia="Calibri"/>
          <w:shd w:fill="auto" w:val="clear"/>
        </w:rPr>
        <w:t>САЗ должно обеспечивать контроль за установкой обновлений ОС Microsoft Windows, Microsoft Windows Server;</w:t>
      </w:r>
    </w:p>
    <w:p>
      <w:pPr>
        <w:pStyle w:val="Style94"/>
        <w:numPr>
          <w:ilvl w:val="0"/>
          <w:numId w:val="12"/>
        </w:numPr>
        <w:rPr>
          <w:highlight w:val="none"/>
          <w:shd w:fill="auto" w:val="clear"/>
        </w:rPr>
      </w:pPr>
      <w:r>
        <w:rPr>
          <w:rFonts w:eastAsia="Calibri"/>
          <w:shd w:fill="auto" w:val="clear"/>
        </w:rPr>
        <w:t>САЗ должно обеспечивать контроль за настройками комплекса средств защиты ОС специального назначения «Astra Linux Special Edition»;</w:t>
      </w:r>
    </w:p>
    <w:p>
      <w:pPr>
        <w:pStyle w:val="Style94"/>
        <w:numPr>
          <w:ilvl w:val="0"/>
          <w:numId w:val="12"/>
        </w:numPr>
        <w:rPr>
          <w:highlight w:val="none"/>
          <w:shd w:fill="auto" w:val="clear"/>
        </w:rPr>
      </w:pPr>
      <w:r>
        <w:rPr>
          <w:rFonts w:eastAsia="Calibri"/>
          <w:shd w:fill="auto" w:val="clear"/>
        </w:rPr>
        <w:t>САЗ должно обеспечивать формирование отчетов по результатам проверок в формате HTML в кратком и полном формате.</w:t>
      </w:r>
      <w:bookmarkStart w:id="28" w:name="h.qqq85vbu7py5"/>
      <w:bookmarkEnd w:id="28"/>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Требования к сертификации</w:t>
      </w:r>
    </w:p>
    <w:p>
      <w:pPr>
        <w:pStyle w:val="Style94"/>
        <w:numPr>
          <w:ilvl w:val="0"/>
          <w:numId w:val="12"/>
        </w:numPr>
        <w:rPr>
          <w:highlight w:val="none"/>
          <w:shd w:fill="auto" w:val="clear"/>
        </w:rPr>
      </w:pPr>
      <w:r>
        <w:rPr>
          <w:rFonts w:eastAsia="Calibri"/>
          <w:shd w:fill="auto" w:val="clear"/>
        </w:rPr>
        <w:t>Средство анализа защищенности должно иметь действующий сертификат соответствия требованиям по безопасности информации, установленным в документе «Требования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 по уровню доверия не ниже 5.</w:t>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 xml:space="preserve">Требования к операционной системе для рабочей станции для 64-х разрядной платформы на базе процессорной архитектуры х86-64, Вариант 1 </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Общие требования</w:t>
      </w:r>
    </w:p>
    <w:p>
      <w:pPr>
        <w:pStyle w:val="Style94"/>
        <w:numPr>
          <w:ilvl w:val="0"/>
          <w:numId w:val="12"/>
        </w:numPr>
        <w:rPr>
          <w:highlight w:val="none"/>
          <w:shd w:fill="auto" w:val="clear"/>
        </w:rPr>
      </w:pPr>
      <w:r>
        <w:rPr>
          <w:rFonts w:eastAsia="Calibri"/>
          <w:shd w:fill="auto" w:val="clear"/>
        </w:rPr>
        <w:t xml:space="preserve">Способ предоставления – экземпляр на материальном носителе; </w:t>
      </w:r>
    </w:p>
    <w:p>
      <w:pPr>
        <w:pStyle w:val="Style94"/>
        <w:numPr>
          <w:ilvl w:val="0"/>
          <w:numId w:val="12"/>
        </w:numPr>
        <w:rPr>
          <w:highlight w:val="none"/>
          <w:shd w:fill="auto" w:val="clear"/>
        </w:rPr>
      </w:pPr>
      <w:r>
        <w:rPr>
          <w:rFonts w:eastAsia="Calibri"/>
          <w:shd w:fill="auto" w:val="clear"/>
        </w:rPr>
        <w:t>Наличие в комплекте поставки установочного диска, диска с документацией, электронной лицензии и формуляра на операционную систему;</w:t>
      </w:r>
    </w:p>
    <w:p>
      <w:pPr>
        <w:pStyle w:val="Style94"/>
        <w:numPr>
          <w:ilvl w:val="0"/>
          <w:numId w:val="12"/>
        </w:numPr>
        <w:rPr>
          <w:highlight w:val="none"/>
          <w:shd w:fill="auto" w:val="clear"/>
        </w:rPr>
      </w:pPr>
      <w:r>
        <w:rPr>
          <w:rFonts w:eastAsia="Calibri"/>
          <w:shd w:fill="auto" w:val="clear"/>
        </w:rPr>
        <w:t>Срок действия предоставляемой лицензии – бессрочно;</w:t>
      </w:r>
    </w:p>
    <w:p>
      <w:pPr>
        <w:pStyle w:val="Style94"/>
        <w:numPr>
          <w:ilvl w:val="0"/>
          <w:numId w:val="12"/>
        </w:numPr>
        <w:rPr>
          <w:highlight w:val="none"/>
          <w:shd w:fill="auto" w:val="clear"/>
        </w:rPr>
      </w:pPr>
      <w:r>
        <w:rPr>
          <w:rFonts w:eastAsia="Calibri"/>
          <w:shd w:fill="auto" w:val="clear"/>
        </w:rPr>
        <w:t>Производитель обязан предоставлять Заказчику в рамках гарантийной поддержке:</w:t>
      </w:r>
    </w:p>
    <w:p>
      <w:pPr>
        <w:pStyle w:val="Style94"/>
        <w:rPr>
          <w:highlight w:val="none"/>
          <w:shd w:fill="auto" w:val="clear"/>
        </w:rPr>
      </w:pPr>
      <w:r>
        <w:rPr>
          <w:shd w:fill="auto" w:val="clear"/>
        </w:rPr>
        <w:t xml:space="preserve">Обновления (включая </w:t>
      </w:r>
      <w:r>
        <w:rPr>
          <w:shd w:fill="auto" w:val="clear"/>
          <w:lang w:val="en-US"/>
        </w:rPr>
        <w:t>hotfix</w:t>
      </w:r>
      <w:r>
        <w:rPr>
          <w:shd w:fill="auto" w:val="clear"/>
        </w:rPr>
        <w:t xml:space="preserve">, устраняющее дефекты, выявленные в продукте) без дополнительной оплаты в течении </w:t>
      </w:r>
      <w:r>
        <w:rPr>
          <w:b/>
          <w:bCs/>
          <w:shd w:fill="auto" w:val="clear"/>
        </w:rPr>
        <w:t>не менее 36 месяцев</w:t>
      </w:r>
      <w:r>
        <w:rPr>
          <w:shd w:fill="auto" w:val="clear"/>
        </w:rPr>
        <w:t xml:space="preserve"> с даты поставки;</w:t>
      </w:r>
    </w:p>
    <w:p>
      <w:pPr>
        <w:pStyle w:val="Style94"/>
        <w:rPr>
          <w:highlight w:val="none"/>
          <w:shd w:fill="auto" w:val="clear"/>
        </w:rPr>
      </w:pPr>
      <w:r>
        <w:rPr>
          <w:shd w:fill="auto" w:val="clear"/>
        </w:rPr>
        <w:t>Доступ к справочному центру Исполнителя;</w:t>
      </w:r>
    </w:p>
    <w:p>
      <w:pPr>
        <w:pStyle w:val="Style94"/>
        <w:rPr>
          <w:highlight w:val="none"/>
          <w:shd w:fill="auto" w:val="clear"/>
        </w:rPr>
      </w:pPr>
      <w:r>
        <w:rPr>
          <w:shd w:fill="auto" w:val="clear"/>
        </w:rPr>
        <w:t>Доступ к защищенному репозиторию обновлений;</w:t>
      </w:r>
    </w:p>
    <w:p>
      <w:pPr>
        <w:pStyle w:val="Style94"/>
        <w:rPr>
          <w:highlight w:val="none"/>
          <w:shd w:fill="auto" w:val="clear"/>
        </w:rPr>
      </w:pPr>
      <w:r>
        <w:rPr>
          <w:shd w:fill="auto" w:val="clear"/>
        </w:rPr>
        <w:t>Техническую поддержку по электронной почте или через Личный кабинет (Время реакции на обращение Заказчика /Головного Заказчика определяется уровнем критичности инцидента, присвоенным при регистрации обращения в службе технической поддержки Производителя, а также видом сертификата технической поддержки).</w:t>
      </w:r>
    </w:p>
    <w:p>
      <w:pPr>
        <w:pStyle w:val="Style94"/>
        <w:numPr>
          <w:ilvl w:val="0"/>
          <w:numId w:val="12"/>
        </w:numPr>
        <w:rPr>
          <w:highlight w:val="none"/>
          <w:shd w:fill="auto" w:val="clear"/>
        </w:rPr>
      </w:pPr>
      <w:bookmarkStart w:id="29" w:name="_Hlk231378167"/>
      <w:r>
        <w:rPr>
          <w:rFonts w:eastAsia="Calibri"/>
          <w:shd w:fill="auto" w:val="clear"/>
        </w:rPr>
        <w:t>Техническая поддержка предоставляется только по продуктам, используемым в строгом соответствии с требованиями эксплуатационной документации, в рекомендованных Производителем операционных система.</w:t>
      </w:r>
      <w:bookmarkEnd w:id="29"/>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Требования соответствия законодательным и нормативным документам</w:t>
      </w:r>
    </w:p>
    <w:p>
      <w:pPr>
        <w:pStyle w:val="Style94"/>
        <w:numPr>
          <w:ilvl w:val="0"/>
          <w:numId w:val="12"/>
        </w:numPr>
        <w:rPr>
          <w:highlight w:val="none"/>
          <w:shd w:fill="auto" w:val="clear"/>
        </w:rPr>
      </w:pPr>
      <w:r>
        <w:rPr>
          <w:rFonts w:eastAsia="Calibri"/>
          <w:shd w:fill="auto" w:val="clear"/>
        </w:rPr>
        <w:t>Операционная система должна соответствовать требованиям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94"/>
        <w:numPr>
          <w:ilvl w:val="0"/>
          <w:numId w:val="12"/>
        </w:numPr>
        <w:rPr>
          <w:highlight w:val="none"/>
          <w:shd w:fill="auto" w:val="clear"/>
        </w:rPr>
      </w:pPr>
      <w:r>
        <w:rPr>
          <w:rFonts w:eastAsia="Calibri"/>
          <w:shd w:fill="auto" w:val="clear"/>
        </w:rPr>
        <w:t>Эксплуатационная документация на операционную систему должна раскрывать сведения о средствах и способах реализации функций безопасности, предусмотренных требованиями нормативных документов:</w:t>
      </w:r>
    </w:p>
    <w:p>
      <w:pPr>
        <w:pStyle w:val="Style94"/>
        <w:rPr>
          <w:highlight w:val="none"/>
          <w:shd w:fill="auto" w:val="clear"/>
        </w:rPr>
      </w:pPr>
      <w:r>
        <w:rPr>
          <w:shd w:fill="auto" w:val="clear"/>
        </w:rPr>
        <w:t>«Требования безопасности информации к операционным системам» (ФСТЭК России, 2016);</w:t>
      </w:r>
    </w:p>
    <w:p>
      <w:pPr>
        <w:pStyle w:val="Style94"/>
        <w:rPr>
          <w:highlight w:val="none"/>
          <w:shd w:fill="auto" w:val="clear"/>
        </w:rPr>
      </w:pPr>
      <w:r>
        <w:rPr>
          <w:shd w:fill="auto" w:val="clear"/>
        </w:rPr>
        <w:t>«Требования по безопасности информации к средствам контейнеризации» (ФСТЭК России, 2022) не ниже 5 класса защиты;</w:t>
      </w:r>
    </w:p>
    <w:p>
      <w:pPr>
        <w:pStyle w:val="Style94"/>
        <w:rPr>
          <w:highlight w:val="none"/>
          <w:shd w:fill="auto" w:val="clear"/>
        </w:rPr>
      </w:pPr>
      <w:r>
        <w:rPr>
          <w:shd w:fill="auto" w:val="clear"/>
        </w:rPr>
        <w:t>«Требования по безопасности информации к средствам виртуализации» (ФСТЭК России, 2022) не ниже 5 класса защиты;</w:t>
      </w:r>
    </w:p>
    <w:p>
      <w:pPr>
        <w:pStyle w:val="Style94"/>
        <w:rPr>
          <w:highlight w:val="none"/>
          <w:shd w:fill="auto" w:val="clear"/>
        </w:rPr>
      </w:pPr>
      <w:r>
        <w:rPr>
          <w:shd w:fill="auto" w:val="clear"/>
        </w:rPr>
        <w:t>«Требования по безопасности информации к системам управления базами данных» (ФСТЭК России, 2023) не ниже 5 класса защиты.</w:t>
      </w:r>
    </w:p>
    <w:p>
      <w:pPr>
        <w:pStyle w:val="Style94"/>
        <w:numPr>
          <w:ilvl w:val="0"/>
          <w:numId w:val="12"/>
        </w:numPr>
        <w:rPr>
          <w:highlight w:val="none"/>
          <w:shd w:fill="auto" w:val="clear"/>
        </w:rPr>
      </w:pPr>
      <w:r>
        <w:rPr>
          <w:rFonts w:eastAsia="Calibri"/>
          <w:shd w:fill="auto" w:val="clear"/>
        </w:rPr>
        <w:t>Операционная система должна иметь сертификат соответствия требованиям нормативных документов ФСТЭК России:</w:t>
      </w:r>
    </w:p>
    <w:p>
      <w:pPr>
        <w:pStyle w:val="Style94"/>
        <w:rPr>
          <w:highlight w:val="none"/>
          <w:shd w:fill="auto" w:val="clear"/>
        </w:rPr>
      </w:pPr>
      <w:r>
        <w:rPr>
          <w:shd w:fill="auto" w:val="clear"/>
        </w:rPr>
        <w:t>«Требования безопасности информации к операционным системам» (ФСТЭК России, 2016);</w:t>
      </w:r>
    </w:p>
    <w:p>
      <w:pPr>
        <w:pStyle w:val="Style94"/>
        <w:rPr>
          <w:highlight w:val="none"/>
          <w:shd w:fill="auto" w:val="clear"/>
        </w:rPr>
      </w:pPr>
      <w:r>
        <w:rPr>
          <w:shd w:fill="auto" w:val="clear"/>
        </w:rPr>
        <w:t>«Профиль защиты операционных систем типа «А» не ниже 5 класса ИТ.ОС.А5.ПЗ (ФСТЭК России, 2017);</w:t>
      </w:r>
    </w:p>
    <w:p>
      <w:pPr>
        <w:pStyle w:val="Style94"/>
        <w:rPr>
          <w:highlight w:val="none"/>
          <w:shd w:fill="auto" w:val="clear"/>
        </w:rPr>
      </w:pPr>
      <w:r>
        <w:rPr>
          <w:shd w:fill="auto" w:val="clear"/>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не ниже 5 уровня;</w:t>
      </w:r>
    </w:p>
    <w:p>
      <w:pPr>
        <w:pStyle w:val="Style94"/>
        <w:rPr>
          <w:highlight w:val="none"/>
          <w:shd w:fill="auto" w:val="clear"/>
        </w:rPr>
      </w:pPr>
      <w:r>
        <w:rPr>
          <w:shd w:fill="auto" w:val="clear"/>
        </w:rPr>
        <w:t>«Требования по безопасности информации к средствам контейнеризации» (ФСТЭК России, 2022) не ниже 5 класса защиты;</w:t>
      </w:r>
    </w:p>
    <w:p>
      <w:pPr>
        <w:pStyle w:val="Style94"/>
        <w:rPr>
          <w:highlight w:val="none"/>
          <w:shd w:fill="auto" w:val="clear"/>
        </w:rPr>
      </w:pPr>
      <w:r>
        <w:rPr>
          <w:shd w:fill="auto" w:val="clear"/>
        </w:rPr>
        <w:t>«Требования по безопасности информации к средствам виртуализации» (ФСТЭК России, 2022) не ниже 5 класса защиты;</w:t>
      </w:r>
    </w:p>
    <w:p>
      <w:pPr>
        <w:pStyle w:val="Style94"/>
        <w:rPr>
          <w:highlight w:val="none"/>
          <w:shd w:fill="auto" w:val="clear"/>
        </w:rPr>
      </w:pPr>
      <w:r>
        <w:rPr>
          <w:shd w:fill="auto" w:val="clear"/>
        </w:rPr>
        <w:t>«Требования по безопасности информации к системам управления базами данных» (ФСТЭК России, 2023) не ниже 5 класса защиты.</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Требования к встроенному комплексу средств защиты информации операционной системы</w:t>
      </w:r>
    </w:p>
    <w:p>
      <w:pPr>
        <w:pStyle w:val="Style94"/>
        <w:numPr>
          <w:ilvl w:val="0"/>
          <w:numId w:val="12"/>
        </w:numPr>
        <w:rPr>
          <w:highlight w:val="none"/>
          <w:shd w:fill="auto" w:val="clear"/>
        </w:rPr>
      </w:pPr>
      <w:r>
        <w:rPr>
          <w:rFonts w:eastAsia="Calibri"/>
          <w:shd w:fill="auto" w:val="clear"/>
        </w:rPr>
        <w:t>Операционная система должна обеспечивать встроенными сертифицированными средствами:</w:t>
      </w:r>
    </w:p>
    <w:p>
      <w:pPr>
        <w:pStyle w:val="Style94"/>
        <w:rPr>
          <w:highlight w:val="none"/>
          <w:shd w:fill="auto" w:val="clear"/>
        </w:rPr>
      </w:pPr>
      <w:r>
        <w:rPr>
          <w:shd w:fill="auto" w:val="clear"/>
        </w:rPr>
        <w:t>идентификацию и аутентификацию пользователей;</w:t>
      </w:r>
    </w:p>
    <w:p>
      <w:pPr>
        <w:pStyle w:val="Style94"/>
        <w:rPr>
          <w:highlight w:val="none"/>
          <w:shd w:fill="auto" w:val="clear"/>
        </w:rPr>
      </w:pPr>
      <w:r>
        <w:rPr>
          <w:shd w:fill="auto" w:val="clear"/>
        </w:rPr>
        <w:t>управление средствами аутентификации;</w:t>
      </w:r>
    </w:p>
    <w:p>
      <w:pPr>
        <w:pStyle w:val="Style94"/>
        <w:rPr>
          <w:highlight w:val="none"/>
          <w:shd w:fill="auto" w:val="clear"/>
        </w:rPr>
      </w:pPr>
      <w:r>
        <w:rPr>
          <w:shd w:fill="auto" w:val="clear"/>
        </w:rPr>
        <w:t>управление учетными записями пользователей, разграничение полномочий и назначение прав пользователям;</w:t>
      </w:r>
    </w:p>
    <w:p>
      <w:pPr>
        <w:pStyle w:val="Style94"/>
        <w:rPr>
          <w:highlight w:val="none"/>
          <w:shd w:fill="auto" w:val="clear"/>
        </w:rPr>
      </w:pPr>
      <w:r>
        <w:rPr>
          <w:shd w:fill="auto" w:val="clear"/>
        </w:rPr>
        <w:t>реализацию дискреционного разграничения доступа;</w:t>
      </w:r>
    </w:p>
    <w:p>
      <w:pPr>
        <w:pStyle w:val="Style94"/>
        <w:rPr>
          <w:highlight w:val="none"/>
          <w:shd w:fill="auto" w:val="clear"/>
        </w:rPr>
      </w:pPr>
      <w:r>
        <w:rPr>
          <w:shd w:fill="auto" w:val="clear"/>
        </w:rPr>
        <w:t>возможность указания параметров настройки комплекса средств защиты во время создания пользователя;</w:t>
      </w:r>
    </w:p>
    <w:p>
      <w:pPr>
        <w:pStyle w:val="Style94"/>
        <w:rPr>
          <w:highlight w:val="none"/>
          <w:shd w:fill="auto" w:val="clear"/>
        </w:rPr>
      </w:pPr>
      <w:r>
        <w:rPr>
          <w:shd w:fill="auto" w:val="clear"/>
        </w:rPr>
        <w:t>возможность создания среды выполнения контейнеров, обеспечения работы с ними и поддержкой изоляции процессов, выполняемых в контейнерах;</w:t>
      </w:r>
    </w:p>
    <w:p>
      <w:pPr>
        <w:pStyle w:val="Style94"/>
        <w:rPr>
          <w:highlight w:val="none"/>
          <w:shd w:fill="auto" w:val="clear"/>
        </w:rPr>
      </w:pPr>
      <w:r>
        <w:rPr>
          <w:shd w:fill="auto" w:val="clear"/>
        </w:rPr>
        <w:t xml:space="preserve">возможность маркировки документов при выводе на печать; </w:t>
      </w:r>
    </w:p>
    <w:p>
      <w:pPr>
        <w:pStyle w:val="Style94"/>
        <w:rPr>
          <w:highlight w:val="none"/>
          <w:shd w:fill="auto" w:val="clear"/>
        </w:rPr>
      </w:pPr>
      <w:r>
        <w:rPr>
          <w:shd w:fill="auto" w:val="clear"/>
        </w:rPr>
        <w:t xml:space="preserve">управление доступом к защищаемым ресурсам БД на основе иерархических и не иерархических меток доступа; </w:t>
      </w:r>
    </w:p>
    <w:p>
      <w:pPr>
        <w:pStyle w:val="Style94"/>
        <w:rPr>
          <w:highlight w:val="none"/>
          <w:shd w:fill="auto" w:val="clear"/>
        </w:rPr>
      </w:pPr>
      <w:r>
        <w:rPr>
          <w:shd w:fill="auto" w:val="clear"/>
        </w:rPr>
        <w:t>реализацию мандатного управления доступом к почтовым сообщениям, а также автоматическую маркировку создаваемых пользователем почтовых сообщений.</w:t>
      </w:r>
    </w:p>
    <w:p>
      <w:pPr>
        <w:pStyle w:val="Style94"/>
        <w:numPr>
          <w:ilvl w:val="0"/>
          <w:numId w:val="12"/>
        </w:numPr>
        <w:rPr>
          <w:highlight w:val="none"/>
          <w:shd w:fill="auto" w:val="clear"/>
        </w:rPr>
      </w:pPr>
      <w:r>
        <w:rPr>
          <w:rFonts w:eastAsia="Calibri"/>
          <w:shd w:fill="auto" w:val="clear"/>
        </w:rPr>
        <w:t>В составе операционной системы должна быть реализована возможность защиты аутентификационной информации с использованием функции хэширования.</w:t>
      </w:r>
    </w:p>
    <w:p>
      <w:pPr>
        <w:pStyle w:val="Style94"/>
        <w:numPr>
          <w:ilvl w:val="0"/>
          <w:numId w:val="12"/>
        </w:numPr>
        <w:rPr>
          <w:highlight w:val="none"/>
          <w:shd w:fill="auto" w:val="clear"/>
        </w:rPr>
      </w:pPr>
      <w:r>
        <w:rPr>
          <w:rFonts w:eastAsia="Calibri"/>
          <w:shd w:fill="auto" w:val="clear"/>
        </w:rPr>
        <w:t>В составе операционной системы должно быть ядро, поддерживаемое Центром исследования безопасности системного программного обеспечения ИСП РАН.</w:t>
      </w:r>
    </w:p>
    <w:p>
      <w:pPr>
        <w:pStyle w:val="Style94"/>
        <w:numPr>
          <w:ilvl w:val="0"/>
          <w:numId w:val="12"/>
        </w:numPr>
        <w:rPr>
          <w:highlight w:val="none"/>
          <w:shd w:fill="auto" w:val="clear"/>
        </w:rPr>
      </w:pPr>
      <w:r>
        <w:rPr>
          <w:rFonts w:eastAsia="Calibri"/>
          <w:shd w:fill="auto" w:val="clear"/>
        </w:rPr>
        <w:t>Операционная система должна иметь графическое средство настройки ограничений пользователя по запуску программ в изолированном окружении с использованием механизма пространств имён и фильтрации системных вызовов, обеспечивающих:</w:t>
      </w:r>
    </w:p>
    <w:p>
      <w:pPr>
        <w:pStyle w:val="Style94"/>
        <w:rPr>
          <w:highlight w:val="none"/>
          <w:shd w:fill="auto" w:val="clear"/>
        </w:rPr>
      </w:pPr>
      <w:r>
        <w:rPr>
          <w:shd w:fill="auto" w:val="clear"/>
        </w:rPr>
        <w:t>ограничение прав пользователя на запуск приложений ядром системы;</w:t>
      </w:r>
    </w:p>
    <w:p>
      <w:pPr>
        <w:pStyle w:val="Style94"/>
        <w:rPr>
          <w:highlight w:val="none"/>
          <w:shd w:fill="auto" w:val="clear"/>
        </w:rPr>
      </w:pPr>
      <w:r>
        <w:rPr>
          <w:shd w:fill="auto" w:val="clear"/>
        </w:rPr>
        <w:t>ограничение прав пользователя средствами графического интерфейса;</w:t>
      </w:r>
    </w:p>
    <w:p>
      <w:pPr>
        <w:pStyle w:val="Style94"/>
        <w:rPr>
          <w:highlight w:val="none"/>
          <w:shd w:fill="auto" w:val="clear"/>
        </w:rPr>
      </w:pPr>
      <w:r>
        <w:rPr>
          <w:shd w:fill="auto" w:val="clear"/>
        </w:rPr>
        <w:t>разрешение запуска только тех программных компонентов, которые явно разрешены администратором безопасности.</w:t>
      </w:r>
    </w:p>
    <w:p>
      <w:pPr>
        <w:pStyle w:val="Style94"/>
        <w:numPr>
          <w:ilvl w:val="0"/>
          <w:numId w:val="12"/>
        </w:numPr>
        <w:rPr>
          <w:highlight w:val="none"/>
          <w:shd w:fill="auto" w:val="clear"/>
        </w:rPr>
      </w:pPr>
      <w:r>
        <w:rPr>
          <w:rFonts w:eastAsia="Calibri"/>
          <w:shd w:fill="auto" w:val="clear"/>
        </w:rPr>
        <w:t>Обеспечение запрета запуска (исполнения) пользователем созданных самостоятельно (с использованием текстовых редакторов или непосредственно в командной строке) программ с использованием интерпретируемых языков программирования.</w:t>
      </w:r>
    </w:p>
    <w:p>
      <w:pPr>
        <w:pStyle w:val="Style94"/>
        <w:numPr>
          <w:ilvl w:val="0"/>
          <w:numId w:val="12"/>
        </w:numPr>
        <w:rPr>
          <w:highlight w:val="none"/>
          <w:shd w:fill="auto" w:val="clear"/>
        </w:rPr>
      </w:pPr>
      <w:r>
        <w:rPr>
          <w:rFonts w:eastAsia="Calibri"/>
          <w:shd w:fill="auto" w:val="clear"/>
        </w:rPr>
        <w:t>В составе операционной системы должны быть графические средства настройки защиты машинных носителей, обеспечивающие:</w:t>
      </w:r>
    </w:p>
    <w:p>
      <w:pPr>
        <w:pStyle w:val="Style94"/>
        <w:rPr>
          <w:highlight w:val="none"/>
          <w:shd w:fill="auto" w:val="clear"/>
        </w:rPr>
      </w:pPr>
      <w:r>
        <w:rPr>
          <w:shd w:fill="auto" w:val="clear"/>
        </w:rPr>
        <w:t>идентификацию устройств и сопоставление пользователя с устройством;</w:t>
      </w:r>
    </w:p>
    <w:p>
      <w:pPr>
        <w:pStyle w:val="Style94"/>
        <w:rPr>
          <w:highlight w:val="none"/>
          <w:shd w:fill="auto" w:val="clear"/>
        </w:rPr>
      </w:pPr>
      <w:r>
        <w:rPr>
          <w:shd w:fill="auto" w:val="clear"/>
        </w:rPr>
        <w:t>управление доступом субъектов доступа к устройствам методами дискреционного управления доступом;</w:t>
      </w:r>
    </w:p>
    <w:p>
      <w:pPr>
        <w:pStyle w:val="Style94"/>
        <w:rPr>
          <w:highlight w:val="none"/>
          <w:shd w:fill="auto" w:val="clear"/>
        </w:rPr>
      </w:pPr>
      <w:r>
        <w:rPr>
          <w:shd w:fill="auto" w:val="clear"/>
        </w:rPr>
        <w:t>задание правил управления доступом, разрешающих или запрещающих доступ субъектов доступа к устройствам, а также определяющих разрешенные типы доступа, в том числе с использованием атрибутов безопасности;</w:t>
      </w:r>
    </w:p>
    <w:p>
      <w:pPr>
        <w:pStyle w:val="Style94"/>
        <w:rPr>
          <w:highlight w:val="none"/>
          <w:shd w:fill="auto" w:val="clear"/>
        </w:rPr>
      </w:pPr>
      <w:r>
        <w:rPr>
          <w:shd w:fill="auto" w:val="clear"/>
        </w:rPr>
        <w:t>учет носителей информации и контроль использования интерфейсов ввода и вывода.</w:t>
      </w:r>
    </w:p>
    <w:p>
      <w:pPr>
        <w:pStyle w:val="Style94"/>
        <w:numPr>
          <w:ilvl w:val="0"/>
          <w:numId w:val="12"/>
        </w:numPr>
        <w:rPr>
          <w:highlight w:val="none"/>
          <w:shd w:fill="auto" w:val="clear"/>
        </w:rPr>
      </w:pPr>
      <w:r>
        <w:rPr>
          <w:rFonts w:eastAsia="Calibri"/>
          <w:shd w:fill="auto" w:val="clear"/>
        </w:rPr>
        <w:t>Операционная система должна включать в свой состав программное обеспечение, реализующее задачи аудита и журналирования (регистрации) событий безопасности. Регистрация событий безопасности должна выполняться с учётом требований ГОСТ Р 59548-2022.</w:t>
      </w:r>
    </w:p>
    <w:p>
      <w:pPr>
        <w:pStyle w:val="Style94"/>
        <w:numPr>
          <w:ilvl w:val="0"/>
          <w:numId w:val="12"/>
        </w:numPr>
        <w:rPr>
          <w:highlight w:val="none"/>
          <w:shd w:fill="auto" w:val="clear"/>
        </w:rPr>
      </w:pPr>
      <w:r>
        <w:rPr>
          <w:rFonts w:eastAsia="Calibri"/>
          <w:shd w:fill="auto" w:val="clear"/>
        </w:rPr>
        <w:t>Операционная система должна включать в состав графические средства настройки контроля целостности:</w:t>
      </w:r>
    </w:p>
    <w:p>
      <w:pPr>
        <w:pStyle w:val="Style94"/>
        <w:rPr>
          <w:highlight w:val="none"/>
          <w:shd w:fill="auto" w:val="clear"/>
        </w:rPr>
      </w:pPr>
      <w:r>
        <w:rPr>
          <w:shd w:fill="auto" w:val="clear"/>
        </w:rPr>
        <w:t>Контроль целостности дистрибутива;</w:t>
      </w:r>
    </w:p>
    <w:p>
      <w:pPr>
        <w:pStyle w:val="Style94"/>
        <w:rPr>
          <w:highlight w:val="none"/>
          <w:shd w:fill="auto" w:val="clear"/>
        </w:rPr>
      </w:pPr>
      <w:r>
        <w:rPr>
          <w:shd w:fill="auto" w:val="clear"/>
        </w:rPr>
        <w:t>Контроль объектов файловой системы;</w:t>
      </w:r>
    </w:p>
    <w:p>
      <w:pPr>
        <w:pStyle w:val="Style94"/>
        <w:rPr>
          <w:highlight w:val="none"/>
          <w:shd w:fill="auto" w:val="clear"/>
        </w:rPr>
      </w:pPr>
      <w:r>
        <w:rPr>
          <w:shd w:fill="auto" w:val="clear"/>
        </w:rPr>
        <w:t>Контроль целостности исполняемых файлов.</w:t>
      </w:r>
    </w:p>
    <w:p>
      <w:pPr>
        <w:pStyle w:val="Style94"/>
        <w:numPr>
          <w:ilvl w:val="0"/>
          <w:numId w:val="12"/>
        </w:numPr>
        <w:rPr>
          <w:highlight w:val="none"/>
          <w:shd w:fill="auto" w:val="clear"/>
        </w:rPr>
      </w:pPr>
      <w:r>
        <w:rPr>
          <w:rFonts w:eastAsia="Calibri"/>
          <w:shd w:fill="auto" w:val="clear"/>
        </w:rPr>
        <w:t>Операционная система должна обеспечивать возможность блокировки:</w:t>
      </w:r>
    </w:p>
    <w:p>
      <w:pPr>
        <w:pStyle w:val="Style94"/>
        <w:rPr>
          <w:highlight w:val="none"/>
          <w:shd w:fill="auto" w:val="clear"/>
        </w:rPr>
      </w:pPr>
      <w:r>
        <w:rPr>
          <w:shd w:fill="auto" w:val="clear"/>
        </w:rPr>
        <w:t>Запуска исполняемых файлов, включая EXE и загрузки библиотек, в том числе DLL, .NET 7/8, целостность которых нарушена;</w:t>
      </w:r>
    </w:p>
    <w:p>
      <w:pPr>
        <w:pStyle w:val="Style94"/>
        <w:rPr>
          <w:highlight w:val="none"/>
          <w:shd w:fill="auto" w:val="clear"/>
        </w:rPr>
      </w:pPr>
      <w:r>
        <w:rPr>
          <w:shd w:fill="auto" w:val="clear"/>
        </w:rPr>
        <w:t>Открытия файлов, в том числе пустых, и самораспаковывающихся 7Z архивов, установленных на контроль, при нарушении их целостности.</w:t>
      </w:r>
    </w:p>
    <w:p>
      <w:pPr>
        <w:pStyle w:val="Style94"/>
        <w:numPr>
          <w:ilvl w:val="0"/>
          <w:numId w:val="12"/>
        </w:numPr>
        <w:rPr>
          <w:highlight w:val="none"/>
          <w:shd w:fill="auto" w:val="clear"/>
        </w:rPr>
      </w:pPr>
      <w:r>
        <w:rPr>
          <w:rFonts w:eastAsia="Calibri"/>
          <w:shd w:fill="auto" w:val="clear"/>
        </w:rPr>
        <w:t>В составе операционной системы должна быть реализована возможность ограничения полномочий пользователей по использованию консолей.</w:t>
      </w:r>
    </w:p>
    <w:p>
      <w:pPr>
        <w:pStyle w:val="Style94"/>
        <w:numPr>
          <w:ilvl w:val="0"/>
          <w:numId w:val="12"/>
        </w:numPr>
        <w:rPr>
          <w:highlight w:val="none"/>
          <w:shd w:fill="auto" w:val="clear"/>
        </w:rPr>
      </w:pPr>
      <w:r>
        <w:rPr>
          <w:rFonts w:eastAsia="Calibri"/>
          <w:shd w:fill="auto" w:val="clear"/>
        </w:rPr>
        <w:t>В операционной системе должна быть реализована возможность очистки и ограничения работы с оперативной памятью.</w:t>
      </w:r>
    </w:p>
    <w:p>
      <w:pPr>
        <w:pStyle w:val="Style94"/>
        <w:numPr>
          <w:ilvl w:val="0"/>
          <w:numId w:val="12"/>
        </w:numPr>
        <w:rPr/>
      </w:pPr>
      <w:r>
        <w:rPr>
          <w:rFonts w:eastAsia="Calibri"/>
          <w:shd w:fill="auto" w:val="clear"/>
        </w:rPr>
        <w:t>Должны быть обеспечены работы по устранению уязвимостей и включению информации об уязвимостях программного обеспечения операционной системы в банк данных угроз безопасности информации ФСТЭК России (</w:t>
      </w:r>
      <w:hyperlink r:id="rId4">
        <w:r>
          <w:rPr>
            <w:rStyle w:val="Hyperlink"/>
            <w:rFonts w:eastAsia="Calibri"/>
            <w:shd w:fill="auto" w:val="clear"/>
          </w:rPr>
          <w:t>https://bdu.fstec.ru/vul</w:t>
        </w:r>
      </w:hyperlink>
      <w:r>
        <w:rPr>
          <w:rFonts w:eastAsia="Calibri"/>
          <w:shd w:fill="auto" w:val="clear"/>
        </w:rPr>
        <w:t>).</w:t>
      </w:r>
    </w:p>
    <w:p>
      <w:pPr>
        <w:pStyle w:val="Style94"/>
        <w:numPr>
          <w:ilvl w:val="0"/>
          <w:numId w:val="12"/>
        </w:numPr>
        <w:rPr>
          <w:highlight w:val="none"/>
          <w:shd w:fill="auto" w:val="clear"/>
        </w:rPr>
      </w:pPr>
      <w:r>
        <w:rPr>
          <w:rFonts w:eastAsia="Calibri"/>
          <w:shd w:fill="auto" w:val="clear"/>
        </w:rPr>
        <w:t>Механизмами безопасности операционной системы должна быть обеспечена защита системных и привилегированных процессов от несанкционированного доступа и управления (исключение возможности повышения привилегий пользователей и управления привилегированными процессами в случае использования дефектов/уязвимостей в программном обеспечении информационной системы).</w:t>
      </w:r>
    </w:p>
    <w:p>
      <w:pPr>
        <w:pStyle w:val="Style94"/>
        <w:numPr>
          <w:ilvl w:val="0"/>
          <w:numId w:val="12"/>
        </w:numPr>
        <w:rPr>
          <w:highlight w:val="none"/>
          <w:shd w:fill="auto" w:val="clear"/>
        </w:rPr>
      </w:pPr>
      <w:r>
        <w:rPr>
          <w:rFonts w:eastAsia="Calibri"/>
          <w:shd w:fill="auto" w:val="clear"/>
        </w:rPr>
        <w:t>Операционная система должна обеспечивать запрет операций записи в системные каталоги и файлы (программы, файлы конфигурации), а также установки программного обеспечения, запуска и останова системных процессов операционной системы, вне зависимости от изменения пользователем своих привилегий в текущем сеансе работы.</w:t>
      </w:r>
    </w:p>
    <w:p>
      <w:pPr>
        <w:pStyle w:val="Style94"/>
        <w:numPr>
          <w:ilvl w:val="0"/>
          <w:numId w:val="12"/>
        </w:numPr>
        <w:rPr>
          <w:highlight w:val="none"/>
          <w:shd w:fill="auto" w:val="clear"/>
        </w:rPr>
      </w:pPr>
      <w:r>
        <w:rPr>
          <w:rFonts w:eastAsia="Calibri"/>
          <w:shd w:fill="auto" w:val="clear"/>
        </w:rPr>
        <w:t>Операционная система должна предоставлять средство настройки профиля системы со следующими возможностями:</w:t>
      </w:r>
    </w:p>
    <w:p>
      <w:pPr>
        <w:pStyle w:val="Style94"/>
        <w:rPr>
          <w:highlight w:val="none"/>
          <w:shd w:fill="auto" w:val="clear"/>
        </w:rPr>
      </w:pPr>
      <w:r>
        <w:rPr>
          <w:shd w:fill="auto" w:val="clear"/>
        </w:rPr>
        <w:t>Настройка комплекса средств защиты в соответствии с требованиями о защите информации, предъявляемыми к определенному классу защищенности информационных систем, при помощи графического интерфейса;</w:t>
      </w:r>
    </w:p>
    <w:p>
      <w:pPr>
        <w:pStyle w:val="Style94"/>
        <w:rPr>
          <w:highlight w:val="none"/>
          <w:shd w:fill="auto" w:val="clear"/>
        </w:rPr>
      </w:pPr>
      <w:r>
        <w:rPr>
          <w:shd w:fill="auto" w:val="clear"/>
        </w:rPr>
        <w:t>Импорт и экспорт настроек комплекса средств защиты системы.</w:t>
      </w:r>
    </w:p>
    <w:p>
      <w:pPr>
        <w:pStyle w:val="Style94"/>
        <w:numPr>
          <w:ilvl w:val="0"/>
          <w:numId w:val="12"/>
        </w:numPr>
        <w:rPr>
          <w:highlight w:val="none"/>
          <w:shd w:fill="auto" w:val="clear"/>
        </w:rPr>
      </w:pPr>
      <w:r>
        <w:rPr>
          <w:rFonts w:eastAsia="Calibri"/>
          <w:shd w:fill="auto" w:val="clear"/>
        </w:rPr>
        <w:t>Операционная система должна иметь графические средства для работы со сторонними устройствами аутентификации - токенами, обеспечивающие следующие возможности:</w:t>
      </w:r>
    </w:p>
    <w:p>
      <w:pPr>
        <w:pStyle w:val="Style94"/>
        <w:rPr>
          <w:highlight w:val="none"/>
          <w:shd w:fill="auto" w:val="clear"/>
        </w:rPr>
      </w:pPr>
      <w:r>
        <w:rPr>
          <w:shd w:fill="auto" w:val="clear"/>
        </w:rPr>
        <w:t>двухфакторная авторизация;</w:t>
      </w:r>
    </w:p>
    <w:p>
      <w:pPr>
        <w:pStyle w:val="Style94"/>
        <w:rPr>
          <w:highlight w:val="none"/>
          <w:shd w:fill="auto" w:val="clear"/>
        </w:rPr>
      </w:pPr>
      <w:r>
        <w:rPr>
          <w:shd w:fill="auto" w:val="clear"/>
        </w:rPr>
        <w:t>вход и разблокировка сессии по токену;</w:t>
      </w:r>
    </w:p>
    <w:p>
      <w:pPr>
        <w:pStyle w:val="Style94"/>
        <w:rPr>
          <w:highlight w:val="none"/>
          <w:shd w:fill="auto" w:val="clear"/>
        </w:rPr>
      </w:pPr>
      <w:r>
        <w:rPr>
          <w:shd w:fill="auto" w:val="clear"/>
        </w:rPr>
        <w:t>блокировка сессии при извлечении токена.</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Требования к функциональным возможностям операционной системы</w:t>
      </w:r>
    </w:p>
    <w:p>
      <w:pPr>
        <w:pStyle w:val="Style94"/>
        <w:numPr>
          <w:ilvl w:val="0"/>
          <w:numId w:val="12"/>
        </w:numPr>
        <w:rPr>
          <w:highlight w:val="none"/>
          <w:shd w:fill="auto" w:val="clear"/>
        </w:rPr>
      </w:pPr>
      <w:r>
        <w:rPr>
          <w:rFonts w:eastAsia="Calibri"/>
          <w:shd w:fill="auto" w:val="clear"/>
        </w:rPr>
        <w:t>Операционная система должна быть предназначена для функционирования на средствах вычислительной техники с аппаратной платформой х86-64, включая процессоры Intel не ниже 10-го поколения.</w:t>
      </w:r>
    </w:p>
    <w:p>
      <w:pPr>
        <w:pStyle w:val="Style94"/>
        <w:numPr>
          <w:ilvl w:val="0"/>
          <w:numId w:val="12"/>
        </w:numPr>
        <w:rPr>
          <w:highlight w:val="none"/>
          <w:shd w:fill="auto" w:val="clear"/>
        </w:rPr>
      </w:pPr>
      <w:r>
        <w:rPr>
          <w:rFonts w:eastAsia="Calibri"/>
          <w:shd w:fill="auto" w:val="clear"/>
        </w:rPr>
        <w:t>Операционная система должна поддерживать работу на ядре Linux версии не ниже 6.1 с возможностью обновления до новых версий ядра (в соответствии с документацией на продукт).</w:t>
      </w:r>
    </w:p>
    <w:p>
      <w:pPr>
        <w:pStyle w:val="Style94"/>
        <w:numPr>
          <w:ilvl w:val="0"/>
          <w:numId w:val="12"/>
        </w:numPr>
        <w:rPr>
          <w:highlight w:val="none"/>
          <w:shd w:fill="auto" w:val="clear"/>
        </w:rPr>
      </w:pPr>
      <w:r>
        <w:rPr>
          <w:rFonts w:eastAsia="Calibri"/>
          <w:shd w:fill="auto" w:val="clear"/>
        </w:rPr>
        <w:t>Операционная система должна обеспечивать функционал в графическом исполнении:</w:t>
      </w:r>
    </w:p>
    <w:p>
      <w:pPr>
        <w:pStyle w:val="Style94"/>
        <w:rPr>
          <w:highlight w:val="none"/>
          <w:shd w:fill="auto" w:val="clear"/>
        </w:rPr>
      </w:pPr>
      <w:r>
        <w:rPr>
          <w:shd w:fill="auto" w:val="clear"/>
        </w:rPr>
        <w:t>наличие графической утилиты управления драйверами nvidia, intel, amd с возможностью выбора драйверов и возможностью восстановления драйверов при неудачной загрузке операционной системы;</w:t>
      </w:r>
    </w:p>
    <w:p>
      <w:pPr>
        <w:pStyle w:val="Style94"/>
        <w:rPr>
          <w:highlight w:val="none"/>
          <w:shd w:fill="auto" w:val="clear"/>
        </w:rPr>
      </w:pPr>
      <w:r>
        <w:rPr>
          <w:shd w:fill="auto" w:val="clear"/>
        </w:rPr>
        <w:t>наличие графических средств настройки выделяемых ресурсов памяти пользователям (квоты);</w:t>
      </w:r>
    </w:p>
    <w:p>
      <w:pPr>
        <w:pStyle w:val="Style94"/>
        <w:rPr>
          <w:highlight w:val="none"/>
          <w:shd w:fill="auto" w:val="clear"/>
        </w:rPr>
      </w:pPr>
      <w:r>
        <w:rPr>
          <w:shd w:fill="auto" w:val="clear"/>
        </w:rPr>
        <w:t>наличие графического инструмента для просмотра и редактирования значения переменных окружения (просматривать текущие переменные, изменять значение и описание переменных, удалять и объявлять переменные);</w:t>
      </w:r>
    </w:p>
    <w:p>
      <w:pPr>
        <w:pStyle w:val="Style94"/>
        <w:rPr>
          <w:highlight w:val="none"/>
          <w:shd w:fill="auto" w:val="clear"/>
        </w:rPr>
      </w:pPr>
      <w:r>
        <w:rPr>
          <w:shd w:fill="auto" w:val="clear"/>
        </w:rPr>
        <w:t>наличие графических средств настройки и изменения ориентации экрана в ручном или автоматическом режиме, с возможностью калибровки поворота, а также задания ориентации по умолчанию;</w:t>
      </w:r>
    </w:p>
    <w:p>
      <w:pPr>
        <w:pStyle w:val="Style94"/>
        <w:rPr>
          <w:highlight w:val="none"/>
          <w:shd w:fill="auto" w:val="clear"/>
        </w:rPr>
      </w:pPr>
      <w:r>
        <w:rPr>
          <w:shd w:fill="auto" w:val="clear"/>
        </w:rPr>
        <w:t>наличие графического инструмента управления регистрацией событий, включающего в себя управление сервисом системных событий, настройку ротации событий и настройку параметров сбора системных событий, наличие графического средства просмотра системных событий;</w:t>
      </w:r>
    </w:p>
    <w:p>
      <w:pPr>
        <w:pStyle w:val="Style94"/>
        <w:rPr>
          <w:highlight w:val="none"/>
          <w:shd w:fill="auto" w:val="clear"/>
        </w:rPr>
      </w:pPr>
      <w:r>
        <w:rPr>
          <w:shd w:fill="auto" w:val="clear"/>
        </w:rPr>
        <w:t>наличие графических средств настройки сохранения и восстановления сессии пользователя (восстановление при старте запущенных программ и их расположения после полного отключения электропитания автоматизированного рабочего места);</w:t>
      </w:r>
    </w:p>
    <w:p>
      <w:pPr>
        <w:pStyle w:val="Style94"/>
        <w:rPr>
          <w:highlight w:val="none"/>
          <w:shd w:fill="auto" w:val="clear"/>
        </w:rPr>
      </w:pPr>
      <w:r>
        <w:rPr>
          <w:shd w:fill="auto" w:val="clear"/>
        </w:rPr>
        <w:t>наличие графических средств настройки потребления электроэнергии (яркость экрана, потухание, выключение монитора, переход в ждущий режим, сон и гибернацию) в случае изменения настроек электропитания (питание от сети, питание от батареи, низкий заряд батареи);</w:t>
      </w:r>
    </w:p>
    <w:p>
      <w:pPr>
        <w:pStyle w:val="Style94"/>
        <w:rPr>
          <w:highlight w:val="none"/>
          <w:shd w:fill="auto" w:val="clear"/>
        </w:rPr>
      </w:pPr>
      <w:r>
        <w:rPr>
          <w:shd w:fill="auto" w:val="clear"/>
        </w:rPr>
        <w:t>наличие графических средств настройки и изменения ориентации экрана в ручном или автоматическом режиме, с возможностью калибровки поворота, а также задания ориентации по умолчанию;</w:t>
      </w:r>
    </w:p>
    <w:p>
      <w:pPr>
        <w:pStyle w:val="Style94"/>
        <w:rPr>
          <w:highlight w:val="none"/>
          <w:shd w:fill="auto" w:val="clear"/>
        </w:rPr>
      </w:pPr>
      <w:r>
        <w:rPr>
          <w:shd w:fill="auto" w:val="clear"/>
        </w:rPr>
        <w:t>наличие графических средств настройки сохранения и восстановления сессии пользователя (восстановление при старте запущенных программ и их расположения после полного отключения электропитания автоматизированного рабочего места);</w:t>
      </w:r>
    </w:p>
    <w:p>
      <w:pPr>
        <w:pStyle w:val="Style94"/>
        <w:rPr>
          <w:highlight w:val="none"/>
          <w:shd w:fill="auto" w:val="clear"/>
        </w:rPr>
      </w:pPr>
      <w:r>
        <w:rPr>
          <w:shd w:fill="auto" w:val="clear"/>
        </w:rPr>
        <w:t>наличие графических средств настройки параметров загрузчика операционной системы (загружаемая операционная система по умолчанию, передаваемые параметры ядра, таймаут для ожидания действий пользователя, выбора источника ввода данных при загрузке, выбор терминала для вывода информации);</w:t>
      </w:r>
    </w:p>
    <w:p>
      <w:pPr>
        <w:pStyle w:val="Style94"/>
        <w:rPr>
          <w:highlight w:val="none"/>
          <w:shd w:fill="auto" w:val="clear"/>
        </w:rPr>
      </w:pPr>
      <w:r>
        <w:rPr>
          <w:shd w:fill="auto" w:val="clear"/>
        </w:rPr>
        <w:t>наличие графических средств расчёта контрольных сумм файлов и их сравнения;</w:t>
      </w:r>
    </w:p>
    <w:p>
      <w:pPr>
        <w:pStyle w:val="Style94"/>
        <w:rPr>
          <w:highlight w:val="none"/>
          <w:shd w:fill="auto" w:val="clear"/>
        </w:rPr>
      </w:pPr>
      <w:r>
        <w:rPr>
          <w:shd w:fill="auto" w:val="clear"/>
        </w:rPr>
        <w:t>наличие графических средств работы с архивами (zip, rar, 7zip, tar, tgz, tar.gz, tar.bz, tar.xz, iso);</w:t>
      </w:r>
    </w:p>
    <w:p>
      <w:pPr>
        <w:pStyle w:val="Style94"/>
        <w:rPr>
          <w:highlight w:val="none"/>
          <w:shd w:fill="auto" w:val="clear"/>
        </w:rPr>
      </w:pPr>
      <w:r>
        <w:rPr>
          <w:shd w:fill="auto" w:val="clear"/>
        </w:rPr>
        <w:t>наличие графических средств для оповещения пользователя о конфликте IP-адресов при подключении к сети;</w:t>
      </w:r>
    </w:p>
    <w:p>
      <w:pPr>
        <w:pStyle w:val="Style94"/>
        <w:rPr>
          <w:highlight w:val="none"/>
          <w:shd w:fill="auto" w:val="clear"/>
        </w:rPr>
      </w:pPr>
      <w:r>
        <w:rPr>
          <w:shd w:fill="auto" w:val="clear"/>
        </w:rPr>
        <w:t>наличие графических средств настройки цветового баланса для каждого монитора по отдельности;</w:t>
      </w:r>
    </w:p>
    <w:p>
      <w:pPr>
        <w:pStyle w:val="Style94"/>
        <w:rPr>
          <w:highlight w:val="none"/>
          <w:shd w:fill="auto" w:val="clear"/>
        </w:rPr>
      </w:pPr>
      <w:r>
        <w:rPr>
          <w:shd w:fill="auto" w:val="clear"/>
        </w:rPr>
        <w:t>наличие возможности присвоить пользовательские наименования звуковым устройствам при помощи графического интерфейса;</w:t>
      </w:r>
    </w:p>
    <w:p>
      <w:pPr>
        <w:pStyle w:val="Style94"/>
        <w:rPr>
          <w:highlight w:val="none"/>
          <w:shd w:fill="auto" w:val="clear"/>
        </w:rPr>
      </w:pPr>
      <w:r>
        <w:rPr>
          <w:shd w:fill="auto" w:val="clear"/>
        </w:rPr>
        <w:t>наличие графических средств ввода в домен, в том числе с возможностью добавить компьютер в нужное подразделение (OU, Organizational Unit) для клиента Active Directory;</w:t>
      </w:r>
    </w:p>
    <w:p>
      <w:pPr>
        <w:pStyle w:val="Style94"/>
        <w:rPr>
          <w:highlight w:val="none"/>
          <w:shd w:fill="auto" w:val="clear"/>
        </w:rPr>
      </w:pPr>
      <w:r>
        <w:rPr>
          <w:shd w:fill="auto" w:val="clear"/>
        </w:rPr>
        <w:t>наличие графического инструмента для настройки частот процессора.</w:t>
      </w:r>
    </w:p>
    <w:p>
      <w:pPr>
        <w:pStyle w:val="Style94"/>
        <w:rPr>
          <w:highlight w:val="none"/>
          <w:shd w:fill="auto" w:val="clear"/>
        </w:rPr>
      </w:pPr>
      <w:r>
        <w:rPr>
          <w:shd w:fill="auto" w:val="clear"/>
        </w:rPr>
        <w:t>наличие графических средств создания, настройки и управления несколькими репозиториями используемого программного обеспечения со следующим функционалом:</w:t>
      </w:r>
    </w:p>
    <w:p>
      <w:pPr>
        <w:pStyle w:val="ListParagraph"/>
        <w:numPr>
          <w:ilvl w:val="0"/>
          <w:numId w:val="16"/>
        </w:numPr>
        <w:spacing w:before="0" w:after="200"/>
        <w:contextualSpacing/>
        <w:rPr>
          <w:highlight w:val="none"/>
          <w:shd w:fill="auto" w:val="clear"/>
        </w:rPr>
      </w:pPr>
      <w:r>
        <w:rPr>
          <w:rFonts w:eastAsia="Calibri"/>
          <w:shd w:fill="auto" w:val="clear"/>
        </w:rPr>
        <w:t>проверка зависимостей пакетной базы;</w:t>
      </w:r>
    </w:p>
    <w:p>
      <w:pPr>
        <w:pStyle w:val="ListParagraph"/>
        <w:numPr>
          <w:ilvl w:val="0"/>
          <w:numId w:val="16"/>
        </w:numPr>
        <w:spacing w:before="0" w:after="200"/>
        <w:contextualSpacing/>
        <w:rPr>
          <w:highlight w:val="none"/>
          <w:shd w:fill="auto" w:val="clear"/>
        </w:rPr>
      </w:pPr>
      <w:r>
        <w:rPr>
          <w:rFonts w:eastAsia="Calibri"/>
          <w:shd w:fill="auto" w:val="clear"/>
        </w:rPr>
        <w:t>автоматическая публикация в сети по протоколам http и ftp;</w:t>
      </w:r>
    </w:p>
    <w:p>
      <w:pPr>
        <w:pStyle w:val="ListParagraph"/>
        <w:numPr>
          <w:ilvl w:val="0"/>
          <w:numId w:val="16"/>
        </w:numPr>
        <w:rPr>
          <w:highlight w:val="none"/>
          <w:shd w:fill="auto" w:val="clear"/>
        </w:rPr>
      </w:pPr>
      <w:r>
        <w:rPr>
          <w:rFonts w:eastAsia="Calibri"/>
          <w:shd w:fill="auto" w:val="clear"/>
        </w:rPr>
        <w:t>выбор конкретных репозиториев, из которых будет произведено обновление пакетов.</w:t>
      </w:r>
    </w:p>
    <w:p>
      <w:pPr>
        <w:pStyle w:val="Style94"/>
        <w:rPr>
          <w:highlight w:val="none"/>
          <w:shd w:fill="auto" w:val="clear"/>
        </w:rPr>
      </w:pPr>
      <w:r>
        <w:rPr>
          <w:shd w:fill="auto" w:val="clear"/>
        </w:rPr>
        <w:t>наличие средств подключения к операционной системе по протоколу RDP, со следующими возможностями по умолчанию:</w:t>
      </w:r>
    </w:p>
    <w:p>
      <w:pPr>
        <w:pStyle w:val="ListParagraph"/>
        <w:numPr>
          <w:ilvl w:val="0"/>
          <w:numId w:val="16"/>
        </w:numPr>
        <w:spacing w:before="0" w:after="200"/>
        <w:contextualSpacing/>
        <w:rPr>
          <w:highlight w:val="none"/>
          <w:shd w:fill="auto" w:val="clear"/>
        </w:rPr>
      </w:pPr>
      <w:r>
        <w:rPr>
          <w:rFonts w:eastAsia="Calibri"/>
          <w:shd w:fill="auto" w:val="clear"/>
        </w:rPr>
        <w:t>вход в сессию локально, а затем подключение к этой сессии удаленно с автоматической блокировкой доступа к сессии локально и возможностью одновременной работы локально в графической сессии из-под другого пользователя;</w:t>
      </w:r>
    </w:p>
    <w:p>
      <w:pPr>
        <w:pStyle w:val="ListParagraph"/>
        <w:numPr>
          <w:ilvl w:val="0"/>
          <w:numId w:val="16"/>
        </w:numPr>
        <w:spacing w:before="0" w:after="200"/>
        <w:contextualSpacing/>
        <w:rPr>
          <w:highlight w:val="none"/>
          <w:shd w:fill="auto" w:val="clear"/>
        </w:rPr>
      </w:pPr>
      <w:r>
        <w:rPr>
          <w:rFonts w:eastAsia="Calibri"/>
          <w:shd w:fill="auto" w:val="clear"/>
        </w:rPr>
        <w:t>вход в сессию удаленно, а затем подключение к этой сессии локально при входе в систему с автоматическим отключением удаленного клиента;</w:t>
      </w:r>
    </w:p>
    <w:p>
      <w:pPr>
        <w:pStyle w:val="ListParagraph"/>
        <w:numPr>
          <w:ilvl w:val="0"/>
          <w:numId w:val="16"/>
        </w:numPr>
        <w:rPr>
          <w:highlight w:val="none"/>
          <w:shd w:fill="auto" w:val="clear"/>
        </w:rPr>
      </w:pPr>
      <w:r>
        <w:rPr>
          <w:rFonts w:eastAsia="Calibri"/>
          <w:shd w:fill="auto" w:val="clear"/>
        </w:rPr>
        <w:t>проброс нескольких смарт-карт или токенов (eToken, Рутокен, JaCarta) с возможностью их одновременного использования на сервере и клиенте.</w:t>
      </w:r>
    </w:p>
    <w:p>
      <w:pPr>
        <w:pStyle w:val="Style94"/>
        <w:rPr>
          <w:highlight w:val="none"/>
          <w:shd w:fill="auto" w:val="clear"/>
        </w:rPr>
      </w:pPr>
      <w:r>
        <w:rPr>
          <w:shd w:fill="auto" w:val="clear"/>
        </w:rPr>
        <w:t>наличие графических средств настройки системы, в том числе:</w:t>
      </w:r>
    </w:p>
    <w:p>
      <w:pPr>
        <w:pStyle w:val="ListParagraph"/>
        <w:numPr>
          <w:ilvl w:val="0"/>
          <w:numId w:val="16"/>
        </w:numPr>
        <w:spacing w:before="0" w:after="200"/>
        <w:contextualSpacing/>
        <w:rPr>
          <w:highlight w:val="none"/>
          <w:shd w:fill="auto" w:val="clear"/>
        </w:rPr>
      </w:pPr>
      <w:r>
        <w:rPr>
          <w:rFonts w:eastAsia="Calibri"/>
          <w:shd w:fill="auto" w:val="clear"/>
        </w:rPr>
        <w:t>установки и синхронизация времени;</w:t>
      </w:r>
    </w:p>
    <w:p>
      <w:pPr>
        <w:pStyle w:val="ListParagraph"/>
        <w:numPr>
          <w:ilvl w:val="0"/>
          <w:numId w:val="16"/>
        </w:numPr>
        <w:spacing w:before="0" w:after="200"/>
        <w:contextualSpacing/>
        <w:rPr>
          <w:highlight w:val="none"/>
          <w:shd w:fill="auto" w:val="clear"/>
        </w:rPr>
      </w:pPr>
      <w:r>
        <w:rPr>
          <w:rFonts w:eastAsia="Calibri"/>
          <w:shd w:fill="auto" w:val="clear"/>
        </w:rPr>
        <w:t>управления пользователями;</w:t>
      </w:r>
    </w:p>
    <w:p>
      <w:pPr>
        <w:pStyle w:val="ListParagraph"/>
        <w:numPr>
          <w:ilvl w:val="0"/>
          <w:numId w:val="16"/>
        </w:numPr>
        <w:spacing w:before="0" w:after="200"/>
        <w:contextualSpacing/>
        <w:rPr>
          <w:highlight w:val="none"/>
          <w:shd w:fill="auto" w:val="clear"/>
        </w:rPr>
      </w:pPr>
      <w:r>
        <w:rPr>
          <w:rFonts w:eastAsia="Calibri"/>
          <w:shd w:fill="auto" w:val="clear"/>
        </w:rPr>
        <w:t>просмотра системных журналов;</w:t>
      </w:r>
    </w:p>
    <w:p>
      <w:pPr>
        <w:pStyle w:val="ListParagraph"/>
        <w:numPr>
          <w:ilvl w:val="0"/>
          <w:numId w:val="16"/>
        </w:numPr>
        <w:rPr>
          <w:highlight w:val="none"/>
          <w:shd w:fill="auto" w:val="clear"/>
        </w:rPr>
      </w:pPr>
      <w:r>
        <w:rPr>
          <w:rFonts w:eastAsia="Calibri"/>
          <w:shd w:fill="auto" w:val="clear"/>
        </w:rPr>
        <w:t>настройки и обслуживания принтеров.</w:t>
      </w:r>
    </w:p>
    <w:p>
      <w:pPr>
        <w:pStyle w:val="Style94"/>
        <w:rPr>
          <w:highlight w:val="none"/>
          <w:shd w:fill="auto" w:val="clear"/>
        </w:rPr>
      </w:pPr>
      <w:r>
        <w:rPr>
          <w:shd w:fill="auto" w:val="clear"/>
        </w:rPr>
        <w:t>наличие графического центра уведомлений на рабочем столе с следующими возможностями:</w:t>
      </w:r>
    </w:p>
    <w:p>
      <w:pPr>
        <w:pStyle w:val="ListParagraph"/>
        <w:numPr>
          <w:ilvl w:val="0"/>
          <w:numId w:val="16"/>
        </w:numPr>
        <w:spacing w:before="0" w:after="200"/>
        <w:contextualSpacing/>
        <w:rPr>
          <w:highlight w:val="none"/>
          <w:shd w:fill="auto" w:val="clear"/>
        </w:rPr>
      </w:pPr>
      <w:r>
        <w:rPr>
          <w:rFonts w:eastAsia="Calibri"/>
          <w:shd w:fill="auto" w:val="clear"/>
        </w:rPr>
        <w:t>настройка расположения уведомлений;</w:t>
      </w:r>
    </w:p>
    <w:p>
      <w:pPr>
        <w:pStyle w:val="ListParagraph"/>
        <w:numPr>
          <w:ilvl w:val="0"/>
          <w:numId w:val="16"/>
        </w:numPr>
        <w:spacing w:before="0" w:after="200"/>
        <w:contextualSpacing/>
        <w:rPr>
          <w:highlight w:val="none"/>
          <w:shd w:fill="auto" w:val="clear"/>
        </w:rPr>
      </w:pPr>
      <w:r>
        <w:rPr>
          <w:rFonts w:eastAsia="Calibri"/>
          <w:shd w:fill="auto" w:val="clear"/>
        </w:rPr>
        <w:t>возможность индивидуальных настроек для конкретных приложений;</w:t>
      </w:r>
    </w:p>
    <w:p>
      <w:pPr>
        <w:pStyle w:val="ListParagraph"/>
        <w:numPr>
          <w:ilvl w:val="0"/>
          <w:numId w:val="16"/>
        </w:numPr>
        <w:rPr>
          <w:highlight w:val="none"/>
          <w:shd w:fill="auto" w:val="clear"/>
        </w:rPr>
      </w:pPr>
      <w:r>
        <w:rPr>
          <w:rFonts w:eastAsia="Calibri"/>
          <w:shd w:fill="auto" w:val="clear"/>
        </w:rPr>
        <w:t>настройка отображения уведомлений на экране блокировке и при разблокировке.</w:t>
      </w:r>
    </w:p>
    <w:p>
      <w:pPr>
        <w:pStyle w:val="Style94"/>
        <w:rPr>
          <w:highlight w:val="none"/>
          <w:shd w:fill="auto" w:val="clear"/>
        </w:rPr>
      </w:pPr>
      <w:r>
        <w:rPr>
          <w:shd w:fill="auto" w:val="clear"/>
        </w:rPr>
        <w:t>наличие графических инструментов глобального поиска по расположению, содержимому, времени создания или изменения, размеру файла, с отображением результатов поискового запроса в интерактивном окне со следующими возможностями:</w:t>
      </w:r>
    </w:p>
    <w:p>
      <w:pPr>
        <w:pStyle w:val="ListParagraph"/>
        <w:numPr>
          <w:ilvl w:val="0"/>
          <w:numId w:val="16"/>
        </w:numPr>
        <w:spacing w:before="0" w:after="200"/>
        <w:contextualSpacing/>
        <w:rPr>
          <w:highlight w:val="none"/>
          <w:shd w:fill="auto" w:val="clear"/>
        </w:rPr>
      </w:pPr>
      <w:r>
        <w:rPr>
          <w:rFonts w:eastAsia="Calibri"/>
          <w:shd w:fill="auto" w:val="clear"/>
        </w:rPr>
        <w:t>группировки и фильтрации результатов по найденным категориям (файлы, приложения, папки, архивы);</w:t>
      </w:r>
    </w:p>
    <w:p>
      <w:pPr>
        <w:pStyle w:val="ListParagraph"/>
        <w:numPr>
          <w:ilvl w:val="0"/>
          <w:numId w:val="16"/>
        </w:numPr>
        <w:rPr>
          <w:highlight w:val="none"/>
          <w:shd w:fill="auto" w:val="clear"/>
        </w:rPr>
      </w:pPr>
      <w:r>
        <w:rPr>
          <w:rFonts w:eastAsia="Calibri"/>
          <w:shd w:fill="auto" w:val="clear"/>
        </w:rPr>
        <w:t>отображения свойств найденных файлов (имя, тип, путь, размер).</w:t>
      </w:r>
    </w:p>
    <w:p>
      <w:pPr>
        <w:pStyle w:val="Style94"/>
        <w:numPr>
          <w:ilvl w:val="0"/>
          <w:numId w:val="12"/>
        </w:numPr>
        <w:rPr>
          <w:highlight w:val="none"/>
          <w:shd w:fill="auto" w:val="clear"/>
        </w:rPr>
      </w:pPr>
      <w:r>
        <w:rPr>
          <w:rFonts w:eastAsia="Calibri"/>
          <w:shd w:fill="auto" w:val="clear"/>
        </w:rPr>
        <w:t>Операционная система должна поддерживать следующий функционал:</w:t>
      </w:r>
    </w:p>
    <w:p>
      <w:pPr>
        <w:pStyle w:val="Style94"/>
        <w:rPr>
          <w:highlight w:val="none"/>
          <w:shd w:fill="auto" w:val="clear"/>
        </w:rPr>
      </w:pPr>
      <w:r>
        <w:rPr>
          <w:shd w:fill="auto" w:val="clear"/>
        </w:rPr>
        <w:t>графический интерфейс, адаптированный под использование на портативных устройствах с поддержкой управления настройками системы, приложениями и сервисами (включая контекстные меню) с помощью touchscreen (сенсорный экран) с возможностью автоматического отключения при подключении мышки;</w:t>
      </w:r>
    </w:p>
    <w:p>
      <w:pPr>
        <w:pStyle w:val="Style94"/>
        <w:rPr>
          <w:highlight w:val="none"/>
          <w:shd w:fill="auto" w:val="clear"/>
        </w:rPr>
      </w:pPr>
      <w:r>
        <w:rPr>
          <w:shd w:fill="auto" w:val="clear"/>
        </w:rPr>
        <w:t>возможность подключения к сети wi-fi до входа в систему, а также аутентификация в сети wi-fi с использованием смарт-карты;</w:t>
      </w:r>
    </w:p>
    <w:p>
      <w:pPr>
        <w:pStyle w:val="Style94"/>
        <w:rPr>
          <w:highlight w:val="none"/>
          <w:shd w:fill="auto" w:val="clear"/>
        </w:rPr>
      </w:pPr>
      <w:r>
        <w:rPr>
          <w:shd w:fill="auto" w:val="clear"/>
        </w:rPr>
        <w:t>наличие в репозитории операционной системы браузера из единого реестра российских программ для электронных вычислительных машин и баз данных;</w:t>
      </w:r>
    </w:p>
    <w:p>
      <w:pPr>
        <w:pStyle w:val="Style94"/>
        <w:rPr>
          <w:highlight w:val="none"/>
          <w:shd w:fill="auto" w:val="clear"/>
        </w:rPr>
      </w:pPr>
      <w:r>
        <w:rPr>
          <w:shd w:fill="auto" w:val="clear"/>
        </w:rPr>
        <w:t>возможность ввода аутентификационных данных пользователя при входе в систему и при разблокировке экрана с использованием виртуальной клавиатуры без необходимости дополнительных настроек.</w:t>
      </w:r>
    </w:p>
    <w:p>
      <w:pPr>
        <w:pStyle w:val="Style94"/>
        <w:numPr>
          <w:ilvl w:val="0"/>
          <w:numId w:val="12"/>
        </w:numPr>
        <w:rPr>
          <w:highlight w:val="none"/>
          <w:shd w:fill="auto" w:val="clear"/>
        </w:rPr>
      </w:pPr>
      <w:r>
        <w:rPr>
          <w:rFonts w:eastAsia="Calibri"/>
          <w:shd w:fill="auto" w:val="clear"/>
        </w:rPr>
        <w:t>Операционная система обеспечивает поддержку файловых систем и сетевых протоколов:</w:t>
      </w:r>
    </w:p>
    <w:p>
      <w:pPr>
        <w:pStyle w:val="Style94"/>
        <w:rPr>
          <w:highlight w:val="none"/>
          <w:shd w:fill="auto" w:val="clear"/>
        </w:rPr>
      </w:pPr>
      <w:r>
        <w:rPr>
          <w:shd w:fill="auto" w:val="clear"/>
          <w:lang w:val="en-US"/>
        </w:rPr>
        <w:t>ext2/3/4, fat, ntfs, iso9660, XFS, ZFS, BTRFS;</w:t>
      </w:r>
    </w:p>
    <w:p>
      <w:pPr>
        <w:pStyle w:val="Style94"/>
        <w:rPr>
          <w:highlight w:val="none"/>
          <w:shd w:fill="auto" w:val="clear"/>
        </w:rPr>
      </w:pPr>
      <w:r>
        <w:rPr>
          <w:shd w:fill="auto" w:val="clear"/>
          <w:lang w:val="en-US"/>
        </w:rPr>
        <w:t>TCP/IP, DHCP, DNS, FTP, TFTP, SMTP, IMAP, HTTP(S), NTP, SSH, NFS, SMB;</w:t>
      </w:r>
    </w:p>
    <w:p>
      <w:pPr>
        <w:pStyle w:val="Style94"/>
        <w:rPr>
          <w:highlight w:val="none"/>
          <w:shd w:fill="auto" w:val="clear"/>
        </w:rPr>
      </w:pPr>
      <w:r>
        <w:rPr>
          <w:shd w:fill="auto" w:val="clear"/>
        </w:rPr>
        <w:t>поддержка стандарта ISO9660;</w:t>
      </w:r>
    </w:p>
    <w:p>
      <w:pPr>
        <w:pStyle w:val="Style94"/>
        <w:rPr>
          <w:highlight w:val="none"/>
          <w:shd w:fill="auto" w:val="clear"/>
        </w:rPr>
      </w:pPr>
      <w:r>
        <w:rPr>
          <w:shd w:fill="auto" w:val="clear"/>
        </w:rPr>
        <w:t>наличие средств подключения ресурсов WebDAV в качестве локальной файловой системы для возможности использования их стандартными приложениями операционной системы.</w:t>
      </w:r>
    </w:p>
    <w:p>
      <w:pPr>
        <w:pStyle w:val="Style94"/>
        <w:numPr>
          <w:ilvl w:val="0"/>
          <w:numId w:val="12"/>
        </w:numPr>
        <w:rPr>
          <w:highlight w:val="none"/>
          <w:shd w:fill="auto" w:val="clear"/>
        </w:rPr>
      </w:pPr>
      <w:r>
        <w:rPr>
          <w:rFonts w:eastAsia="Calibri"/>
          <w:shd w:fill="auto" w:val="clear"/>
        </w:rPr>
        <w:t xml:space="preserve">Операционная система должна обеспечиватьт возможность создания точек восстановления (снапшотов) для последующего возвращения системы к исходному состоянию в случае сбоя, а также иметь возможность возврата к состоянию до начала установки обновлений. </w:t>
      </w:r>
    </w:p>
    <w:p>
      <w:pPr>
        <w:pStyle w:val="Style94"/>
        <w:numPr>
          <w:ilvl w:val="0"/>
          <w:numId w:val="12"/>
        </w:numPr>
        <w:rPr>
          <w:highlight w:val="none"/>
          <w:shd w:fill="auto" w:val="clear"/>
        </w:rPr>
      </w:pPr>
      <w:r>
        <w:rPr>
          <w:rFonts w:eastAsia="Calibri"/>
          <w:shd w:fill="auto" w:val="clear"/>
        </w:rPr>
        <w:t>Операционная система должна обеспечивать среду функционирования для сертифицированных средств криптографической защиты информации, предназначенных для создания и проверки электронной подписи.</w:t>
      </w:r>
    </w:p>
    <w:p>
      <w:pPr>
        <w:pStyle w:val="Style94"/>
        <w:numPr>
          <w:ilvl w:val="0"/>
          <w:numId w:val="12"/>
        </w:numPr>
        <w:rPr>
          <w:highlight w:val="none"/>
          <w:shd w:fill="auto" w:val="clear"/>
        </w:rPr>
      </w:pPr>
      <w:r>
        <w:rPr>
          <w:rFonts w:eastAsia="Calibri"/>
          <w:shd w:fill="auto" w:val="clear"/>
        </w:rPr>
        <w:t>Установщик операционной системы должен иметь следующий функционал:</w:t>
      </w:r>
    </w:p>
    <w:p>
      <w:pPr>
        <w:pStyle w:val="Style94"/>
        <w:rPr>
          <w:highlight w:val="none"/>
          <w:shd w:fill="auto" w:val="clear"/>
        </w:rPr>
      </w:pPr>
      <w:r>
        <w:rPr>
          <w:shd w:fill="auto" w:val="clear"/>
        </w:rPr>
        <w:t>обеспечивать возможность запуска VNC сервера для удаленного подключения к клиентским машинам и управления ими как на этапе загрузки с установочного диска в главном меню программы установки, так и непосредственно в LiveCD;</w:t>
      </w:r>
    </w:p>
    <w:p>
      <w:pPr>
        <w:pStyle w:val="Style94"/>
        <w:rPr>
          <w:highlight w:val="none"/>
          <w:shd w:fill="auto" w:val="clear"/>
        </w:rPr>
      </w:pPr>
      <w:r>
        <w:rPr>
          <w:shd w:fill="auto" w:val="clear"/>
        </w:rPr>
        <w:t>возможность автоматической установки при помощи файла конфигурации формата .yaml;</w:t>
      </w:r>
    </w:p>
    <w:p>
      <w:pPr>
        <w:pStyle w:val="Style94"/>
        <w:rPr>
          <w:highlight w:val="none"/>
          <w:shd w:fill="auto" w:val="clear"/>
        </w:rPr>
      </w:pPr>
      <w:r>
        <w:rPr>
          <w:shd w:fill="auto" w:val="clear"/>
        </w:rPr>
        <w:t>возможность задания параметров для администратора и нескольких локальных пользователей;</w:t>
      </w:r>
    </w:p>
    <w:p>
      <w:pPr>
        <w:pStyle w:val="Style94"/>
        <w:rPr>
          <w:highlight w:val="none"/>
          <w:shd w:fill="auto" w:val="clear"/>
        </w:rPr>
      </w:pPr>
      <w:r>
        <w:rPr>
          <w:shd w:fill="auto" w:val="clear"/>
        </w:rPr>
        <w:t>предоставлять возможность установки любых пакетов из репозитория операционной системы во время установки.</w:t>
      </w:r>
    </w:p>
    <w:p>
      <w:pPr>
        <w:pStyle w:val="Style94"/>
        <w:numPr>
          <w:ilvl w:val="0"/>
          <w:numId w:val="12"/>
        </w:numPr>
        <w:rPr>
          <w:highlight w:val="none"/>
          <w:shd w:fill="auto" w:val="clear"/>
        </w:rPr>
      </w:pPr>
      <w:r>
        <w:rPr>
          <w:rFonts w:eastAsia="Calibri"/>
          <w:shd w:fill="auto" w:val="clear"/>
        </w:rPr>
        <w:t>Операционная система должна предоставлять инструмент для обновления между мажорными версиями с сохранением настроек операционной системы и ПО.</w:t>
      </w:r>
    </w:p>
    <w:p>
      <w:pPr>
        <w:pStyle w:val="Style94"/>
        <w:numPr>
          <w:ilvl w:val="0"/>
          <w:numId w:val="12"/>
        </w:numPr>
        <w:rPr>
          <w:highlight w:val="none"/>
          <w:shd w:fill="auto" w:val="clear"/>
        </w:rPr>
      </w:pPr>
      <w:r>
        <w:rPr>
          <w:rFonts w:eastAsia="Calibri"/>
          <w:shd w:fill="auto" w:val="clear"/>
        </w:rPr>
        <w:t>Операционная система должна предоставлять средства для локальной виртуализации (виртуальные машины, созданные на рабочей станции или удаленном сервере и используемые в однопользовательском режиме) с графическим интерфейсом управления и возможностью группировать отображаемые виртуальные машины.</w:t>
      </w:r>
    </w:p>
    <w:p>
      <w:pPr>
        <w:pStyle w:val="Style94"/>
        <w:numPr>
          <w:ilvl w:val="0"/>
          <w:numId w:val="12"/>
        </w:numPr>
        <w:rPr>
          <w:highlight w:val="none"/>
          <w:shd w:fill="auto" w:val="clear"/>
        </w:rPr>
      </w:pPr>
      <w:r>
        <w:rPr>
          <w:rFonts w:eastAsia="Calibri"/>
          <w:shd w:fill="auto" w:val="clear"/>
        </w:rPr>
        <w:t>Операционная система должна предоставлять специальные возможности:</w:t>
      </w:r>
    </w:p>
    <w:p>
      <w:pPr>
        <w:pStyle w:val="Style94"/>
        <w:rPr>
          <w:highlight w:val="none"/>
          <w:shd w:fill="auto" w:val="clear"/>
        </w:rPr>
      </w:pPr>
      <w:r>
        <w:rPr>
          <w:shd w:fill="auto" w:val="clear"/>
        </w:rPr>
        <w:t>экранный диктор и синтезатор речи для русского языка;</w:t>
      </w:r>
    </w:p>
    <w:p>
      <w:pPr>
        <w:pStyle w:val="Style94"/>
        <w:rPr>
          <w:highlight w:val="none"/>
          <w:shd w:fill="auto" w:val="clear"/>
        </w:rPr>
      </w:pPr>
      <w:r>
        <w:rPr>
          <w:shd w:fill="auto" w:val="clear"/>
        </w:rPr>
        <w:t>голосовой ввод;</w:t>
      </w:r>
    </w:p>
    <w:p>
      <w:pPr>
        <w:pStyle w:val="Style94"/>
        <w:rPr>
          <w:highlight w:val="none"/>
          <w:shd w:fill="auto" w:val="clear"/>
        </w:rPr>
      </w:pPr>
      <w:r>
        <w:rPr>
          <w:shd w:fill="auto" w:val="clear"/>
        </w:rPr>
        <w:t>настройка визуальных и звуковых уведомлений на события, связанные со специальными возможностям;</w:t>
      </w:r>
    </w:p>
    <w:p>
      <w:pPr>
        <w:pStyle w:val="Style94"/>
        <w:rPr>
          <w:highlight w:val="none"/>
          <w:shd w:fill="auto" w:val="clear"/>
        </w:rPr>
      </w:pPr>
      <w:r>
        <w:rPr>
          <w:shd w:fill="auto" w:val="clear"/>
        </w:rPr>
        <w:t>настройка залипающих, замедленных и прыгающих клавиши;</w:t>
      </w:r>
    </w:p>
    <w:p>
      <w:pPr>
        <w:pStyle w:val="Style94"/>
        <w:rPr>
          <w:highlight w:val="none"/>
          <w:shd w:fill="auto" w:val="clear"/>
        </w:rPr>
      </w:pPr>
      <w:r>
        <w:rPr>
          <w:shd w:fill="auto" w:val="clear"/>
        </w:rPr>
        <w:t>настройка управления курсором мыши с помощью цифровой клавиатуры.</w:t>
      </w:r>
    </w:p>
    <w:p>
      <w:pPr>
        <w:pStyle w:val="Style94"/>
        <w:numPr>
          <w:ilvl w:val="0"/>
          <w:numId w:val="12"/>
        </w:numPr>
        <w:rPr>
          <w:highlight w:val="none"/>
          <w:shd w:fill="auto" w:val="clear"/>
        </w:rPr>
      </w:pPr>
      <w:r>
        <w:rPr>
          <w:rFonts w:eastAsia="Calibri"/>
          <w:shd w:fill="auto" w:val="clear"/>
        </w:rPr>
        <w:t>Дополнительные функциональные компоненты:</w:t>
      </w:r>
    </w:p>
    <w:p>
      <w:pPr>
        <w:pStyle w:val="Style94"/>
        <w:rPr>
          <w:highlight w:val="none"/>
          <w:shd w:fill="auto" w:val="clear"/>
        </w:rPr>
      </w:pPr>
      <w:r>
        <w:rPr>
          <w:shd w:fill="auto" w:val="clear"/>
        </w:rPr>
        <w:t>клиентское ПО, для осуществления подключения по протоколу RDP;</w:t>
      </w:r>
    </w:p>
    <w:p>
      <w:pPr>
        <w:pStyle w:val="Style94"/>
        <w:rPr>
          <w:highlight w:val="none"/>
          <w:shd w:fill="auto" w:val="clear"/>
        </w:rPr>
      </w:pPr>
      <w:r>
        <w:rPr>
          <w:shd w:fill="auto" w:val="clear"/>
        </w:rPr>
        <w:t>агенты служб централизованного управления системой;</w:t>
      </w:r>
    </w:p>
    <w:p>
      <w:pPr>
        <w:pStyle w:val="Style94"/>
        <w:rPr>
          <w:highlight w:val="none"/>
          <w:shd w:fill="auto" w:val="clear"/>
        </w:rPr>
      </w:pPr>
      <w:r>
        <w:rPr>
          <w:shd w:fill="auto" w:val="clear"/>
        </w:rPr>
        <w:t>приложение для сканирования документов с возможностью пропуска пустых страниц и с сохранением размера области сканирования;</w:t>
      </w:r>
    </w:p>
    <w:p>
      <w:pPr>
        <w:pStyle w:val="Style94"/>
        <w:rPr>
          <w:highlight w:val="none"/>
          <w:shd w:fill="auto" w:val="clear"/>
        </w:rPr>
      </w:pPr>
      <w:r>
        <w:rPr>
          <w:shd w:fill="auto" w:val="clear"/>
        </w:rPr>
        <w:t>средство просмотра и редактирования файлов .pdf;</w:t>
      </w:r>
    </w:p>
    <w:p>
      <w:pPr>
        <w:pStyle w:val="Style94"/>
        <w:rPr>
          <w:highlight w:val="none"/>
          <w:shd w:fill="auto" w:val="clear"/>
        </w:rPr>
      </w:pPr>
      <w:r>
        <w:rPr>
          <w:shd w:fill="auto" w:val="clear"/>
        </w:rPr>
        <w:t>средство для эмуляции запуска исполняемых файлов .exe;</w:t>
      </w:r>
    </w:p>
    <w:p>
      <w:pPr>
        <w:pStyle w:val="Style94"/>
        <w:rPr>
          <w:highlight w:val="none"/>
          <w:shd w:fill="auto" w:val="clear"/>
        </w:rPr>
      </w:pPr>
      <w:r>
        <w:rPr>
          <w:shd w:fill="auto" w:val="clear"/>
        </w:rPr>
        <w:t>средства просмотра и редактирования графики и изображений;</w:t>
      </w:r>
    </w:p>
    <w:p>
      <w:pPr>
        <w:pStyle w:val="Style94"/>
        <w:rPr>
          <w:highlight w:val="none"/>
          <w:shd w:fill="auto" w:val="clear"/>
        </w:rPr>
      </w:pPr>
      <w:r>
        <w:rPr>
          <w:shd w:fill="auto" w:val="clear"/>
        </w:rPr>
        <w:t>средство оптического распознавания символов.</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Правовая безопасность</w:t>
      </w:r>
    </w:p>
    <w:p>
      <w:pPr>
        <w:pStyle w:val="Style94"/>
        <w:numPr>
          <w:ilvl w:val="0"/>
          <w:numId w:val="12"/>
        </w:numPr>
        <w:rPr>
          <w:highlight w:val="none"/>
          <w:shd w:fill="auto" w:val="clear"/>
        </w:rPr>
      </w:pPr>
      <w:r>
        <w:rPr>
          <w:rFonts w:eastAsia="Calibri"/>
          <w:shd w:fill="auto" w:val="clear"/>
        </w:rPr>
        <w:t>Документом, подтверждающим право на поставку лицензий, является наличие действующего сублицензионного договора с разработчиком ПО или его партнером.</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Порядок предоставления обновлений</w:t>
      </w:r>
    </w:p>
    <w:p>
      <w:pPr>
        <w:pStyle w:val="Style94"/>
        <w:numPr>
          <w:ilvl w:val="0"/>
          <w:numId w:val="12"/>
        </w:numPr>
        <w:rPr>
          <w:highlight w:val="none"/>
          <w:shd w:fill="auto" w:val="clear"/>
        </w:rPr>
      </w:pPr>
      <w:r>
        <w:rPr>
          <w:rFonts w:eastAsia="Calibri"/>
          <w:shd w:fill="auto" w:val="clear"/>
        </w:rPr>
        <w:t>Порядок выпуска и предоставления обновлений или технической поддержки регламентируется в соответствии с действующей Политикой (Положением), размещённой на сайте Производителя и в Личном кабинете Пользователя.</w:t>
      </w:r>
    </w:p>
    <w:p>
      <w:pPr>
        <w:pStyle w:val="Style94"/>
        <w:numPr>
          <w:ilvl w:val="0"/>
          <w:numId w:val="12"/>
        </w:numPr>
        <w:rPr>
          <w:highlight w:val="none"/>
          <w:shd w:fill="auto" w:val="clear"/>
        </w:rPr>
      </w:pPr>
      <w:r>
        <w:rPr>
          <w:rFonts w:eastAsia="Calibri"/>
          <w:shd w:fill="auto" w:val="clear"/>
        </w:rPr>
        <w:t>Обновления предоставляются в соответствии с действующей Политикой, требованиями регуляторов в области безопасности информации и лицензионным (сублицензионным) договором, заключенным между Пользователем и Производителем или партнером Производителя. В случае расхождений условий предоставления обновлений по действующей Политике и договором, применяются положения договора.</w:t>
      </w:r>
    </w:p>
    <w:p>
      <w:pPr>
        <w:pStyle w:val="Style94"/>
        <w:numPr>
          <w:ilvl w:val="0"/>
          <w:numId w:val="12"/>
        </w:numPr>
        <w:rPr>
          <w:highlight w:val="none"/>
          <w:shd w:fill="auto" w:val="clear"/>
        </w:rPr>
      </w:pPr>
      <w:r>
        <w:rPr>
          <w:rFonts w:eastAsia="Calibri"/>
          <w:shd w:fill="auto" w:val="clear"/>
        </w:rPr>
        <w:t>Информационно-справочная поддержка функционирования обеспечивается посредством использования телефонной связи, программных средств обмена сообщениями с Пользователями.</w:t>
      </w:r>
    </w:p>
    <w:p>
      <w:pPr>
        <w:pStyle w:val="Style94"/>
        <w:numPr>
          <w:ilvl w:val="0"/>
          <w:numId w:val="12"/>
        </w:numPr>
        <w:rPr>
          <w:highlight w:val="none"/>
          <w:shd w:fill="auto" w:val="clear"/>
        </w:rPr>
      </w:pPr>
      <w:r>
        <w:rPr>
          <w:rFonts w:eastAsia="Calibri"/>
          <w:shd w:fill="auto" w:val="clear"/>
        </w:rPr>
        <w:t>Прием обращений осуществляется Производителем круглосуточно через Личный кабинет. Прием обращений по телефону осуществляется по рабочим дням с 09:00 до 18:00 по МСК.</w:t>
      </w:r>
    </w:p>
    <w:p>
      <w:pPr>
        <w:pStyle w:val="Style94"/>
        <w:numPr>
          <w:ilvl w:val="0"/>
          <w:numId w:val="12"/>
        </w:numPr>
        <w:rPr>
          <w:highlight w:val="none"/>
          <w:shd w:fill="auto" w:val="clear"/>
        </w:rPr>
      </w:pPr>
      <w:r>
        <w:rPr>
          <w:rFonts w:eastAsia="Calibri"/>
          <w:shd w:fill="auto" w:val="clear"/>
        </w:rPr>
        <w:t>Обновление или техническая поддержка включает:</w:t>
      </w:r>
    </w:p>
    <w:p>
      <w:pPr>
        <w:pStyle w:val="Style94"/>
        <w:rPr>
          <w:highlight w:val="none"/>
          <w:shd w:fill="auto" w:val="clear"/>
        </w:rPr>
      </w:pPr>
      <w:r>
        <w:rPr>
          <w:shd w:fill="auto" w:val="clear"/>
        </w:rPr>
        <w:t>доступ к обновлениям безопасности Продукта, для актуального и предыдущего очередного обновления</w:t>
      </w:r>
    </w:p>
    <w:p>
      <w:pPr>
        <w:pStyle w:val="Style94"/>
        <w:rPr>
          <w:highlight w:val="none"/>
          <w:shd w:fill="auto" w:val="clear"/>
        </w:rPr>
      </w:pPr>
      <w:r>
        <w:rPr>
          <w:shd w:fill="auto" w:val="clear"/>
        </w:rPr>
        <w:t>информационно-справочная поддержка в миграции на очередное обновление Продукта</w:t>
      </w:r>
    </w:p>
    <w:p>
      <w:pPr>
        <w:pStyle w:val="Style94"/>
        <w:rPr>
          <w:highlight w:val="none"/>
          <w:shd w:fill="auto" w:val="clear"/>
        </w:rPr>
      </w:pPr>
      <w:r>
        <w:rPr>
          <w:shd w:fill="auto" w:val="clear"/>
        </w:rPr>
        <w:t>исправление ошибок, несоответствий, инцидентов, дефектов за счет выпуска новых обновлений Продукта</w:t>
      </w:r>
    </w:p>
    <w:p>
      <w:pPr>
        <w:pStyle w:val="Style94"/>
        <w:rPr>
          <w:highlight w:val="none"/>
          <w:shd w:fill="auto" w:val="clear"/>
        </w:rPr>
      </w:pPr>
      <w:r>
        <w:rPr>
          <w:shd w:fill="auto" w:val="clear"/>
        </w:rPr>
        <w:t>информационно-справочная поддержка по установке и обновлению Продукта</w:t>
      </w:r>
    </w:p>
    <w:p>
      <w:pPr>
        <w:pStyle w:val="Style94"/>
        <w:rPr>
          <w:highlight w:val="none"/>
          <w:shd w:fill="auto" w:val="clear"/>
        </w:rPr>
      </w:pPr>
      <w:r>
        <w:rPr>
          <w:shd w:fill="auto" w:val="clear"/>
        </w:rPr>
        <w:t>информационно-справочная поддержка по настройке Продукта после обновления</w:t>
      </w:r>
    </w:p>
    <w:p>
      <w:pPr>
        <w:pStyle w:val="Style94"/>
        <w:rPr>
          <w:highlight w:val="none"/>
          <w:shd w:fill="auto" w:val="clear"/>
        </w:rPr>
      </w:pPr>
      <w:r>
        <w:rPr>
          <w:shd w:fill="auto" w:val="clear"/>
        </w:rPr>
        <w:t>моделирование сценариев на тестовом стенде Производителя (при наличии технической возможности)</w:t>
      </w:r>
    </w:p>
    <w:p>
      <w:pPr>
        <w:pStyle w:val="Style94"/>
        <w:rPr>
          <w:highlight w:val="none"/>
          <w:shd w:fill="auto" w:val="clear"/>
        </w:rPr>
      </w:pPr>
      <w:r>
        <w:rPr>
          <w:shd w:fill="auto" w:val="clear"/>
        </w:rPr>
        <w:t>прогноз совместимости оборудования по спецификации с актуальным и будущим обновлением Продукта. Поддержка оборудования гарантируется, только если оно прошло программу поддержки производителей оборудования и программного обеспечения.</w:t>
      </w:r>
    </w:p>
    <w:p>
      <w:pPr>
        <w:pStyle w:val="Style94"/>
        <w:rPr>
          <w:highlight w:val="none"/>
          <w:shd w:fill="auto" w:val="clear"/>
        </w:rPr>
      </w:pPr>
      <w:r>
        <w:rPr>
          <w:shd w:fill="auto" w:val="clear"/>
        </w:rPr>
        <w:t>решение вопросов, связанных с совместимостью оборудования путем внесения улучшений в рамках обновления Продукта (при наличии технической возможности)</w:t>
      </w:r>
    </w:p>
    <w:p>
      <w:pPr>
        <w:pStyle w:val="Style94"/>
        <w:rPr>
          <w:highlight w:val="none"/>
          <w:shd w:fill="auto" w:val="clear"/>
        </w:rPr>
      </w:pPr>
      <w:r>
        <w:rPr>
          <w:shd w:fill="auto" w:val="clear"/>
        </w:rPr>
        <w:t xml:space="preserve">информация о выпуске очередных обновлений Продукта доступна на сайте Производителя или в Личном кабинете. </w:t>
      </w:r>
    </w:p>
    <w:p>
      <w:pPr>
        <w:pStyle w:val="Style94"/>
        <w:numPr>
          <w:ilvl w:val="0"/>
          <w:numId w:val="12"/>
        </w:numPr>
        <w:rPr>
          <w:highlight w:val="none"/>
          <w:shd w:fill="auto" w:val="clear"/>
        </w:rPr>
      </w:pPr>
      <w:r>
        <w:rPr>
          <w:rFonts w:eastAsia="Calibri"/>
          <w:shd w:fill="auto" w:val="clear"/>
        </w:rPr>
        <w:t>Подробный порядок обработки обращений, связанных с обновлениями или технической поддержки Продукта, размещается в Личном кабинете.</w:t>
      </w:r>
    </w:p>
    <w:p>
      <w:pPr>
        <w:pStyle w:val="Style94"/>
        <w:numPr>
          <w:ilvl w:val="0"/>
          <w:numId w:val="12"/>
        </w:numPr>
        <w:rPr>
          <w:highlight w:val="none"/>
          <w:shd w:fill="auto" w:val="clear"/>
        </w:rPr>
      </w:pPr>
      <w:r>
        <w:rPr>
          <w:rFonts w:eastAsia="Calibri"/>
          <w:shd w:fill="auto" w:val="clear"/>
        </w:rPr>
        <w:t>Срок предоставления обновлений – не менее 36 месяцев</w:t>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 xml:space="preserve">Требования к операционной системе для рабочей станции для 64-х разрядной платформы на базе процессорной архитектуры х86-64, Вариант 2 </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Общие требования</w:t>
      </w:r>
    </w:p>
    <w:p>
      <w:pPr>
        <w:pStyle w:val="Style94"/>
        <w:numPr>
          <w:ilvl w:val="0"/>
          <w:numId w:val="12"/>
        </w:numPr>
        <w:rPr>
          <w:highlight w:val="none"/>
          <w:shd w:fill="auto" w:val="clear"/>
        </w:rPr>
      </w:pPr>
      <w:r>
        <w:rPr>
          <w:rFonts w:eastAsia="Calibri"/>
          <w:shd w:fill="auto" w:val="clear"/>
        </w:rPr>
        <w:t xml:space="preserve">Способ предоставления – копия электронного экземпляра; </w:t>
      </w:r>
    </w:p>
    <w:p>
      <w:pPr>
        <w:pStyle w:val="Style94"/>
        <w:numPr>
          <w:ilvl w:val="0"/>
          <w:numId w:val="12"/>
        </w:numPr>
        <w:rPr>
          <w:highlight w:val="none"/>
          <w:shd w:fill="auto" w:val="clear"/>
        </w:rPr>
      </w:pPr>
      <w:r>
        <w:rPr>
          <w:rFonts w:eastAsia="Calibri"/>
          <w:shd w:fill="auto" w:val="clear"/>
        </w:rPr>
        <w:t>Срок действия предоставляемой лицензии – бессрочно;</w:t>
      </w:r>
    </w:p>
    <w:p>
      <w:pPr>
        <w:pStyle w:val="Style94"/>
        <w:numPr>
          <w:ilvl w:val="0"/>
          <w:numId w:val="12"/>
        </w:numPr>
        <w:rPr>
          <w:highlight w:val="none"/>
          <w:shd w:fill="auto" w:val="clear"/>
        </w:rPr>
      </w:pPr>
      <w:r>
        <w:rPr>
          <w:rFonts w:eastAsia="Calibri"/>
          <w:shd w:fill="auto" w:val="clear"/>
        </w:rPr>
        <w:t>Производитель обязан предоставлять Заказчику в рамках гарантийной поддержке:</w:t>
      </w:r>
    </w:p>
    <w:p>
      <w:pPr>
        <w:pStyle w:val="Style94"/>
        <w:rPr>
          <w:highlight w:val="none"/>
          <w:shd w:fill="auto" w:val="clear"/>
        </w:rPr>
      </w:pPr>
      <w:r>
        <w:rPr>
          <w:shd w:fill="auto" w:val="clear"/>
        </w:rPr>
        <w:t xml:space="preserve">Обновления (включая </w:t>
      </w:r>
      <w:r>
        <w:rPr>
          <w:shd w:fill="auto" w:val="clear"/>
          <w:lang w:val="en-US"/>
        </w:rPr>
        <w:t>hotfix</w:t>
      </w:r>
      <w:r>
        <w:rPr>
          <w:shd w:fill="auto" w:val="clear"/>
        </w:rPr>
        <w:t xml:space="preserve">, устраняющее дефекты, выявленные в продукте) без дополнительной оплаты в течении </w:t>
      </w:r>
      <w:r>
        <w:rPr>
          <w:b/>
          <w:bCs/>
          <w:shd w:fill="auto" w:val="clear"/>
        </w:rPr>
        <w:t>не менее 36 месяцев</w:t>
      </w:r>
      <w:r>
        <w:rPr>
          <w:shd w:fill="auto" w:val="clear"/>
        </w:rPr>
        <w:t xml:space="preserve"> с даты поставки;</w:t>
      </w:r>
    </w:p>
    <w:p>
      <w:pPr>
        <w:pStyle w:val="Style94"/>
        <w:rPr>
          <w:highlight w:val="none"/>
          <w:shd w:fill="auto" w:val="clear"/>
        </w:rPr>
      </w:pPr>
      <w:r>
        <w:rPr>
          <w:shd w:fill="auto" w:val="clear"/>
        </w:rPr>
        <w:t>Доступ к справочному центру Исполнителя;</w:t>
      </w:r>
    </w:p>
    <w:p>
      <w:pPr>
        <w:pStyle w:val="Style94"/>
        <w:rPr>
          <w:highlight w:val="none"/>
          <w:shd w:fill="auto" w:val="clear"/>
        </w:rPr>
      </w:pPr>
      <w:r>
        <w:rPr>
          <w:shd w:fill="auto" w:val="clear"/>
        </w:rPr>
        <w:t>Доступ к защищенному репозиторию обновлений;</w:t>
      </w:r>
    </w:p>
    <w:p>
      <w:pPr>
        <w:pStyle w:val="Style94"/>
        <w:rPr>
          <w:highlight w:val="none"/>
          <w:shd w:fill="auto" w:val="clear"/>
        </w:rPr>
      </w:pPr>
      <w:r>
        <w:rPr>
          <w:shd w:fill="auto" w:val="clear"/>
        </w:rPr>
        <w:t>Техническую поддержку по электронной почте или через Личный кабинет (Время реакции на обращение Заказчика /Головного Заказчика определяется уровнем критичности инцидента, присвоенным при регистрации обращения в службе технической поддержки Производителя, а также видом сертификата технической поддержки).</w:t>
      </w:r>
    </w:p>
    <w:p>
      <w:pPr>
        <w:pStyle w:val="Style94"/>
        <w:numPr>
          <w:ilvl w:val="0"/>
          <w:numId w:val="12"/>
        </w:numPr>
        <w:rPr>
          <w:highlight w:val="none"/>
          <w:shd w:fill="auto" w:val="clear"/>
        </w:rPr>
      </w:pPr>
      <w:r>
        <w:rPr>
          <w:rFonts w:eastAsia="Calibri"/>
          <w:shd w:fill="auto" w:val="clear"/>
        </w:rPr>
        <w:t>Техническая поддержка предоставляется только по продуктам, используемым в строгом соответствии с требованиями эксплуатационной документации, в рекомендованных Производителем операционных система.</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Требования соответствия законодательным и нормативным документам</w:t>
      </w:r>
    </w:p>
    <w:p>
      <w:pPr>
        <w:pStyle w:val="Style94"/>
        <w:numPr>
          <w:ilvl w:val="0"/>
          <w:numId w:val="12"/>
        </w:numPr>
        <w:rPr>
          <w:highlight w:val="none"/>
          <w:shd w:fill="auto" w:val="clear"/>
        </w:rPr>
      </w:pPr>
      <w:r>
        <w:rPr>
          <w:rFonts w:eastAsia="Calibri"/>
          <w:shd w:fill="auto" w:val="clear"/>
        </w:rPr>
        <w:t>Операционная система должна соответствовать требованиям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94"/>
        <w:numPr>
          <w:ilvl w:val="0"/>
          <w:numId w:val="12"/>
        </w:numPr>
        <w:rPr>
          <w:highlight w:val="none"/>
          <w:shd w:fill="auto" w:val="clear"/>
        </w:rPr>
      </w:pPr>
      <w:r>
        <w:rPr>
          <w:rFonts w:eastAsia="Calibri"/>
          <w:shd w:fill="auto" w:val="clear"/>
        </w:rPr>
        <w:t>Эксплуатационная документация на операционную систему должна раскрывать сведения о средствах и способах реализации функций безопасности, предусмотренных требованиями нормативных документов:</w:t>
      </w:r>
    </w:p>
    <w:p>
      <w:pPr>
        <w:pStyle w:val="Style94"/>
        <w:rPr>
          <w:highlight w:val="none"/>
          <w:shd w:fill="auto" w:val="clear"/>
        </w:rPr>
      </w:pPr>
      <w:r>
        <w:rPr>
          <w:shd w:fill="auto" w:val="clear"/>
        </w:rPr>
        <w:t>«Требования безопасности информации к операционным системам» (ФСТЭК России, 2016);</w:t>
      </w:r>
    </w:p>
    <w:p>
      <w:pPr>
        <w:pStyle w:val="Style94"/>
        <w:rPr>
          <w:highlight w:val="none"/>
          <w:shd w:fill="auto" w:val="clear"/>
        </w:rPr>
      </w:pPr>
      <w:r>
        <w:rPr>
          <w:shd w:fill="auto" w:val="clear"/>
        </w:rPr>
        <w:t>«Требования по безопасности информации к средствам контейнеризации» (ФСТЭК России, 2022) не ниже 5 класса защиты;</w:t>
      </w:r>
    </w:p>
    <w:p>
      <w:pPr>
        <w:pStyle w:val="Style94"/>
        <w:rPr>
          <w:highlight w:val="none"/>
          <w:shd w:fill="auto" w:val="clear"/>
        </w:rPr>
      </w:pPr>
      <w:r>
        <w:rPr>
          <w:shd w:fill="auto" w:val="clear"/>
        </w:rPr>
        <w:t>«Требования по безопасности информации к средствам виртуализации» (ФСТЭК России, 2022) не ниже 5 класса защиты;</w:t>
      </w:r>
    </w:p>
    <w:p>
      <w:pPr>
        <w:pStyle w:val="Style94"/>
        <w:rPr>
          <w:highlight w:val="none"/>
          <w:shd w:fill="auto" w:val="clear"/>
        </w:rPr>
      </w:pPr>
      <w:r>
        <w:rPr>
          <w:shd w:fill="auto" w:val="clear"/>
        </w:rPr>
        <w:t>«Требования по безопасности информации к системам управления базами данных» (ФСТЭК России, 2023) не ниже 5 класса защиты.</w:t>
      </w:r>
    </w:p>
    <w:p>
      <w:pPr>
        <w:pStyle w:val="Style94"/>
        <w:numPr>
          <w:ilvl w:val="0"/>
          <w:numId w:val="12"/>
        </w:numPr>
        <w:rPr>
          <w:highlight w:val="none"/>
          <w:shd w:fill="auto" w:val="clear"/>
        </w:rPr>
      </w:pPr>
      <w:r>
        <w:rPr>
          <w:rFonts w:eastAsia="Calibri"/>
          <w:shd w:fill="auto" w:val="clear"/>
        </w:rPr>
        <w:t>Операционная система должна иметь сертификат соответствия требованиям нормативных документов ФСТЭК России:</w:t>
      </w:r>
    </w:p>
    <w:p>
      <w:pPr>
        <w:pStyle w:val="Style94"/>
        <w:rPr>
          <w:highlight w:val="none"/>
          <w:shd w:fill="auto" w:val="clear"/>
        </w:rPr>
      </w:pPr>
      <w:r>
        <w:rPr>
          <w:shd w:fill="auto" w:val="clear"/>
        </w:rPr>
        <w:t>«Требования безопасности информации к операционным системам» (ФСТЭК России, 2016);</w:t>
      </w:r>
    </w:p>
    <w:p>
      <w:pPr>
        <w:pStyle w:val="Style94"/>
        <w:rPr>
          <w:highlight w:val="none"/>
          <w:shd w:fill="auto" w:val="clear"/>
        </w:rPr>
      </w:pPr>
      <w:r>
        <w:rPr>
          <w:shd w:fill="auto" w:val="clear"/>
        </w:rPr>
        <w:t>«Профиль защиты операционных систем типа «А» не ниже 5 класса ИТ.ОС.А5.ПЗ (ФСТЭК России, 2017);</w:t>
      </w:r>
    </w:p>
    <w:p>
      <w:pPr>
        <w:pStyle w:val="Style94"/>
        <w:rPr>
          <w:highlight w:val="none"/>
          <w:shd w:fill="auto" w:val="clear"/>
        </w:rPr>
      </w:pPr>
      <w:r>
        <w:rPr>
          <w:shd w:fill="auto" w:val="clear"/>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не ниже 5 уровня;</w:t>
      </w:r>
    </w:p>
    <w:p>
      <w:pPr>
        <w:pStyle w:val="Style94"/>
        <w:rPr>
          <w:highlight w:val="none"/>
          <w:shd w:fill="auto" w:val="clear"/>
        </w:rPr>
      </w:pPr>
      <w:r>
        <w:rPr>
          <w:shd w:fill="auto" w:val="clear"/>
        </w:rPr>
        <w:t>«Требования по безопасности информации к средствам контейнеризации» (ФСТЭК России, 2022) не ниже 5 класса защиты;</w:t>
      </w:r>
    </w:p>
    <w:p>
      <w:pPr>
        <w:pStyle w:val="Style94"/>
        <w:rPr>
          <w:highlight w:val="none"/>
          <w:shd w:fill="auto" w:val="clear"/>
        </w:rPr>
      </w:pPr>
      <w:r>
        <w:rPr>
          <w:shd w:fill="auto" w:val="clear"/>
        </w:rPr>
        <w:t>«Требования по безопасности информации к средствам виртуализации» (ФСТЭК России, 2022) не ниже 5 класса защиты;</w:t>
      </w:r>
    </w:p>
    <w:p>
      <w:pPr>
        <w:pStyle w:val="Style94"/>
        <w:rPr>
          <w:highlight w:val="none"/>
          <w:shd w:fill="auto" w:val="clear"/>
        </w:rPr>
      </w:pPr>
      <w:r>
        <w:rPr>
          <w:shd w:fill="auto" w:val="clear"/>
        </w:rPr>
        <w:t>«Требования по безопасности информации к системам управления базами данных» (ФСТЭК России, 2023) не ниже 5 класса защиты.</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Требования к встроенному комплексу средств защиты информации операционной системы</w:t>
      </w:r>
    </w:p>
    <w:p>
      <w:pPr>
        <w:pStyle w:val="Style94"/>
        <w:numPr>
          <w:ilvl w:val="0"/>
          <w:numId w:val="12"/>
        </w:numPr>
        <w:rPr>
          <w:highlight w:val="none"/>
          <w:shd w:fill="auto" w:val="clear"/>
        </w:rPr>
      </w:pPr>
      <w:r>
        <w:rPr>
          <w:rFonts w:eastAsia="Calibri"/>
          <w:shd w:fill="auto" w:val="clear"/>
        </w:rPr>
        <w:t>Операционная система должна обеспечивать встроенными сертифицированными средствами:</w:t>
      </w:r>
    </w:p>
    <w:p>
      <w:pPr>
        <w:pStyle w:val="Style94"/>
        <w:rPr>
          <w:highlight w:val="none"/>
          <w:shd w:fill="auto" w:val="clear"/>
        </w:rPr>
      </w:pPr>
      <w:r>
        <w:rPr>
          <w:shd w:fill="auto" w:val="clear"/>
        </w:rPr>
        <w:t>идентификацию и аутентификацию пользователей;</w:t>
      </w:r>
    </w:p>
    <w:p>
      <w:pPr>
        <w:pStyle w:val="Style94"/>
        <w:rPr>
          <w:highlight w:val="none"/>
          <w:shd w:fill="auto" w:val="clear"/>
        </w:rPr>
      </w:pPr>
      <w:r>
        <w:rPr>
          <w:shd w:fill="auto" w:val="clear"/>
        </w:rPr>
        <w:t>управление средствами аутентификации;</w:t>
      </w:r>
    </w:p>
    <w:p>
      <w:pPr>
        <w:pStyle w:val="Style94"/>
        <w:rPr>
          <w:highlight w:val="none"/>
          <w:shd w:fill="auto" w:val="clear"/>
        </w:rPr>
      </w:pPr>
      <w:r>
        <w:rPr>
          <w:shd w:fill="auto" w:val="clear"/>
        </w:rPr>
        <w:t>управление учетными записями пользователей, разграничение полномочий и назначение прав пользователям;</w:t>
      </w:r>
    </w:p>
    <w:p>
      <w:pPr>
        <w:pStyle w:val="Style94"/>
        <w:rPr>
          <w:highlight w:val="none"/>
          <w:shd w:fill="auto" w:val="clear"/>
        </w:rPr>
      </w:pPr>
      <w:r>
        <w:rPr>
          <w:shd w:fill="auto" w:val="clear"/>
        </w:rPr>
        <w:t>реализацию дискреционного разграничения доступа;</w:t>
      </w:r>
    </w:p>
    <w:p>
      <w:pPr>
        <w:pStyle w:val="Style94"/>
        <w:rPr>
          <w:highlight w:val="none"/>
          <w:shd w:fill="auto" w:val="clear"/>
        </w:rPr>
      </w:pPr>
      <w:r>
        <w:rPr>
          <w:shd w:fill="auto" w:val="clear"/>
        </w:rPr>
        <w:t>возможность указания параметров настройки комплекса средств защиты во время создания пользователя;</w:t>
      </w:r>
    </w:p>
    <w:p>
      <w:pPr>
        <w:pStyle w:val="Style94"/>
        <w:rPr>
          <w:highlight w:val="none"/>
          <w:shd w:fill="auto" w:val="clear"/>
        </w:rPr>
      </w:pPr>
      <w:r>
        <w:rPr>
          <w:shd w:fill="auto" w:val="clear"/>
        </w:rPr>
        <w:t>возможность создания среды выполнения контейнеров, обеспечения работы с ними и поддержкой изоляции процессов, выполняемых в контейнерах;</w:t>
      </w:r>
    </w:p>
    <w:p>
      <w:pPr>
        <w:pStyle w:val="Style94"/>
        <w:rPr>
          <w:highlight w:val="none"/>
          <w:shd w:fill="auto" w:val="clear"/>
        </w:rPr>
      </w:pPr>
      <w:r>
        <w:rPr>
          <w:shd w:fill="auto" w:val="clear"/>
        </w:rPr>
        <w:t xml:space="preserve">возможность маркировки документов при выводе на печать; </w:t>
      </w:r>
    </w:p>
    <w:p>
      <w:pPr>
        <w:pStyle w:val="Style94"/>
        <w:rPr>
          <w:highlight w:val="none"/>
          <w:shd w:fill="auto" w:val="clear"/>
        </w:rPr>
      </w:pPr>
      <w:r>
        <w:rPr>
          <w:shd w:fill="auto" w:val="clear"/>
        </w:rPr>
        <w:t xml:space="preserve">управление доступом к защищаемым ресурсам БД на основе иерархических и не иерархических меток доступа; </w:t>
      </w:r>
    </w:p>
    <w:p>
      <w:pPr>
        <w:pStyle w:val="Style94"/>
        <w:rPr>
          <w:highlight w:val="none"/>
          <w:shd w:fill="auto" w:val="clear"/>
        </w:rPr>
      </w:pPr>
      <w:r>
        <w:rPr>
          <w:shd w:fill="auto" w:val="clear"/>
        </w:rPr>
        <w:t>реализацию мандатного управления доступом к почтовым сообщениям, а также автоматическую маркировку создаваемых пользователем почтовых сообщений.</w:t>
      </w:r>
    </w:p>
    <w:p>
      <w:pPr>
        <w:pStyle w:val="Style94"/>
        <w:numPr>
          <w:ilvl w:val="0"/>
          <w:numId w:val="12"/>
        </w:numPr>
        <w:rPr>
          <w:highlight w:val="none"/>
          <w:shd w:fill="auto" w:val="clear"/>
        </w:rPr>
      </w:pPr>
      <w:r>
        <w:rPr>
          <w:rFonts w:eastAsia="Calibri"/>
          <w:shd w:fill="auto" w:val="clear"/>
        </w:rPr>
        <w:t>В составе операционной системы должна быть реализована возможность защиты аутентификационной информации с использованием функции хэширования.</w:t>
      </w:r>
    </w:p>
    <w:p>
      <w:pPr>
        <w:pStyle w:val="Style94"/>
        <w:numPr>
          <w:ilvl w:val="0"/>
          <w:numId w:val="12"/>
        </w:numPr>
        <w:rPr>
          <w:highlight w:val="none"/>
          <w:shd w:fill="auto" w:val="clear"/>
        </w:rPr>
      </w:pPr>
      <w:r>
        <w:rPr>
          <w:rFonts w:eastAsia="Calibri"/>
          <w:shd w:fill="auto" w:val="clear"/>
        </w:rPr>
        <w:t>В составе операционной системы должно быть ядро, поддерживаемое Центром исследования безопасности системного программного обеспечения ИСП РАН.</w:t>
      </w:r>
    </w:p>
    <w:p>
      <w:pPr>
        <w:pStyle w:val="Style94"/>
        <w:numPr>
          <w:ilvl w:val="0"/>
          <w:numId w:val="12"/>
        </w:numPr>
        <w:rPr>
          <w:highlight w:val="none"/>
          <w:shd w:fill="auto" w:val="clear"/>
        </w:rPr>
      </w:pPr>
      <w:r>
        <w:rPr>
          <w:rFonts w:eastAsia="Calibri"/>
          <w:shd w:fill="auto" w:val="clear"/>
        </w:rPr>
        <w:t>Операционная система должна иметь графическое средство настройки ограничений пользователя по запуску программ в изолированном окружении с использованием механизма пространств имён и фильтрации системных вызовов, обеспечивающих:</w:t>
      </w:r>
    </w:p>
    <w:p>
      <w:pPr>
        <w:pStyle w:val="Style94"/>
        <w:rPr>
          <w:highlight w:val="none"/>
          <w:shd w:fill="auto" w:val="clear"/>
        </w:rPr>
      </w:pPr>
      <w:r>
        <w:rPr>
          <w:shd w:fill="auto" w:val="clear"/>
        </w:rPr>
        <w:t>ограничение прав пользователя на запуск приложений ядром системы;</w:t>
      </w:r>
    </w:p>
    <w:p>
      <w:pPr>
        <w:pStyle w:val="Style94"/>
        <w:rPr>
          <w:highlight w:val="none"/>
          <w:shd w:fill="auto" w:val="clear"/>
        </w:rPr>
      </w:pPr>
      <w:r>
        <w:rPr>
          <w:shd w:fill="auto" w:val="clear"/>
        </w:rPr>
        <w:t>ограничение прав пользователя средствами графического интерфейса;</w:t>
      </w:r>
    </w:p>
    <w:p>
      <w:pPr>
        <w:pStyle w:val="Style94"/>
        <w:rPr>
          <w:highlight w:val="none"/>
          <w:shd w:fill="auto" w:val="clear"/>
        </w:rPr>
      </w:pPr>
      <w:r>
        <w:rPr>
          <w:shd w:fill="auto" w:val="clear"/>
        </w:rPr>
        <w:t>разрешение запуска только тех программных компонентов, которые явно разрешены администратором безопасности.</w:t>
      </w:r>
    </w:p>
    <w:p>
      <w:pPr>
        <w:pStyle w:val="Style94"/>
        <w:numPr>
          <w:ilvl w:val="0"/>
          <w:numId w:val="12"/>
        </w:numPr>
        <w:rPr>
          <w:highlight w:val="none"/>
          <w:shd w:fill="auto" w:val="clear"/>
        </w:rPr>
      </w:pPr>
      <w:r>
        <w:rPr>
          <w:rFonts w:eastAsia="Calibri"/>
          <w:shd w:fill="auto" w:val="clear"/>
        </w:rPr>
        <w:t>Обеспечение запрета запуска (исполнения) пользователем созданных самостоятельно (с использованием текстовых редакторов или непосредственно в командной строке) программ с использованием интерпретируемых языков программирования.</w:t>
      </w:r>
    </w:p>
    <w:p>
      <w:pPr>
        <w:pStyle w:val="Style94"/>
        <w:numPr>
          <w:ilvl w:val="0"/>
          <w:numId w:val="12"/>
        </w:numPr>
        <w:rPr>
          <w:highlight w:val="none"/>
          <w:shd w:fill="auto" w:val="clear"/>
        </w:rPr>
      </w:pPr>
      <w:r>
        <w:rPr>
          <w:rFonts w:eastAsia="Calibri"/>
          <w:shd w:fill="auto" w:val="clear"/>
        </w:rPr>
        <w:t>В составе операционной системы должны быть графические средства настройки защиты машинных носителей, обеспечивающие:</w:t>
      </w:r>
    </w:p>
    <w:p>
      <w:pPr>
        <w:pStyle w:val="Style94"/>
        <w:rPr>
          <w:highlight w:val="none"/>
          <w:shd w:fill="auto" w:val="clear"/>
        </w:rPr>
      </w:pPr>
      <w:r>
        <w:rPr>
          <w:shd w:fill="auto" w:val="clear"/>
        </w:rPr>
        <w:t>идентификацию устройств и сопоставление пользователя с устройством;</w:t>
      </w:r>
    </w:p>
    <w:p>
      <w:pPr>
        <w:pStyle w:val="Style94"/>
        <w:rPr>
          <w:highlight w:val="none"/>
          <w:shd w:fill="auto" w:val="clear"/>
        </w:rPr>
      </w:pPr>
      <w:r>
        <w:rPr>
          <w:shd w:fill="auto" w:val="clear"/>
        </w:rPr>
        <w:t>управление доступом субъектов доступа к устройствам методами дискреционного управления доступом;</w:t>
      </w:r>
    </w:p>
    <w:p>
      <w:pPr>
        <w:pStyle w:val="Style94"/>
        <w:rPr>
          <w:highlight w:val="none"/>
          <w:shd w:fill="auto" w:val="clear"/>
        </w:rPr>
      </w:pPr>
      <w:r>
        <w:rPr>
          <w:shd w:fill="auto" w:val="clear"/>
        </w:rPr>
        <w:t>задание правил управления доступом, разрешающих или запрещающих доступ субъектов доступа к устройствам, а также определяющих разрешенные типы доступа, в том числе с использованием атрибутов безопасности;</w:t>
      </w:r>
    </w:p>
    <w:p>
      <w:pPr>
        <w:pStyle w:val="Style94"/>
        <w:rPr>
          <w:highlight w:val="none"/>
          <w:shd w:fill="auto" w:val="clear"/>
        </w:rPr>
      </w:pPr>
      <w:r>
        <w:rPr>
          <w:shd w:fill="auto" w:val="clear"/>
        </w:rPr>
        <w:t>учет носителей информации и контроль использования интерфейсов ввода и вывода.</w:t>
      </w:r>
    </w:p>
    <w:p>
      <w:pPr>
        <w:pStyle w:val="Style94"/>
        <w:numPr>
          <w:ilvl w:val="0"/>
          <w:numId w:val="12"/>
        </w:numPr>
        <w:rPr>
          <w:highlight w:val="none"/>
          <w:shd w:fill="auto" w:val="clear"/>
        </w:rPr>
      </w:pPr>
      <w:r>
        <w:rPr>
          <w:rFonts w:eastAsia="Calibri"/>
          <w:shd w:fill="auto" w:val="clear"/>
        </w:rPr>
        <w:t>Операционная система должна включать в свой состав программное обеспечение, реализующее задачи аудита и журналирования (регистрации) событий безопасности. Регистрация событий безопасности должна выполняться с учётом требований ГОСТ Р 59548-2022.</w:t>
      </w:r>
    </w:p>
    <w:p>
      <w:pPr>
        <w:pStyle w:val="Style94"/>
        <w:numPr>
          <w:ilvl w:val="0"/>
          <w:numId w:val="12"/>
        </w:numPr>
        <w:rPr>
          <w:highlight w:val="none"/>
          <w:shd w:fill="auto" w:val="clear"/>
        </w:rPr>
      </w:pPr>
      <w:r>
        <w:rPr>
          <w:rFonts w:eastAsia="Calibri"/>
          <w:shd w:fill="auto" w:val="clear"/>
        </w:rPr>
        <w:t>Операционная система должна включать в состав графические средства настройки контроля целостности:</w:t>
      </w:r>
    </w:p>
    <w:p>
      <w:pPr>
        <w:pStyle w:val="Style94"/>
        <w:rPr>
          <w:highlight w:val="none"/>
          <w:shd w:fill="auto" w:val="clear"/>
        </w:rPr>
      </w:pPr>
      <w:r>
        <w:rPr>
          <w:shd w:fill="auto" w:val="clear"/>
        </w:rPr>
        <w:t>Контроль целостности дистрибутива;</w:t>
      </w:r>
    </w:p>
    <w:p>
      <w:pPr>
        <w:pStyle w:val="Style94"/>
        <w:rPr>
          <w:highlight w:val="none"/>
          <w:shd w:fill="auto" w:val="clear"/>
        </w:rPr>
      </w:pPr>
      <w:r>
        <w:rPr>
          <w:shd w:fill="auto" w:val="clear"/>
        </w:rPr>
        <w:t>Контроль объектов файловой системы;</w:t>
      </w:r>
    </w:p>
    <w:p>
      <w:pPr>
        <w:pStyle w:val="Style94"/>
        <w:rPr>
          <w:highlight w:val="none"/>
          <w:shd w:fill="auto" w:val="clear"/>
        </w:rPr>
      </w:pPr>
      <w:r>
        <w:rPr>
          <w:shd w:fill="auto" w:val="clear"/>
        </w:rPr>
        <w:t>Контроль целостности исполняемых файлов.</w:t>
      </w:r>
    </w:p>
    <w:p>
      <w:pPr>
        <w:pStyle w:val="Style94"/>
        <w:numPr>
          <w:ilvl w:val="0"/>
          <w:numId w:val="12"/>
        </w:numPr>
        <w:rPr>
          <w:highlight w:val="none"/>
          <w:shd w:fill="auto" w:val="clear"/>
        </w:rPr>
      </w:pPr>
      <w:r>
        <w:rPr>
          <w:rFonts w:eastAsia="Calibri"/>
          <w:shd w:fill="auto" w:val="clear"/>
        </w:rPr>
        <w:t>Операционная система должна обеспечивать возможность блокировки:</w:t>
      </w:r>
    </w:p>
    <w:p>
      <w:pPr>
        <w:pStyle w:val="Style94"/>
        <w:rPr>
          <w:highlight w:val="none"/>
          <w:shd w:fill="auto" w:val="clear"/>
        </w:rPr>
      </w:pPr>
      <w:r>
        <w:rPr>
          <w:shd w:fill="auto" w:val="clear"/>
        </w:rPr>
        <w:t>Запуска исполняемых файлов, включая EXE и загрузки библиотек, в том числе DLL, .NET 7/8, целостность которых нарушена;</w:t>
      </w:r>
    </w:p>
    <w:p>
      <w:pPr>
        <w:pStyle w:val="Style94"/>
        <w:rPr>
          <w:highlight w:val="none"/>
          <w:shd w:fill="auto" w:val="clear"/>
        </w:rPr>
      </w:pPr>
      <w:r>
        <w:rPr>
          <w:shd w:fill="auto" w:val="clear"/>
        </w:rPr>
        <w:t>Открытия файлов, в том числе пустых, и самораспаковывающихся 7Z архивов, установленных на контроль, при нарушении их целостности.</w:t>
      </w:r>
    </w:p>
    <w:p>
      <w:pPr>
        <w:pStyle w:val="Style94"/>
        <w:numPr>
          <w:ilvl w:val="0"/>
          <w:numId w:val="12"/>
        </w:numPr>
        <w:rPr>
          <w:highlight w:val="none"/>
          <w:shd w:fill="auto" w:val="clear"/>
        </w:rPr>
      </w:pPr>
      <w:r>
        <w:rPr>
          <w:rFonts w:eastAsia="Calibri"/>
          <w:shd w:fill="auto" w:val="clear"/>
        </w:rPr>
        <w:t>В составе операционной системы должна быть реализована возможность ограничения полномочий пользователей по использованию консолей.</w:t>
      </w:r>
    </w:p>
    <w:p>
      <w:pPr>
        <w:pStyle w:val="Style94"/>
        <w:numPr>
          <w:ilvl w:val="0"/>
          <w:numId w:val="12"/>
        </w:numPr>
        <w:rPr>
          <w:highlight w:val="none"/>
          <w:shd w:fill="auto" w:val="clear"/>
        </w:rPr>
      </w:pPr>
      <w:r>
        <w:rPr>
          <w:rFonts w:eastAsia="Calibri"/>
          <w:shd w:fill="auto" w:val="clear"/>
        </w:rPr>
        <w:t>В операционной системе должна быть реализована возможность очистки и ограничения работы с оперативной памятью.</w:t>
      </w:r>
    </w:p>
    <w:p>
      <w:pPr>
        <w:pStyle w:val="Style94"/>
        <w:numPr>
          <w:ilvl w:val="0"/>
          <w:numId w:val="12"/>
        </w:numPr>
        <w:rPr/>
      </w:pPr>
      <w:r>
        <w:rPr>
          <w:rFonts w:eastAsia="Calibri"/>
          <w:shd w:fill="auto" w:val="clear"/>
        </w:rPr>
        <w:t>Должны быть обеспечены работы по устранению уязвимостей и включению информации об уязвимостях программного обеспечения операционной системы в банк данных угроз безопасности информации ФСТЭК России (</w:t>
      </w:r>
      <w:hyperlink r:id="rId5">
        <w:r>
          <w:rPr>
            <w:rStyle w:val="Hyperlink"/>
            <w:rFonts w:eastAsia="Calibri"/>
            <w:shd w:fill="auto" w:val="clear"/>
          </w:rPr>
          <w:t>https://bdu.fstec.ru/vul</w:t>
        </w:r>
      </w:hyperlink>
      <w:r>
        <w:rPr>
          <w:rFonts w:eastAsia="Calibri"/>
          <w:shd w:fill="auto" w:val="clear"/>
        </w:rPr>
        <w:t>).</w:t>
      </w:r>
    </w:p>
    <w:p>
      <w:pPr>
        <w:pStyle w:val="Style94"/>
        <w:numPr>
          <w:ilvl w:val="0"/>
          <w:numId w:val="12"/>
        </w:numPr>
        <w:rPr>
          <w:highlight w:val="none"/>
          <w:shd w:fill="auto" w:val="clear"/>
        </w:rPr>
      </w:pPr>
      <w:r>
        <w:rPr>
          <w:rFonts w:eastAsia="Calibri"/>
          <w:shd w:fill="auto" w:val="clear"/>
        </w:rPr>
        <w:t>Механизмами безопасности операционной системы должна быть обеспечена защита системных и привилегированных процессов от несанкционированного доступа и управления (исключение возможности повышения привилегий пользователей и управления привилегированными процессами в случае использования дефектов/уязвимостей в программном обеспечении информационной системы).</w:t>
      </w:r>
    </w:p>
    <w:p>
      <w:pPr>
        <w:pStyle w:val="Style94"/>
        <w:numPr>
          <w:ilvl w:val="0"/>
          <w:numId w:val="12"/>
        </w:numPr>
        <w:rPr>
          <w:highlight w:val="none"/>
          <w:shd w:fill="auto" w:val="clear"/>
        </w:rPr>
      </w:pPr>
      <w:r>
        <w:rPr>
          <w:rFonts w:eastAsia="Calibri"/>
          <w:shd w:fill="auto" w:val="clear"/>
        </w:rPr>
        <w:t>Операционная система должна обеспечивать запрет операций записи в системные каталоги и файлы (программы, файлы конфигурации), а также установки программного обеспечения, запуска и останова системных процессов операционной системы, вне зависимости от изменения пользователем своих привилегий в текущем сеансе работы.</w:t>
      </w:r>
    </w:p>
    <w:p>
      <w:pPr>
        <w:pStyle w:val="Style94"/>
        <w:numPr>
          <w:ilvl w:val="0"/>
          <w:numId w:val="12"/>
        </w:numPr>
        <w:rPr>
          <w:highlight w:val="none"/>
          <w:shd w:fill="auto" w:val="clear"/>
        </w:rPr>
      </w:pPr>
      <w:r>
        <w:rPr>
          <w:rFonts w:eastAsia="Calibri"/>
          <w:shd w:fill="auto" w:val="clear"/>
        </w:rPr>
        <w:t>Операционная система должна предоставлять средство настройки профиля системы со следующими возможностями:</w:t>
      </w:r>
    </w:p>
    <w:p>
      <w:pPr>
        <w:pStyle w:val="Style94"/>
        <w:rPr>
          <w:highlight w:val="none"/>
          <w:shd w:fill="auto" w:val="clear"/>
        </w:rPr>
      </w:pPr>
      <w:r>
        <w:rPr>
          <w:shd w:fill="auto" w:val="clear"/>
        </w:rPr>
        <w:t>Настройка комплекса средств защиты в соответствии с требованиями о защите информации, предъявляемыми к определенному классу защищенности информационных систем, при помощи графического интерфейса;</w:t>
      </w:r>
    </w:p>
    <w:p>
      <w:pPr>
        <w:pStyle w:val="Style94"/>
        <w:rPr>
          <w:highlight w:val="none"/>
          <w:shd w:fill="auto" w:val="clear"/>
        </w:rPr>
      </w:pPr>
      <w:r>
        <w:rPr>
          <w:shd w:fill="auto" w:val="clear"/>
        </w:rPr>
        <w:t>Импорт и экспорт настроек комплекса средств защиты системы.</w:t>
      </w:r>
    </w:p>
    <w:p>
      <w:pPr>
        <w:pStyle w:val="Style94"/>
        <w:numPr>
          <w:ilvl w:val="0"/>
          <w:numId w:val="12"/>
        </w:numPr>
        <w:rPr>
          <w:highlight w:val="none"/>
          <w:shd w:fill="auto" w:val="clear"/>
        </w:rPr>
      </w:pPr>
      <w:r>
        <w:rPr>
          <w:rFonts w:eastAsia="Calibri"/>
          <w:shd w:fill="auto" w:val="clear"/>
        </w:rPr>
        <w:t>Операционная система должна иметь графические средства для работы со сторонними устройствами аутентификации - токенами, обеспечивающие следующие возможности:</w:t>
      </w:r>
    </w:p>
    <w:p>
      <w:pPr>
        <w:pStyle w:val="Style94"/>
        <w:rPr>
          <w:highlight w:val="none"/>
          <w:shd w:fill="auto" w:val="clear"/>
        </w:rPr>
      </w:pPr>
      <w:r>
        <w:rPr>
          <w:shd w:fill="auto" w:val="clear"/>
        </w:rPr>
        <w:t>двухфакторная авторизация;</w:t>
      </w:r>
    </w:p>
    <w:p>
      <w:pPr>
        <w:pStyle w:val="Style94"/>
        <w:rPr>
          <w:highlight w:val="none"/>
          <w:shd w:fill="auto" w:val="clear"/>
        </w:rPr>
      </w:pPr>
      <w:r>
        <w:rPr>
          <w:shd w:fill="auto" w:val="clear"/>
        </w:rPr>
        <w:t>вход и разблокировка сессии по токену;</w:t>
      </w:r>
    </w:p>
    <w:p>
      <w:pPr>
        <w:pStyle w:val="Style94"/>
        <w:rPr>
          <w:highlight w:val="none"/>
          <w:shd w:fill="auto" w:val="clear"/>
        </w:rPr>
      </w:pPr>
      <w:r>
        <w:rPr>
          <w:shd w:fill="auto" w:val="clear"/>
        </w:rPr>
        <w:t>блокировка сессии при извлечении токена.</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Требования к функциональным возможностям операционной системы</w:t>
      </w:r>
    </w:p>
    <w:p>
      <w:pPr>
        <w:pStyle w:val="Style94"/>
        <w:numPr>
          <w:ilvl w:val="0"/>
          <w:numId w:val="12"/>
        </w:numPr>
        <w:rPr>
          <w:highlight w:val="none"/>
          <w:shd w:fill="auto" w:val="clear"/>
        </w:rPr>
      </w:pPr>
      <w:r>
        <w:rPr>
          <w:rFonts w:eastAsia="Calibri"/>
          <w:shd w:fill="auto" w:val="clear"/>
        </w:rPr>
        <w:t>Операционная система должна быть предназначена для функционирования на средствах вычислительной техники с аппаратной платформой х86-64, включая процессоры Intel не ниже 10-го поколения.</w:t>
      </w:r>
    </w:p>
    <w:p>
      <w:pPr>
        <w:pStyle w:val="Style94"/>
        <w:numPr>
          <w:ilvl w:val="0"/>
          <w:numId w:val="12"/>
        </w:numPr>
        <w:rPr>
          <w:highlight w:val="none"/>
          <w:shd w:fill="auto" w:val="clear"/>
        </w:rPr>
      </w:pPr>
      <w:r>
        <w:rPr>
          <w:rFonts w:eastAsia="Calibri"/>
          <w:shd w:fill="auto" w:val="clear"/>
        </w:rPr>
        <w:t>Операционная система должна поддерживать работу на ядре Linux версии не ниже 6.1 с возможностью обновления до новых версий ядра (в соответствии с документацией на продукт).</w:t>
      </w:r>
    </w:p>
    <w:p>
      <w:pPr>
        <w:pStyle w:val="Style94"/>
        <w:numPr>
          <w:ilvl w:val="0"/>
          <w:numId w:val="12"/>
        </w:numPr>
        <w:rPr>
          <w:highlight w:val="none"/>
          <w:shd w:fill="auto" w:val="clear"/>
        </w:rPr>
      </w:pPr>
      <w:r>
        <w:rPr>
          <w:rFonts w:eastAsia="Calibri"/>
          <w:shd w:fill="auto" w:val="clear"/>
        </w:rPr>
        <w:t>Операционная система должна обеспечивать функционал в графическом исполнении:</w:t>
      </w:r>
    </w:p>
    <w:p>
      <w:pPr>
        <w:pStyle w:val="Style94"/>
        <w:rPr>
          <w:highlight w:val="none"/>
          <w:shd w:fill="auto" w:val="clear"/>
        </w:rPr>
      </w:pPr>
      <w:r>
        <w:rPr>
          <w:shd w:fill="auto" w:val="clear"/>
        </w:rPr>
        <w:t>наличие графической утилиты управления драйверами nvidia, intel, amd с возможностью выбора драйверов и возможностью восстановления драйверов при неудачной загрузке операционной системы;</w:t>
      </w:r>
    </w:p>
    <w:p>
      <w:pPr>
        <w:pStyle w:val="Style94"/>
        <w:rPr>
          <w:highlight w:val="none"/>
          <w:shd w:fill="auto" w:val="clear"/>
        </w:rPr>
      </w:pPr>
      <w:r>
        <w:rPr>
          <w:shd w:fill="auto" w:val="clear"/>
        </w:rPr>
        <w:t>наличие графических средств настройки выделяемых ресурсов памяти пользователям (квоты);</w:t>
      </w:r>
    </w:p>
    <w:p>
      <w:pPr>
        <w:pStyle w:val="Style94"/>
        <w:rPr>
          <w:highlight w:val="none"/>
          <w:shd w:fill="auto" w:val="clear"/>
        </w:rPr>
      </w:pPr>
      <w:r>
        <w:rPr>
          <w:shd w:fill="auto" w:val="clear"/>
        </w:rPr>
        <w:t>наличие графического инструмента для просмотра и редактирования значения переменных окружения (просматривать текущие переменные, изменять значение и описание переменных, удалять и объявлять переменные);</w:t>
      </w:r>
    </w:p>
    <w:p>
      <w:pPr>
        <w:pStyle w:val="Style94"/>
        <w:rPr>
          <w:highlight w:val="none"/>
          <w:shd w:fill="auto" w:val="clear"/>
        </w:rPr>
      </w:pPr>
      <w:r>
        <w:rPr>
          <w:shd w:fill="auto" w:val="clear"/>
        </w:rPr>
        <w:t>наличие графических средств настройки и изменения ориентации экрана в ручном или автоматическом режиме, с возможностью калибровки поворота, а также задания ориентации по умолчанию;</w:t>
      </w:r>
    </w:p>
    <w:p>
      <w:pPr>
        <w:pStyle w:val="Style94"/>
        <w:rPr>
          <w:highlight w:val="none"/>
          <w:shd w:fill="auto" w:val="clear"/>
        </w:rPr>
      </w:pPr>
      <w:r>
        <w:rPr>
          <w:shd w:fill="auto" w:val="clear"/>
        </w:rPr>
        <w:t>наличие графического инструмента управления регистрацией событий, включающего в себя управление сервисом системных событий, настройку ротации событий и настройку параметров сбора системных событий, наличие графического средства просмотра системных событий;</w:t>
      </w:r>
    </w:p>
    <w:p>
      <w:pPr>
        <w:pStyle w:val="Style94"/>
        <w:rPr>
          <w:highlight w:val="none"/>
          <w:shd w:fill="auto" w:val="clear"/>
        </w:rPr>
      </w:pPr>
      <w:r>
        <w:rPr>
          <w:shd w:fill="auto" w:val="clear"/>
        </w:rPr>
        <w:t>наличие графических средств настройки сохранения и восстановления сессии пользователя (восстановление при старте запущенных программ и их расположения после полного отключения электропитания автоматизированного рабочего места);</w:t>
      </w:r>
    </w:p>
    <w:p>
      <w:pPr>
        <w:pStyle w:val="Style94"/>
        <w:rPr>
          <w:highlight w:val="none"/>
          <w:shd w:fill="auto" w:val="clear"/>
        </w:rPr>
      </w:pPr>
      <w:r>
        <w:rPr>
          <w:shd w:fill="auto" w:val="clear"/>
        </w:rPr>
        <w:t>наличие графических средств настройки потребления электроэнергии (яркость экрана, потухание, выключение монитора, переход в ждущий режим, сон и гибернацию) в случае изменения настроек электропитания (питание от сети, питание от батареи, низкий заряд батареи);</w:t>
      </w:r>
    </w:p>
    <w:p>
      <w:pPr>
        <w:pStyle w:val="Style94"/>
        <w:rPr>
          <w:highlight w:val="none"/>
          <w:shd w:fill="auto" w:val="clear"/>
        </w:rPr>
      </w:pPr>
      <w:r>
        <w:rPr>
          <w:shd w:fill="auto" w:val="clear"/>
        </w:rPr>
        <w:t>наличие графических средств настройки и изменения ориентации экрана в ручном или автоматическом режиме, с возможностью калибровки поворота, а также задания ориентации по умолчанию;</w:t>
      </w:r>
    </w:p>
    <w:p>
      <w:pPr>
        <w:pStyle w:val="Style94"/>
        <w:rPr>
          <w:highlight w:val="none"/>
          <w:shd w:fill="auto" w:val="clear"/>
        </w:rPr>
      </w:pPr>
      <w:r>
        <w:rPr>
          <w:shd w:fill="auto" w:val="clear"/>
        </w:rPr>
        <w:t>наличие графических средств настройки сохранения и восстановления сессии пользователя (восстановление при старте запущенных программ и их расположения после полного отключения электропитания автоматизированного рабочего места);</w:t>
      </w:r>
    </w:p>
    <w:p>
      <w:pPr>
        <w:pStyle w:val="Style94"/>
        <w:rPr>
          <w:highlight w:val="none"/>
          <w:shd w:fill="auto" w:val="clear"/>
        </w:rPr>
      </w:pPr>
      <w:r>
        <w:rPr>
          <w:shd w:fill="auto" w:val="clear"/>
        </w:rPr>
        <w:t>наличие графических средств настройки параметров загрузчика операционной системы (загружаемая операционная система по умолчанию, передаваемые параметры ядра, таймаут для ожидания действий пользователя, выбора источника ввода данных при загрузке, выбор терминала для вывода информации);</w:t>
      </w:r>
    </w:p>
    <w:p>
      <w:pPr>
        <w:pStyle w:val="Style94"/>
        <w:rPr>
          <w:highlight w:val="none"/>
          <w:shd w:fill="auto" w:val="clear"/>
        </w:rPr>
      </w:pPr>
      <w:r>
        <w:rPr>
          <w:shd w:fill="auto" w:val="clear"/>
        </w:rPr>
        <w:t>наличие графических средств расчёта контрольных сумм файлов и их сравнения;</w:t>
      </w:r>
    </w:p>
    <w:p>
      <w:pPr>
        <w:pStyle w:val="Style94"/>
        <w:rPr>
          <w:highlight w:val="none"/>
          <w:shd w:fill="auto" w:val="clear"/>
        </w:rPr>
      </w:pPr>
      <w:r>
        <w:rPr>
          <w:shd w:fill="auto" w:val="clear"/>
        </w:rPr>
        <w:t>наличие графических средств работы с архивами (zip, rar, 7zip, tar, tgz, tar.gz, tar.bz, tar.xz, iso);</w:t>
      </w:r>
    </w:p>
    <w:p>
      <w:pPr>
        <w:pStyle w:val="Style94"/>
        <w:rPr>
          <w:highlight w:val="none"/>
          <w:shd w:fill="auto" w:val="clear"/>
        </w:rPr>
      </w:pPr>
      <w:r>
        <w:rPr>
          <w:shd w:fill="auto" w:val="clear"/>
        </w:rPr>
        <w:t>наличие графических средств для оповещения пользователя о конфликте IP-адресов при подключении к сети;</w:t>
      </w:r>
    </w:p>
    <w:p>
      <w:pPr>
        <w:pStyle w:val="Style94"/>
        <w:rPr>
          <w:highlight w:val="none"/>
          <w:shd w:fill="auto" w:val="clear"/>
        </w:rPr>
      </w:pPr>
      <w:r>
        <w:rPr>
          <w:shd w:fill="auto" w:val="clear"/>
        </w:rPr>
        <w:t>наличие графических средств настройки цветового баланса для каждого монитора по отдельности;</w:t>
      </w:r>
    </w:p>
    <w:p>
      <w:pPr>
        <w:pStyle w:val="Style94"/>
        <w:rPr>
          <w:highlight w:val="none"/>
          <w:shd w:fill="auto" w:val="clear"/>
        </w:rPr>
      </w:pPr>
      <w:r>
        <w:rPr>
          <w:shd w:fill="auto" w:val="clear"/>
        </w:rPr>
        <w:t>наличие возможности присвоить пользовательские наименования звуковым устройствам при помощи графического интерфейса;</w:t>
      </w:r>
    </w:p>
    <w:p>
      <w:pPr>
        <w:pStyle w:val="Style94"/>
        <w:rPr>
          <w:highlight w:val="none"/>
          <w:shd w:fill="auto" w:val="clear"/>
        </w:rPr>
      </w:pPr>
      <w:r>
        <w:rPr>
          <w:shd w:fill="auto" w:val="clear"/>
        </w:rPr>
        <w:t>наличие графических средств ввода в домен, в том числе с возможностью добавить компьютер в нужное подразделение (OU, Organizational Unit) для клиента Active Directory;</w:t>
      </w:r>
    </w:p>
    <w:p>
      <w:pPr>
        <w:pStyle w:val="Style94"/>
        <w:rPr>
          <w:highlight w:val="none"/>
          <w:shd w:fill="auto" w:val="clear"/>
        </w:rPr>
      </w:pPr>
      <w:r>
        <w:rPr>
          <w:shd w:fill="auto" w:val="clear"/>
        </w:rPr>
        <w:t>наличие графического инструмента для настройки частот процессора.</w:t>
      </w:r>
    </w:p>
    <w:p>
      <w:pPr>
        <w:pStyle w:val="Style94"/>
        <w:rPr>
          <w:highlight w:val="none"/>
          <w:shd w:fill="auto" w:val="clear"/>
        </w:rPr>
      </w:pPr>
      <w:r>
        <w:rPr>
          <w:shd w:fill="auto" w:val="clear"/>
        </w:rPr>
        <w:t>наличие графических средств создания, настройки и управления несколькими репозиториями используемого программного обеспечения со следующим функционалом:</w:t>
      </w:r>
    </w:p>
    <w:p>
      <w:pPr>
        <w:pStyle w:val="ListParagraph"/>
        <w:numPr>
          <w:ilvl w:val="0"/>
          <w:numId w:val="16"/>
        </w:numPr>
        <w:spacing w:before="0" w:after="200"/>
        <w:contextualSpacing/>
        <w:rPr>
          <w:highlight w:val="none"/>
          <w:shd w:fill="auto" w:val="clear"/>
        </w:rPr>
      </w:pPr>
      <w:r>
        <w:rPr>
          <w:rFonts w:eastAsia="Calibri"/>
          <w:shd w:fill="auto" w:val="clear"/>
        </w:rPr>
        <w:t>проверка зависимостей пакетной базы;</w:t>
      </w:r>
    </w:p>
    <w:p>
      <w:pPr>
        <w:pStyle w:val="ListParagraph"/>
        <w:numPr>
          <w:ilvl w:val="0"/>
          <w:numId w:val="16"/>
        </w:numPr>
        <w:spacing w:before="0" w:after="200"/>
        <w:contextualSpacing/>
        <w:rPr>
          <w:highlight w:val="none"/>
          <w:shd w:fill="auto" w:val="clear"/>
        </w:rPr>
      </w:pPr>
      <w:r>
        <w:rPr>
          <w:rFonts w:eastAsia="Calibri"/>
          <w:shd w:fill="auto" w:val="clear"/>
        </w:rPr>
        <w:t>автоматическая публикация в сети по протоколам http и ftp;</w:t>
      </w:r>
    </w:p>
    <w:p>
      <w:pPr>
        <w:pStyle w:val="ListParagraph"/>
        <w:numPr>
          <w:ilvl w:val="0"/>
          <w:numId w:val="16"/>
        </w:numPr>
        <w:rPr>
          <w:highlight w:val="none"/>
          <w:shd w:fill="auto" w:val="clear"/>
        </w:rPr>
      </w:pPr>
      <w:r>
        <w:rPr>
          <w:rFonts w:eastAsia="Calibri"/>
          <w:shd w:fill="auto" w:val="clear"/>
        </w:rPr>
        <w:t>выбор конкретных репозиториев, из которых будет произведено обновление пакетов.</w:t>
      </w:r>
    </w:p>
    <w:p>
      <w:pPr>
        <w:pStyle w:val="Style94"/>
        <w:rPr>
          <w:highlight w:val="none"/>
          <w:shd w:fill="auto" w:val="clear"/>
        </w:rPr>
      </w:pPr>
      <w:r>
        <w:rPr>
          <w:shd w:fill="auto" w:val="clear"/>
        </w:rPr>
        <w:t>наличие средств подключения к операционной системе по протоколу RDP, со следующими возможностями по умолчанию:</w:t>
      </w:r>
    </w:p>
    <w:p>
      <w:pPr>
        <w:pStyle w:val="ListParagraph"/>
        <w:numPr>
          <w:ilvl w:val="0"/>
          <w:numId w:val="16"/>
        </w:numPr>
        <w:spacing w:before="0" w:after="200"/>
        <w:contextualSpacing/>
        <w:rPr>
          <w:highlight w:val="none"/>
          <w:shd w:fill="auto" w:val="clear"/>
        </w:rPr>
      </w:pPr>
      <w:r>
        <w:rPr>
          <w:rFonts w:eastAsia="Calibri"/>
          <w:shd w:fill="auto" w:val="clear"/>
        </w:rPr>
        <w:t>вход в сессию локально, а затем подключение к этой сессии удаленно с автоматической блокировкой доступа к сессии локально и возможностью одновременной работы локально в графической сессии из-под другого пользователя;</w:t>
      </w:r>
    </w:p>
    <w:p>
      <w:pPr>
        <w:pStyle w:val="ListParagraph"/>
        <w:numPr>
          <w:ilvl w:val="0"/>
          <w:numId w:val="16"/>
        </w:numPr>
        <w:spacing w:before="0" w:after="200"/>
        <w:contextualSpacing/>
        <w:rPr>
          <w:highlight w:val="none"/>
          <w:shd w:fill="auto" w:val="clear"/>
        </w:rPr>
      </w:pPr>
      <w:r>
        <w:rPr>
          <w:rFonts w:eastAsia="Calibri"/>
          <w:shd w:fill="auto" w:val="clear"/>
        </w:rPr>
        <w:t>вход в сессию удаленно, а затем подключение к этой сессии локально при входе в систему с автоматическим отключением удаленного клиента;</w:t>
      </w:r>
    </w:p>
    <w:p>
      <w:pPr>
        <w:pStyle w:val="ListParagraph"/>
        <w:numPr>
          <w:ilvl w:val="0"/>
          <w:numId w:val="16"/>
        </w:numPr>
        <w:rPr>
          <w:highlight w:val="none"/>
          <w:shd w:fill="auto" w:val="clear"/>
        </w:rPr>
      </w:pPr>
      <w:r>
        <w:rPr>
          <w:rFonts w:eastAsia="Calibri"/>
          <w:shd w:fill="auto" w:val="clear"/>
        </w:rPr>
        <w:t>проброс нескольких смарт-карт или токенов (eToken, Рутокен, JaCarta) с возможностью их одновременного использования на сервере и клиенте.</w:t>
      </w:r>
    </w:p>
    <w:p>
      <w:pPr>
        <w:pStyle w:val="Style94"/>
        <w:rPr>
          <w:highlight w:val="none"/>
          <w:shd w:fill="auto" w:val="clear"/>
        </w:rPr>
      </w:pPr>
      <w:r>
        <w:rPr>
          <w:shd w:fill="auto" w:val="clear"/>
        </w:rPr>
        <w:t>наличие графических средств настройки системы, в том числе:</w:t>
      </w:r>
    </w:p>
    <w:p>
      <w:pPr>
        <w:pStyle w:val="ListParagraph"/>
        <w:numPr>
          <w:ilvl w:val="0"/>
          <w:numId w:val="16"/>
        </w:numPr>
        <w:spacing w:before="0" w:after="200"/>
        <w:contextualSpacing/>
        <w:rPr>
          <w:highlight w:val="none"/>
          <w:shd w:fill="auto" w:val="clear"/>
        </w:rPr>
      </w:pPr>
      <w:r>
        <w:rPr>
          <w:rFonts w:eastAsia="Calibri"/>
          <w:shd w:fill="auto" w:val="clear"/>
        </w:rPr>
        <w:t>установки и синхронизация времени;</w:t>
      </w:r>
    </w:p>
    <w:p>
      <w:pPr>
        <w:pStyle w:val="ListParagraph"/>
        <w:numPr>
          <w:ilvl w:val="0"/>
          <w:numId w:val="16"/>
        </w:numPr>
        <w:spacing w:before="0" w:after="200"/>
        <w:contextualSpacing/>
        <w:rPr>
          <w:highlight w:val="none"/>
          <w:shd w:fill="auto" w:val="clear"/>
        </w:rPr>
      </w:pPr>
      <w:r>
        <w:rPr>
          <w:rFonts w:eastAsia="Calibri"/>
          <w:shd w:fill="auto" w:val="clear"/>
        </w:rPr>
        <w:t>управления пользователями;</w:t>
      </w:r>
    </w:p>
    <w:p>
      <w:pPr>
        <w:pStyle w:val="ListParagraph"/>
        <w:numPr>
          <w:ilvl w:val="0"/>
          <w:numId w:val="16"/>
        </w:numPr>
        <w:spacing w:before="0" w:after="200"/>
        <w:contextualSpacing/>
        <w:rPr>
          <w:highlight w:val="none"/>
          <w:shd w:fill="auto" w:val="clear"/>
        </w:rPr>
      </w:pPr>
      <w:r>
        <w:rPr>
          <w:rFonts w:eastAsia="Calibri"/>
          <w:shd w:fill="auto" w:val="clear"/>
        </w:rPr>
        <w:t>просмотра системных журналов;</w:t>
      </w:r>
    </w:p>
    <w:p>
      <w:pPr>
        <w:pStyle w:val="ListParagraph"/>
        <w:numPr>
          <w:ilvl w:val="0"/>
          <w:numId w:val="16"/>
        </w:numPr>
        <w:rPr>
          <w:highlight w:val="none"/>
          <w:shd w:fill="auto" w:val="clear"/>
        </w:rPr>
      </w:pPr>
      <w:r>
        <w:rPr>
          <w:rFonts w:eastAsia="Calibri"/>
          <w:shd w:fill="auto" w:val="clear"/>
        </w:rPr>
        <w:t>настройки и обслуживания принтеров.</w:t>
      </w:r>
    </w:p>
    <w:p>
      <w:pPr>
        <w:pStyle w:val="Style94"/>
        <w:rPr>
          <w:highlight w:val="none"/>
          <w:shd w:fill="auto" w:val="clear"/>
        </w:rPr>
      </w:pPr>
      <w:r>
        <w:rPr>
          <w:shd w:fill="auto" w:val="clear"/>
        </w:rPr>
        <w:t>наличие графического центра уведомлений на рабочем столе с следующими возможностями:</w:t>
      </w:r>
    </w:p>
    <w:p>
      <w:pPr>
        <w:pStyle w:val="ListParagraph"/>
        <w:numPr>
          <w:ilvl w:val="0"/>
          <w:numId w:val="16"/>
        </w:numPr>
        <w:spacing w:before="0" w:after="200"/>
        <w:contextualSpacing/>
        <w:rPr>
          <w:highlight w:val="none"/>
          <w:shd w:fill="auto" w:val="clear"/>
        </w:rPr>
      </w:pPr>
      <w:r>
        <w:rPr>
          <w:rFonts w:eastAsia="Calibri"/>
          <w:shd w:fill="auto" w:val="clear"/>
        </w:rPr>
        <w:t>настройка расположения уведомлений;</w:t>
      </w:r>
    </w:p>
    <w:p>
      <w:pPr>
        <w:pStyle w:val="ListParagraph"/>
        <w:numPr>
          <w:ilvl w:val="0"/>
          <w:numId w:val="16"/>
        </w:numPr>
        <w:spacing w:before="0" w:after="200"/>
        <w:contextualSpacing/>
        <w:rPr>
          <w:highlight w:val="none"/>
          <w:shd w:fill="auto" w:val="clear"/>
        </w:rPr>
      </w:pPr>
      <w:r>
        <w:rPr>
          <w:rFonts w:eastAsia="Calibri"/>
          <w:shd w:fill="auto" w:val="clear"/>
        </w:rPr>
        <w:t>возможность индивидуальных настроек для конкретных приложений;</w:t>
      </w:r>
    </w:p>
    <w:p>
      <w:pPr>
        <w:pStyle w:val="ListParagraph"/>
        <w:numPr>
          <w:ilvl w:val="0"/>
          <w:numId w:val="16"/>
        </w:numPr>
        <w:rPr>
          <w:highlight w:val="none"/>
          <w:shd w:fill="auto" w:val="clear"/>
        </w:rPr>
      </w:pPr>
      <w:r>
        <w:rPr>
          <w:rFonts w:eastAsia="Calibri"/>
          <w:shd w:fill="auto" w:val="clear"/>
        </w:rPr>
        <w:t>настройка отображения уведомлений на экране блокировке и при разблокировке.</w:t>
      </w:r>
    </w:p>
    <w:p>
      <w:pPr>
        <w:pStyle w:val="Style94"/>
        <w:rPr>
          <w:highlight w:val="none"/>
          <w:shd w:fill="auto" w:val="clear"/>
        </w:rPr>
      </w:pPr>
      <w:r>
        <w:rPr>
          <w:shd w:fill="auto" w:val="clear"/>
        </w:rPr>
        <w:t>наличие графических инструментов глобального поиска по расположению, содержимому, времени создания или изменения, размеру файла, с отображением результатов поискового запроса в интерактивном окне со следующими возможностями:</w:t>
      </w:r>
    </w:p>
    <w:p>
      <w:pPr>
        <w:pStyle w:val="ListParagraph"/>
        <w:numPr>
          <w:ilvl w:val="0"/>
          <w:numId w:val="16"/>
        </w:numPr>
        <w:spacing w:before="0" w:after="200"/>
        <w:contextualSpacing/>
        <w:rPr>
          <w:highlight w:val="none"/>
          <w:shd w:fill="auto" w:val="clear"/>
        </w:rPr>
      </w:pPr>
      <w:r>
        <w:rPr>
          <w:rFonts w:eastAsia="Calibri"/>
          <w:shd w:fill="auto" w:val="clear"/>
        </w:rPr>
        <w:t>группировки и фильтрации результатов по найденным категориям (файлы, приложения, папки, архивы);</w:t>
      </w:r>
    </w:p>
    <w:p>
      <w:pPr>
        <w:pStyle w:val="ListParagraph"/>
        <w:numPr>
          <w:ilvl w:val="0"/>
          <w:numId w:val="16"/>
        </w:numPr>
        <w:rPr>
          <w:highlight w:val="none"/>
          <w:shd w:fill="auto" w:val="clear"/>
        </w:rPr>
      </w:pPr>
      <w:r>
        <w:rPr>
          <w:rFonts w:eastAsia="Calibri"/>
          <w:shd w:fill="auto" w:val="clear"/>
        </w:rPr>
        <w:t>отображения свойств найденных файлов (имя, тип, путь, размер).</w:t>
      </w:r>
    </w:p>
    <w:p>
      <w:pPr>
        <w:pStyle w:val="Style94"/>
        <w:numPr>
          <w:ilvl w:val="0"/>
          <w:numId w:val="12"/>
        </w:numPr>
        <w:rPr>
          <w:highlight w:val="none"/>
          <w:shd w:fill="auto" w:val="clear"/>
        </w:rPr>
      </w:pPr>
      <w:r>
        <w:rPr>
          <w:rFonts w:eastAsia="Calibri"/>
          <w:shd w:fill="auto" w:val="clear"/>
        </w:rPr>
        <w:t>Операционная система должна поддерживать следующий функционал:</w:t>
      </w:r>
    </w:p>
    <w:p>
      <w:pPr>
        <w:pStyle w:val="Style94"/>
        <w:rPr>
          <w:highlight w:val="none"/>
          <w:shd w:fill="auto" w:val="clear"/>
        </w:rPr>
      </w:pPr>
      <w:r>
        <w:rPr>
          <w:shd w:fill="auto" w:val="clear"/>
        </w:rPr>
        <w:t>графический интерфейс, адаптированный под использование на портативных устройствах с поддержкой управления настройками системы, приложениями и сервисами (включая контекстные меню) с помощью touchscreen (сенсорный экран) с возможностью автоматического отключения при подключении мышки;</w:t>
      </w:r>
    </w:p>
    <w:p>
      <w:pPr>
        <w:pStyle w:val="Style94"/>
        <w:rPr>
          <w:highlight w:val="none"/>
          <w:shd w:fill="auto" w:val="clear"/>
        </w:rPr>
      </w:pPr>
      <w:r>
        <w:rPr>
          <w:shd w:fill="auto" w:val="clear"/>
        </w:rPr>
        <w:t>возможность подключения к сети wi-fi до входа в систему, а также аутентификация в сети wi-fi с использованием смарт-карты;</w:t>
      </w:r>
    </w:p>
    <w:p>
      <w:pPr>
        <w:pStyle w:val="Style94"/>
        <w:rPr>
          <w:highlight w:val="none"/>
          <w:shd w:fill="auto" w:val="clear"/>
        </w:rPr>
      </w:pPr>
      <w:r>
        <w:rPr>
          <w:shd w:fill="auto" w:val="clear"/>
        </w:rPr>
        <w:t>наличие в репозитории операционной системы браузера из единого реестра российских программ для электронных вычислительных машин и баз данных;</w:t>
      </w:r>
    </w:p>
    <w:p>
      <w:pPr>
        <w:pStyle w:val="Style94"/>
        <w:rPr>
          <w:highlight w:val="none"/>
          <w:shd w:fill="auto" w:val="clear"/>
        </w:rPr>
      </w:pPr>
      <w:r>
        <w:rPr>
          <w:shd w:fill="auto" w:val="clear"/>
        </w:rPr>
        <w:t>возможность ввода аутентификационных данных пользователя при входе в систему и при разблокировке экрана с использованием виртуальной клавиатуры без необходимости дополнительных настроек.</w:t>
      </w:r>
    </w:p>
    <w:p>
      <w:pPr>
        <w:pStyle w:val="Style94"/>
        <w:numPr>
          <w:ilvl w:val="0"/>
          <w:numId w:val="12"/>
        </w:numPr>
        <w:rPr>
          <w:highlight w:val="none"/>
          <w:shd w:fill="auto" w:val="clear"/>
        </w:rPr>
      </w:pPr>
      <w:r>
        <w:rPr>
          <w:rFonts w:eastAsia="Calibri"/>
          <w:shd w:fill="auto" w:val="clear"/>
        </w:rPr>
        <w:t>Операционная система обеспечивает поддержку файловых систем и сетевых протоколов:</w:t>
      </w:r>
    </w:p>
    <w:p>
      <w:pPr>
        <w:pStyle w:val="Style94"/>
        <w:rPr>
          <w:highlight w:val="none"/>
          <w:shd w:fill="auto" w:val="clear"/>
        </w:rPr>
      </w:pPr>
      <w:r>
        <w:rPr>
          <w:shd w:fill="auto" w:val="clear"/>
          <w:lang w:val="en-US"/>
        </w:rPr>
        <w:t>ext2/3/4, fat, ntfs, iso9660, XFS, ZFS, BTRFS;</w:t>
      </w:r>
    </w:p>
    <w:p>
      <w:pPr>
        <w:pStyle w:val="Style94"/>
        <w:rPr>
          <w:highlight w:val="none"/>
          <w:shd w:fill="auto" w:val="clear"/>
        </w:rPr>
      </w:pPr>
      <w:r>
        <w:rPr>
          <w:shd w:fill="auto" w:val="clear"/>
          <w:lang w:val="en-US"/>
        </w:rPr>
        <w:t>TCP/IP, DHCP, DNS, FTP, TFTP, SMTP, IMAP, HTTP(S), NTP, SSH, NFS, SMB;</w:t>
      </w:r>
    </w:p>
    <w:p>
      <w:pPr>
        <w:pStyle w:val="Style94"/>
        <w:rPr>
          <w:highlight w:val="none"/>
          <w:shd w:fill="auto" w:val="clear"/>
        </w:rPr>
      </w:pPr>
      <w:r>
        <w:rPr>
          <w:shd w:fill="auto" w:val="clear"/>
        </w:rPr>
        <w:t>поддержка стандарта ISO9660;</w:t>
      </w:r>
    </w:p>
    <w:p>
      <w:pPr>
        <w:pStyle w:val="Style94"/>
        <w:rPr>
          <w:highlight w:val="none"/>
          <w:shd w:fill="auto" w:val="clear"/>
        </w:rPr>
      </w:pPr>
      <w:r>
        <w:rPr>
          <w:shd w:fill="auto" w:val="clear"/>
        </w:rPr>
        <w:t>наличие средств подключения ресурсов WebDAV в качестве локальной файловой системы для возможности использования их стандартными приложениями операционной системы.</w:t>
      </w:r>
    </w:p>
    <w:p>
      <w:pPr>
        <w:pStyle w:val="Style94"/>
        <w:numPr>
          <w:ilvl w:val="0"/>
          <w:numId w:val="12"/>
        </w:numPr>
        <w:rPr>
          <w:highlight w:val="none"/>
          <w:shd w:fill="auto" w:val="clear"/>
        </w:rPr>
      </w:pPr>
      <w:r>
        <w:rPr>
          <w:rFonts w:eastAsia="Calibri"/>
          <w:shd w:fill="auto" w:val="clear"/>
        </w:rPr>
        <w:t xml:space="preserve">Операционная система должна обеспечиватьт возможность создания точек восстановления (снапшотов) для последующего возвращения системы к исходному состоянию в случае сбоя, а также иметь возможность возврата к состоянию до начала установки обновлений. </w:t>
      </w:r>
    </w:p>
    <w:p>
      <w:pPr>
        <w:pStyle w:val="Style94"/>
        <w:numPr>
          <w:ilvl w:val="0"/>
          <w:numId w:val="12"/>
        </w:numPr>
        <w:rPr>
          <w:highlight w:val="none"/>
          <w:shd w:fill="auto" w:val="clear"/>
        </w:rPr>
      </w:pPr>
      <w:r>
        <w:rPr>
          <w:rFonts w:eastAsia="Calibri"/>
          <w:shd w:fill="auto" w:val="clear"/>
        </w:rPr>
        <w:t>Операционная система должна обеспечивать среду функционирования для сертифицированных средств криптографической защиты информации, предназначенных для создания и проверки электронной подписи.</w:t>
      </w:r>
    </w:p>
    <w:p>
      <w:pPr>
        <w:pStyle w:val="Style94"/>
        <w:numPr>
          <w:ilvl w:val="0"/>
          <w:numId w:val="12"/>
        </w:numPr>
        <w:rPr>
          <w:highlight w:val="none"/>
          <w:shd w:fill="auto" w:val="clear"/>
        </w:rPr>
      </w:pPr>
      <w:r>
        <w:rPr>
          <w:rFonts w:eastAsia="Calibri"/>
          <w:shd w:fill="auto" w:val="clear"/>
        </w:rPr>
        <w:t>Установщик операционной системы должен иметь следующий функционал:</w:t>
      </w:r>
    </w:p>
    <w:p>
      <w:pPr>
        <w:pStyle w:val="Style94"/>
        <w:rPr>
          <w:highlight w:val="none"/>
          <w:shd w:fill="auto" w:val="clear"/>
        </w:rPr>
      </w:pPr>
      <w:r>
        <w:rPr>
          <w:shd w:fill="auto" w:val="clear"/>
        </w:rPr>
        <w:t>обеспечивать возможность запуска VNC сервера для удаленного подключения к клиентским машинам и управления ими как на этапе загрузки с установочного диска в главном меню программы установки, так и непосредственно в LiveCD;</w:t>
      </w:r>
    </w:p>
    <w:p>
      <w:pPr>
        <w:pStyle w:val="Style94"/>
        <w:rPr>
          <w:highlight w:val="none"/>
          <w:shd w:fill="auto" w:val="clear"/>
        </w:rPr>
      </w:pPr>
      <w:r>
        <w:rPr>
          <w:shd w:fill="auto" w:val="clear"/>
        </w:rPr>
        <w:t>возможность автоматической установки при помощи файла конфигурации формата .yaml;</w:t>
      </w:r>
    </w:p>
    <w:p>
      <w:pPr>
        <w:pStyle w:val="Style94"/>
        <w:rPr>
          <w:highlight w:val="none"/>
          <w:shd w:fill="auto" w:val="clear"/>
        </w:rPr>
      </w:pPr>
      <w:r>
        <w:rPr>
          <w:shd w:fill="auto" w:val="clear"/>
        </w:rPr>
        <w:t>возможность задания параметров для администратора и нескольких локальных пользователей;</w:t>
      </w:r>
    </w:p>
    <w:p>
      <w:pPr>
        <w:pStyle w:val="Style94"/>
        <w:rPr>
          <w:highlight w:val="none"/>
          <w:shd w:fill="auto" w:val="clear"/>
        </w:rPr>
      </w:pPr>
      <w:r>
        <w:rPr>
          <w:shd w:fill="auto" w:val="clear"/>
        </w:rPr>
        <w:t>предоставлять возможность установки любых пакетов из репозитория операционной системы во время установки.</w:t>
      </w:r>
    </w:p>
    <w:p>
      <w:pPr>
        <w:pStyle w:val="Style94"/>
        <w:numPr>
          <w:ilvl w:val="0"/>
          <w:numId w:val="12"/>
        </w:numPr>
        <w:rPr>
          <w:highlight w:val="none"/>
          <w:shd w:fill="auto" w:val="clear"/>
        </w:rPr>
      </w:pPr>
      <w:r>
        <w:rPr>
          <w:rFonts w:eastAsia="Calibri"/>
          <w:shd w:fill="auto" w:val="clear"/>
        </w:rPr>
        <w:t>Операционная система должна предоставлять инструмент для обновления между мажорными версиями с сохранением настроек операционной системы и ПО.</w:t>
      </w:r>
    </w:p>
    <w:p>
      <w:pPr>
        <w:pStyle w:val="Style94"/>
        <w:numPr>
          <w:ilvl w:val="0"/>
          <w:numId w:val="12"/>
        </w:numPr>
        <w:rPr>
          <w:highlight w:val="none"/>
          <w:shd w:fill="auto" w:val="clear"/>
        </w:rPr>
      </w:pPr>
      <w:r>
        <w:rPr>
          <w:rFonts w:eastAsia="Calibri"/>
          <w:shd w:fill="auto" w:val="clear"/>
        </w:rPr>
        <w:t>Операционная система должна предоставлять средства для локальной виртуализации (виртуальные машины, созданные на рабочей станции или удаленном сервере и используемые в однопользовательском режиме) с графическим интерфейсом управления и возможностью группировать отображаемые виртуальные машины.</w:t>
      </w:r>
    </w:p>
    <w:p>
      <w:pPr>
        <w:pStyle w:val="Style94"/>
        <w:numPr>
          <w:ilvl w:val="0"/>
          <w:numId w:val="12"/>
        </w:numPr>
        <w:rPr>
          <w:highlight w:val="none"/>
          <w:shd w:fill="auto" w:val="clear"/>
        </w:rPr>
      </w:pPr>
      <w:r>
        <w:rPr>
          <w:rFonts w:eastAsia="Calibri"/>
          <w:shd w:fill="auto" w:val="clear"/>
        </w:rPr>
        <w:t>Операционная система должна предоставлять специальные возможности:</w:t>
      </w:r>
    </w:p>
    <w:p>
      <w:pPr>
        <w:pStyle w:val="Style94"/>
        <w:rPr>
          <w:highlight w:val="none"/>
          <w:shd w:fill="auto" w:val="clear"/>
        </w:rPr>
      </w:pPr>
      <w:r>
        <w:rPr>
          <w:shd w:fill="auto" w:val="clear"/>
        </w:rPr>
        <w:t>экранный диктор и синтезатор речи для русского языка;</w:t>
      </w:r>
    </w:p>
    <w:p>
      <w:pPr>
        <w:pStyle w:val="Style94"/>
        <w:rPr>
          <w:highlight w:val="none"/>
          <w:shd w:fill="auto" w:val="clear"/>
        </w:rPr>
      </w:pPr>
      <w:r>
        <w:rPr>
          <w:shd w:fill="auto" w:val="clear"/>
        </w:rPr>
        <w:t>голосовой ввод;</w:t>
      </w:r>
    </w:p>
    <w:p>
      <w:pPr>
        <w:pStyle w:val="Style94"/>
        <w:rPr>
          <w:highlight w:val="none"/>
          <w:shd w:fill="auto" w:val="clear"/>
        </w:rPr>
      </w:pPr>
      <w:r>
        <w:rPr>
          <w:shd w:fill="auto" w:val="clear"/>
        </w:rPr>
        <w:t>настройка визуальных и звуковых уведомлений на события, связанные со специальными возможностям;</w:t>
      </w:r>
    </w:p>
    <w:p>
      <w:pPr>
        <w:pStyle w:val="Style94"/>
        <w:rPr>
          <w:highlight w:val="none"/>
          <w:shd w:fill="auto" w:val="clear"/>
        </w:rPr>
      </w:pPr>
      <w:r>
        <w:rPr>
          <w:shd w:fill="auto" w:val="clear"/>
        </w:rPr>
        <w:t>настройка залипающих, замедленных и прыгающих клавиши;</w:t>
      </w:r>
    </w:p>
    <w:p>
      <w:pPr>
        <w:pStyle w:val="Style94"/>
        <w:rPr>
          <w:highlight w:val="none"/>
          <w:shd w:fill="auto" w:val="clear"/>
        </w:rPr>
      </w:pPr>
      <w:r>
        <w:rPr>
          <w:shd w:fill="auto" w:val="clear"/>
        </w:rPr>
        <w:t>настройка управления курсором мыши с помощью цифровой клавиатуры.</w:t>
      </w:r>
    </w:p>
    <w:p>
      <w:pPr>
        <w:pStyle w:val="Style94"/>
        <w:numPr>
          <w:ilvl w:val="0"/>
          <w:numId w:val="12"/>
        </w:numPr>
        <w:rPr>
          <w:highlight w:val="none"/>
          <w:shd w:fill="auto" w:val="clear"/>
        </w:rPr>
      </w:pPr>
      <w:r>
        <w:rPr>
          <w:rFonts w:eastAsia="Calibri"/>
          <w:shd w:fill="auto" w:val="clear"/>
        </w:rPr>
        <w:t>Дополнительные функциональные компоненты:</w:t>
      </w:r>
    </w:p>
    <w:p>
      <w:pPr>
        <w:pStyle w:val="Style94"/>
        <w:rPr>
          <w:highlight w:val="none"/>
          <w:shd w:fill="auto" w:val="clear"/>
        </w:rPr>
      </w:pPr>
      <w:r>
        <w:rPr>
          <w:shd w:fill="auto" w:val="clear"/>
        </w:rPr>
        <w:t>клиентское ПО, для осуществления подключения по протоколу RDP;</w:t>
      </w:r>
    </w:p>
    <w:p>
      <w:pPr>
        <w:pStyle w:val="Style94"/>
        <w:rPr>
          <w:highlight w:val="none"/>
          <w:shd w:fill="auto" w:val="clear"/>
        </w:rPr>
      </w:pPr>
      <w:r>
        <w:rPr>
          <w:shd w:fill="auto" w:val="clear"/>
        </w:rPr>
        <w:t>агенты служб централизованного управления системой;</w:t>
      </w:r>
    </w:p>
    <w:p>
      <w:pPr>
        <w:pStyle w:val="Style94"/>
        <w:rPr>
          <w:highlight w:val="none"/>
          <w:shd w:fill="auto" w:val="clear"/>
        </w:rPr>
      </w:pPr>
      <w:r>
        <w:rPr>
          <w:shd w:fill="auto" w:val="clear"/>
        </w:rPr>
        <w:t>приложение для сканирования документов с возможностью пропуска пустых страниц и с сохранением размера области сканирования;</w:t>
      </w:r>
    </w:p>
    <w:p>
      <w:pPr>
        <w:pStyle w:val="Style94"/>
        <w:rPr>
          <w:highlight w:val="none"/>
          <w:shd w:fill="auto" w:val="clear"/>
        </w:rPr>
      </w:pPr>
      <w:r>
        <w:rPr>
          <w:shd w:fill="auto" w:val="clear"/>
        </w:rPr>
        <w:t>средство просмотра и редактирования файлов .pdf;</w:t>
      </w:r>
    </w:p>
    <w:p>
      <w:pPr>
        <w:pStyle w:val="Style94"/>
        <w:rPr>
          <w:highlight w:val="none"/>
          <w:shd w:fill="auto" w:val="clear"/>
        </w:rPr>
      </w:pPr>
      <w:r>
        <w:rPr>
          <w:shd w:fill="auto" w:val="clear"/>
        </w:rPr>
        <w:t>средство для эмуляции запуска исполняемых файлов .exe;</w:t>
      </w:r>
    </w:p>
    <w:p>
      <w:pPr>
        <w:pStyle w:val="Style94"/>
        <w:rPr>
          <w:highlight w:val="none"/>
          <w:shd w:fill="auto" w:val="clear"/>
        </w:rPr>
      </w:pPr>
      <w:r>
        <w:rPr>
          <w:shd w:fill="auto" w:val="clear"/>
        </w:rPr>
        <w:t>средства просмотра и редактирования графики и изображений;</w:t>
      </w:r>
    </w:p>
    <w:p>
      <w:pPr>
        <w:pStyle w:val="Style94"/>
        <w:rPr>
          <w:highlight w:val="none"/>
          <w:shd w:fill="auto" w:val="clear"/>
        </w:rPr>
      </w:pPr>
      <w:r>
        <w:rPr>
          <w:shd w:fill="auto" w:val="clear"/>
        </w:rPr>
        <w:t>средство оптического распознавания символов.</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Правовая безопасность</w:t>
      </w:r>
    </w:p>
    <w:p>
      <w:pPr>
        <w:pStyle w:val="Style94"/>
        <w:numPr>
          <w:ilvl w:val="0"/>
          <w:numId w:val="12"/>
        </w:numPr>
        <w:rPr>
          <w:highlight w:val="none"/>
          <w:shd w:fill="auto" w:val="clear"/>
        </w:rPr>
      </w:pPr>
      <w:r>
        <w:rPr>
          <w:rFonts w:eastAsia="Calibri"/>
          <w:shd w:fill="auto" w:val="clear"/>
        </w:rPr>
        <w:t>Документом, подтверждающим право на поставку лицензий, является наличие действующего сублицензионного договора с разработчиком ПО или его партнером.</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Порядок предоставления обновлений</w:t>
      </w:r>
    </w:p>
    <w:p>
      <w:pPr>
        <w:pStyle w:val="Style94"/>
        <w:numPr>
          <w:ilvl w:val="0"/>
          <w:numId w:val="12"/>
        </w:numPr>
        <w:rPr>
          <w:highlight w:val="none"/>
          <w:shd w:fill="auto" w:val="clear"/>
        </w:rPr>
      </w:pPr>
      <w:r>
        <w:rPr>
          <w:rFonts w:eastAsia="Calibri"/>
          <w:shd w:fill="auto" w:val="clear"/>
        </w:rPr>
        <w:t>Порядок выпуска и предоставления обновлений или технической поддержки регламентируется в соответствии с действующей Политикой (Положением), размещённой на сайте Производителя и в Личном кабинете Пользователя.</w:t>
      </w:r>
    </w:p>
    <w:p>
      <w:pPr>
        <w:pStyle w:val="Style94"/>
        <w:numPr>
          <w:ilvl w:val="0"/>
          <w:numId w:val="12"/>
        </w:numPr>
        <w:rPr>
          <w:highlight w:val="none"/>
          <w:shd w:fill="auto" w:val="clear"/>
        </w:rPr>
      </w:pPr>
      <w:r>
        <w:rPr>
          <w:rFonts w:eastAsia="Calibri"/>
          <w:shd w:fill="auto" w:val="clear"/>
        </w:rPr>
        <w:t>Обновления предоставляются в соответствии с действующей Политикой, требованиями регуляторов в области безопасности информации и лицензионным (сублицензионным) договором, заключенным между Пользователем и Производителем или партнером Производителя. В случае расхождений условий предоставления обновлений по действующей Политике и договором, применяются положения договора.</w:t>
      </w:r>
    </w:p>
    <w:p>
      <w:pPr>
        <w:pStyle w:val="Style94"/>
        <w:numPr>
          <w:ilvl w:val="0"/>
          <w:numId w:val="12"/>
        </w:numPr>
        <w:rPr>
          <w:highlight w:val="none"/>
          <w:shd w:fill="auto" w:val="clear"/>
        </w:rPr>
      </w:pPr>
      <w:r>
        <w:rPr>
          <w:rFonts w:eastAsia="Calibri"/>
          <w:shd w:fill="auto" w:val="clear"/>
        </w:rPr>
        <w:t>Информационно-справочная поддержка функционирования обеспечивается посредством использования телефонной связи, программных средств обмена сообщениями с Пользователями.</w:t>
      </w:r>
    </w:p>
    <w:p>
      <w:pPr>
        <w:pStyle w:val="Style94"/>
        <w:numPr>
          <w:ilvl w:val="0"/>
          <w:numId w:val="12"/>
        </w:numPr>
        <w:rPr>
          <w:highlight w:val="none"/>
          <w:shd w:fill="auto" w:val="clear"/>
        </w:rPr>
      </w:pPr>
      <w:r>
        <w:rPr>
          <w:rFonts w:eastAsia="Calibri"/>
          <w:shd w:fill="auto" w:val="clear"/>
        </w:rPr>
        <w:t>Прием обращений осуществляется Производителем круглосуточно через Личный кабинет. Прием обращений по телефону осуществляется по рабочим дням с 09:00 до 18:00 по МСК.</w:t>
      </w:r>
    </w:p>
    <w:p>
      <w:pPr>
        <w:pStyle w:val="Style94"/>
        <w:numPr>
          <w:ilvl w:val="0"/>
          <w:numId w:val="12"/>
        </w:numPr>
        <w:rPr>
          <w:highlight w:val="none"/>
          <w:shd w:fill="auto" w:val="clear"/>
        </w:rPr>
      </w:pPr>
      <w:r>
        <w:rPr>
          <w:rFonts w:eastAsia="Calibri"/>
          <w:shd w:fill="auto" w:val="clear"/>
        </w:rPr>
        <w:t>Обновление или техническая поддержка включает:</w:t>
      </w:r>
    </w:p>
    <w:p>
      <w:pPr>
        <w:pStyle w:val="Style94"/>
        <w:rPr>
          <w:highlight w:val="none"/>
          <w:shd w:fill="auto" w:val="clear"/>
        </w:rPr>
      </w:pPr>
      <w:r>
        <w:rPr>
          <w:shd w:fill="auto" w:val="clear"/>
        </w:rPr>
        <w:t>доступ к обновлениям безопасности Продукта, для актуального и предыдущего очередного обновления</w:t>
      </w:r>
    </w:p>
    <w:p>
      <w:pPr>
        <w:pStyle w:val="Style94"/>
        <w:rPr>
          <w:highlight w:val="none"/>
          <w:shd w:fill="auto" w:val="clear"/>
        </w:rPr>
      </w:pPr>
      <w:r>
        <w:rPr>
          <w:shd w:fill="auto" w:val="clear"/>
        </w:rPr>
        <w:t>информационно-справочная поддержка в миграции на очередное обновление Продукта</w:t>
      </w:r>
    </w:p>
    <w:p>
      <w:pPr>
        <w:pStyle w:val="Style94"/>
        <w:rPr>
          <w:highlight w:val="none"/>
          <w:shd w:fill="auto" w:val="clear"/>
        </w:rPr>
      </w:pPr>
      <w:r>
        <w:rPr>
          <w:shd w:fill="auto" w:val="clear"/>
        </w:rPr>
        <w:t>исправление ошибок, несоответствий, инцидентов, дефектов за счет выпуска новых обновлений Продукта</w:t>
      </w:r>
    </w:p>
    <w:p>
      <w:pPr>
        <w:pStyle w:val="Style94"/>
        <w:rPr>
          <w:highlight w:val="none"/>
          <w:shd w:fill="auto" w:val="clear"/>
        </w:rPr>
      </w:pPr>
      <w:r>
        <w:rPr>
          <w:shd w:fill="auto" w:val="clear"/>
        </w:rPr>
        <w:t>информационно-справочная поддержка по установке и обновлению Продукта</w:t>
      </w:r>
    </w:p>
    <w:p>
      <w:pPr>
        <w:pStyle w:val="Style94"/>
        <w:rPr>
          <w:highlight w:val="none"/>
          <w:shd w:fill="auto" w:val="clear"/>
        </w:rPr>
      </w:pPr>
      <w:r>
        <w:rPr>
          <w:shd w:fill="auto" w:val="clear"/>
        </w:rPr>
        <w:t>информационно-справочная поддержка по настройке Продукта после обновления</w:t>
      </w:r>
    </w:p>
    <w:p>
      <w:pPr>
        <w:pStyle w:val="Style94"/>
        <w:rPr>
          <w:highlight w:val="none"/>
          <w:shd w:fill="auto" w:val="clear"/>
        </w:rPr>
      </w:pPr>
      <w:r>
        <w:rPr>
          <w:shd w:fill="auto" w:val="clear"/>
        </w:rPr>
        <w:t xml:space="preserve">моделирование сценариев на тестовом стенде </w:t>
      </w:r>
      <w:r>
        <w:rPr>
          <w:rFonts w:eastAsia="Calibri"/>
          <w:shd w:fill="auto" w:val="clear"/>
        </w:rPr>
        <w:t xml:space="preserve">Производителя </w:t>
      </w:r>
      <w:r>
        <w:rPr>
          <w:shd w:fill="auto" w:val="clear"/>
        </w:rPr>
        <w:t>(при наличии технической возможности)</w:t>
      </w:r>
    </w:p>
    <w:p>
      <w:pPr>
        <w:pStyle w:val="Style94"/>
        <w:rPr>
          <w:highlight w:val="none"/>
          <w:shd w:fill="auto" w:val="clear"/>
        </w:rPr>
      </w:pPr>
      <w:r>
        <w:rPr>
          <w:shd w:fill="auto" w:val="clear"/>
        </w:rPr>
        <w:t>прогноз совместимости оборудования по спецификации с актуальным и будущим обновлением Продукта. Поддержка оборудования гарантируется, только если оно прошло программу поддержки производителей оборудования и программного обеспечения.</w:t>
      </w:r>
    </w:p>
    <w:p>
      <w:pPr>
        <w:pStyle w:val="Style94"/>
        <w:rPr>
          <w:highlight w:val="none"/>
          <w:shd w:fill="auto" w:val="clear"/>
        </w:rPr>
      </w:pPr>
      <w:r>
        <w:rPr>
          <w:shd w:fill="auto" w:val="clear"/>
        </w:rPr>
        <w:t>решение вопросов, связанных с совместимостью оборудования путем внесения улучшений в рамках обновления Продукта (при наличии технической возможности)</w:t>
      </w:r>
    </w:p>
    <w:p>
      <w:pPr>
        <w:pStyle w:val="Style94"/>
        <w:rPr>
          <w:highlight w:val="none"/>
          <w:shd w:fill="auto" w:val="clear"/>
        </w:rPr>
      </w:pPr>
      <w:r>
        <w:rPr>
          <w:shd w:fill="auto" w:val="clear"/>
        </w:rPr>
        <w:t xml:space="preserve">информация о выпуске очередных обновлений Продукта доступна на сайте </w:t>
      </w:r>
      <w:r>
        <w:rPr>
          <w:rFonts w:eastAsia="Calibri"/>
          <w:shd w:fill="auto" w:val="clear"/>
        </w:rPr>
        <w:t xml:space="preserve">Производителя </w:t>
      </w:r>
      <w:r>
        <w:rPr>
          <w:shd w:fill="auto" w:val="clear"/>
        </w:rPr>
        <w:t xml:space="preserve">или в Личном кабинете. </w:t>
      </w:r>
    </w:p>
    <w:p>
      <w:pPr>
        <w:pStyle w:val="Style94"/>
        <w:numPr>
          <w:ilvl w:val="0"/>
          <w:numId w:val="12"/>
        </w:numPr>
        <w:rPr>
          <w:highlight w:val="none"/>
          <w:shd w:fill="auto" w:val="clear"/>
        </w:rPr>
      </w:pPr>
      <w:r>
        <w:rPr>
          <w:rFonts w:eastAsia="Calibri"/>
          <w:shd w:fill="auto" w:val="clear"/>
        </w:rPr>
        <w:t>Подробный порядок обработки обращений, связанных с обновлениями или технической поддержки Продукта, размещается в Личном кабинете.</w:t>
      </w:r>
    </w:p>
    <w:p>
      <w:pPr>
        <w:pStyle w:val="Style94"/>
        <w:numPr>
          <w:ilvl w:val="0"/>
          <w:numId w:val="12"/>
        </w:numPr>
        <w:rPr>
          <w:highlight w:val="none"/>
          <w:shd w:fill="auto" w:val="clear"/>
        </w:rPr>
      </w:pPr>
      <w:r>
        <w:rPr>
          <w:rFonts w:eastAsia="Calibri"/>
          <w:shd w:fill="auto" w:val="clear"/>
        </w:rPr>
        <w:t>Срок предоставления обновлений – не менее 36 месяцев</w:t>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 xml:space="preserve">Требования к Криптошлюзу </w:t>
      </w:r>
    </w:p>
    <w:p>
      <w:pPr>
        <w:pStyle w:val="ListParagraph"/>
        <w:numPr>
          <w:ilvl w:val="1"/>
          <w:numId w:val="11"/>
        </w:numPr>
        <w:spacing w:before="280" w:after="0"/>
        <w:contextualSpacing/>
        <w:rPr>
          <w:highlight w:val="none"/>
          <w:shd w:fill="auto" w:val="clear"/>
        </w:rPr>
      </w:pPr>
      <w:r>
        <w:rPr>
          <w:rFonts w:eastAsia="Calibri"/>
          <w:b/>
          <w:shd w:fill="auto" w:val="clear"/>
          <w:lang w:eastAsia="ar-SA"/>
        </w:rPr>
        <w:t>Общие требования</w:t>
      </w:r>
    </w:p>
    <w:p>
      <w:pPr>
        <w:pStyle w:val="Style94"/>
        <w:numPr>
          <w:ilvl w:val="0"/>
          <w:numId w:val="12"/>
        </w:numPr>
        <w:rPr>
          <w:highlight w:val="none"/>
          <w:shd w:fill="auto" w:val="clear"/>
        </w:rPr>
      </w:pPr>
      <w:r>
        <w:rPr>
          <w:rFonts w:eastAsia="Calibri"/>
          <w:shd w:fill="auto" w:val="clear"/>
        </w:rPr>
        <w:t>Производитель обязан предоставлять Заказчику в рамках гарантийной поддержке:</w:t>
      </w:r>
    </w:p>
    <w:p>
      <w:pPr>
        <w:pStyle w:val="Style94"/>
        <w:rPr>
          <w:highlight w:val="none"/>
          <w:shd w:fill="auto" w:val="clear"/>
        </w:rPr>
      </w:pPr>
      <w:r>
        <w:rPr>
          <w:shd w:fill="auto" w:val="clear"/>
        </w:rPr>
        <w:t xml:space="preserve">Обновления (включая </w:t>
      </w:r>
      <w:r>
        <w:rPr>
          <w:shd w:fill="auto" w:val="clear"/>
          <w:lang w:val="en-US"/>
        </w:rPr>
        <w:t>hotfix</w:t>
      </w:r>
      <w:r>
        <w:rPr>
          <w:shd w:fill="auto" w:val="clear"/>
        </w:rPr>
        <w:t xml:space="preserve">, устраняющее дефекты, выявленные в продукте) без дополнительной оплаты в течении </w:t>
      </w:r>
      <w:r>
        <w:rPr>
          <w:b/>
          <w:bCs/>
          <w:shd w:fill="auto" w:val="clear"/>
        </w:rPr>
        <w:t>не менее 12 месяцев</w:t>
      </w:r>
      <w:r>
        <w:rPr>
          <w:shd w:fill="auto" w:val="clear"/>
        </w:rPr>
        <w:t xml:space="preserve"> с даты поставки;</w:t>
      </w:r>
    </w:p>
    <w:p>
      <w:pPr>
        <w:pStyle w:val="Style94"/>
        <w:rPr>
          <w:highlight w:val="none"/>
          <w:shd w:fill="auto" w:val="clear"/>
        </w:rPr>
      </w:pPr>
      <w:r>
        <w:rPr>
          <w:shd w:fill="auto" w:val="clear"/>
        </w:rPr>
        <w:t>Доступ к защищенному репозиторию обновлений;</w:t>
      </w:r>
    </w:p>
    <w:p>
      <w:pPr>
        <w:pStyle w:val="Style94"/>
        <w:rPr>
          <w:highlight w:val="none"/>
          <w:shd w:fill="auto" w:val="clear"/>
        </w:rPr>
      </w:pPr>
      <w:r>
        <w:rPr>
          <w:shd w:fill="auto" w:val="clear"/>
        </w:rPr>
        <w:t xml:space="preserve">Техническую поддержку по электронной почте или через </w:t>
      </w:r>
      <w:r>
        <w:rPr>
          <w:shd w:fill="auto" w:val="clear"/>
          <w:lang w:val="en-US"/>
        </w:rPr>
        <w:t>web</w:t>
      </w:r>
      <w:r>
        <w:rPr>
          <w:shd w:fill="auto" w:val="clear"/>
        </w:rPr>
        <w:t>-форму на сайте Производителя (Время реакции на обращение Заказчика /Головного Заказчика определяется уровнем критичности инцидента, присвоенным при регистрации обращения в службе технической поддержки Производителя, а также видом сертификата технической поддержки).</w:t>
      </w:r>
    </w:p>
    <w:p>
      <w:pPr>
        <w:pStyle w:val="Style94"/>
        <w:rPr>
          <w:highlight w:val="none"/>
          <w:shd w:fill="auto" w:val="clear"/>
        </w:rPr>
      </w:pPr>
      <w:r>
        <w:rPr>
          <w:shd w:fill="auto" w:val="clear"/>
        </w:rPr>
        <w:t>Восстановление работоспособности (ремонт) вышедшего из строя оборудования (аппаратной платформы ПАК) в соответствии с гарантийными обязательствами Производителя. Доставка не входит в стоимость.</w:t>
      </w:r>
    </w:p>
    <w:p>
      <w:pPr>
        <w:pStyle w:val="Style94"/>
        <w:numPr>
          <w:ilvl w:val="0"/>
          <w:numId w:val="12"/>
        </w:numPr>
        <w:rPr>
          <w:highlight w:val="none"/>
          <w:shd w:fill="auto" w:val="clear"/>
        </w:rPr>
      </w:pPr>
      <w:r>
        <w:rPr>
          <w:rFonts w:eastAsia="Calibri"/>
          <w:shd w:fill="auto" w:val="clear"/>
        </w:rPr>
        <w:t>Техническая поддержка предоставляется только по продуктам, используемым в строгом соответствии с требованиями эксплуатационной документации, в рекомендованных Производителем устройствах и программно-аппаратных комплексах.</w:t>
      </w:r>
    </w:p>
    <w:p>
      <w:pPr>
        <w:pStyle w:val="ListParagraph"/>
        <w:numPr>
          <w:ilvl w:val="1"/>
          <w:numId w:val="11"/>
        </w:numPr>
        <w:spacing w:before="280" w:after="0"/>
        <w:contextualSpacing/>
        <w:rPr>
          <w:highlight w:val="none"/>
          <w:shd w:fill="auto" w:val="clear"/>
        </w:rPr>
      </w:pPr>
      <w:r>
        <w:rPr>
          <w:rFonts w:eastAsia="Calibri"/>
          <w:b/>
          <w:shd w:fill="auto" w:val="clear"/>
          <w:lang w:eastAsia="ar-SA"/>
        </w:rPr>
        <w:t>Функциональные требования</w:t>
      </w:r>
    </w:p>
    <w:p>
      <w:pPr>
        <w:pStyle w:val="Normal"/>
        <w:ind w:firstLine="360"/>
        <w:jc w:val="both"/>
        <w:rPr>
          <w:highlight w:val="none"/>
          <w:shd w:fill="auto" w:val="clear"/>
        </w:rPr>
      </w:pPr>
      <w:r>
        <w:rPr>
          <w:rFonts w:eastAsia="Calibri"/>
          <w:shd w:fill="auto" w:val="clear"/>
        </w:rPr>
        <w:t>Криптошлюз должен обеспечивать:</w:t>
      </w:r>
    </w:p>
    <w:p>
      <w:pPr>
        <w:pStyle w:val="Style94"/>
        <w:numPr>
          <w:ilvl w:val="0"/>
          <w:numId w:val="12"/>
        </w:numPr>
        <w:rPr>
          <w:highlight w:val="none"/>
          <w:shd w:fill="auto" w:val="clear"/>
        </w:rPr>
      </w:pPr>
      <w:r>
        <w:rPr>
          <w:rFonts w:eastAsia="Calibri"/>
          <w:shd w:fill="auto" w:val="clear"/>
        </w:rPr>
        <w:t>возможность построения VPN-сети, позволяющей организовать одно или множество сетевых соединений (логическую сеть) поверх каналов связи сетей передачи данных, использующих протоколы семейства TCP/IP;</w:t>
      </w:r>
    </w:p>
    <w:p>
      <w:pPr>
        <w:pStyle w:val="Style94"/>
        <w:numPr>
          <w:ilvl w:val="0"/>
          <w:numId w:val="12"/>
        </w:numPr>
        <w:rPr>
          <w:highlight w:val="none"/>
          <w:shd w:fill="auto" w:val="clear"/>
        </w:rPr>
      </w:pPr>
      <w:r>
        <w:rPr>
          <w:rFonts w:eastAsia="Calibri"/>
          <w:shd w:fill="auto" w:val="clear"/>
        </w:rPr>
        <w:t xml:space="preserve">криптографическую защиту данных (шифрование, аутентификацию, защиту от повторов и изменений), передаваемых по каналам VPN; </w:t>
      </w:r>
    </w:p>
    <w:p>
      <w:pPr>
        <w:pStyle w:val="Style94"/>
        <w:numPr>
          <w:ilvl w:val="0"/>
          <w:numId w:val="12"/>
        </w:numPr>
        <w:rPr>
          <w:highlight w:val="none"/>
          <w:shd w:fill="auto" w:val="clear"/>
        </w:rPr>
      </w:pPr>
      <w:r>
        <w:rPr>
          <w:rFonts w:eastAsia="Calibri"/>
          <w:shd w:fill="auto" w:val="clear"/>
        </w:rPr>
        <w:t>регистрацию информации о текущих IP-адресах и способах подключения к каналам связи узлов VPN-сети и ее распространение;</w:t>
      </w:r>
    </w:p>
    <w:p>
      <w:pPr>
        <w:pStyle w:val="Style94"/>
        <w:numPr>
          <w:ilvl w:val="0"/>
          <w:numId w:val="12"/>
        </w:numPr>
        <w:rPr>
          <w:highlight w:val="none"/>
          <w:shd w:fill="auto" w:val="clear"/>
        </w:rPr>
      </w:pPr>
      <w:r>
        <w:rPr>
          <w:rFonts w:eastAsia="Calibri"/>
          <w:shd w:fill="auto" w:val="clear"/>
        </w:rPr>
        <w:t>установление каналов VPN между клиентами в защищенных сетях и удаленными клиентами VPN через межсетевые экраны и устройства с NAT;</w:t>
      </w:r>
    </w:p>
    <w:p>
      <w:pPr>
        <w:pStyle w:val="Style94"/>
        <w:numPr>
          <w:ilvl w:val="0"/>
          <w:numId w:val="12"/>
        </w:numPr>
        <w:rPr>
          <w:highlight w:val="none"/>
          <w:shd w:fill="auto" w:val="clear"/>
        </w:rPr>
      </w:pPr>
      <w:r>
        <w:rPr>
          <w:rFonts w:eastAsia="Calibri"/>
          <w:shd w:fill="auto" w:val="clear"/>
        </w:rPr>
        <w:t>возможность подключения клиентов VPN по протоколу TCP при недоступности UDP;</w:t>
      </w:r>
    </w:p>
    <w:p>
      <w:pPr>
        <w:pStyle w:val="Style94"/>
        <w:numPr>
          <w:ilvl w:val="0"/>
          <w:numId w:val="12"/>
        </w:numPr>
        <w:rPr>
          <w:highlight w:val="none"/>
          <w:shd w:fill="auto" w:val="clear"/>
        </w:rPr>
      </w:pPr>
      <w:r>
        <w:rPr>
          <w:rFonts w:eastAsia="Calibri"/>
          <w:shd w:fill="auto" w:val="clear"/>
        </w:rPr>
        <w:t>возможность организации в одном устройстве защищенного соединения как на сетевом, так и канальном уровне модели OSI;</w:t>
      </w:r>
    </w:p>
    <w:p>
      <w:pPr>
        <w:pStyle w:val="Style94"/>
        <w:numPr>
          <w:ilvl w:val="0"/>
          <w:numId w:val="12"/>
        </w:numPr>
        <w:rPr>
          <w:highlight w:val="none"/>
          <w:shd w:fill="auto" w:val="clear"/>
        </w:rPr>
      </w:pPr>
      <w:r>
        <w:rPr>
          <w:rFonts w:eastAsia="Calibri"/>
          <w:shd w:fill="auto" w:val="clear"/>
        </w:rPr>
        <w:t>статическую маршрутизацию;</w:t>
      </w:r>
    </w:p>
    <w:p>
      <w:pPr>
        <w:pStyle w:val="Style94"/>
        <w:numPr>
          <w:ilvl w:val="0"/>
          <w:numId w:val="12"/>
        </w:numPr>
        <w:rPr>
          <w:highlight w:val="none"/>
          <w:shd w:fill="auto" w:val="clear"/>
        </w:rPr>
      </w:pPr>
      <w:r>
        <w:rPr>
          <w:rFonts w:eastAsia="Calibri"/>
          <w:shd w:fill="auto" w:val="clear"/>
        </w:rPr>
        <w:t xml:space="preserve">динамическую маршрутизацию средствами протоколов OSPF и BGP; </w:t>
      </w:r>
    </w:p>
    <w:p>
      <w:pPr>
        <w:pStyle w:val="Style94"/>
        <w:numPr>
          <w:ilvl w:val="0"/>
          <w:numId w:val="12"/>
        </w:numPr>
        <w:rPr>
          <w:highlight w:val="none"/>
          <w:shd w:fill="auto" w:val="clear"/>
        </w:rPr>
      </w:pPr>
      <w:r>
        <w:rPr>
          <w:rFonts w:eastAsia="Calibri"/>
          <w:shd w:fill="auto" w:val="clear"/>
        </w:rPr>
        <w:t>контроль и фильтрацию информационных потоков данных в соответствии с заданными правилами;</w:t>
      </w:r>
    </w:p>
    <w:p>
      <w:pPr>
        <w:pStyle w:val="Style94"/>
        <w:numPr>
          <w:ilvl w:val="0"/>
          <w:numId w:val="12"/>
        </w:numPr>
        <w:rPr>
          <w:highlight w:val="none"/>
          <w:shd w:fill="auto" w:val="clear"/>
        </w:rPr>
      </w:pPr>
      <w:r>
        <w:rPr>
          <w:rFonts w:eastAsia="Calibri"/>
          <w:shd w:fill="auto" w:val="clear"/>
        </w:rPr>
        <w:t xml:space="preserve">возможность фильтрации, основанной на атрибутах: </w:t>
      </w:r>
    </w:p>
    <w:p>
      <w:pPr>
        <w:pStyle w:val="Style94"/>
        <w:rPr>
          <w:highlight w:val="none"/>
          <w:shd w:fill="auto" w:val="clear"/>
        </w:rPr>
      </w:pPr>
      <w:r>
        <w:rPr>
          <w:shd w:fill="auto" w:val="clear"/>
        </w:rPr>
        <w:t xml:space="preserve">разрешенные (запрещенные) протоколы прикладного уровня; </w:t>
      </w:r>
    </w:p>
    <w:p>
      <w:pPr>
        <w:pStyle w:val="Style94"/>
        <w:rPr>
          <w:highlight w:val="none"/>
          <w:shd w:fill="auto" w:val="clear"/>
        </w:rPr>
      </w:pPr>
      <w:r>
        <w:rPr>
          <w:shd w:fill="auto" w:val="clear"/>
        </w:rPr>
        <w:t>разрешенные (запрещенные) приложения и группы приложений;</w:t>
      </w:r>
    </w:p>
    <w:p>
      <w:pPr>
        <w:pStyle w:val="Style94"/>
        <w:rPr>
          <w:highlight w:val="none"/>
          <w:shd w:fill="auto" w:val="clear"/>
        </w:rPr>
      </w:pPr>
      <w:r>
        <w:rPr>
          <w:shd w:fill="auto" w:val="clear"/>
        </w:rPr>
        <w:t xml:space="preserve">атрибуты, указывающие на фрагментацию пакетов; </w:t>
      </w:r>
    </w:p>
    <w:p>
      <w:pPr>
        <w:pStyle w:val="Style94"/>
        <w:rPr>
          <w:highlight w:val="none"/>
          <w:shd w:fill="auto" w:val="clear"/>
        </w:rPr>
      </w:pPr>
      <w:r>
        <w:rPr>
          <w:shd w:fill="auto" w:val="clear"/>
        </w:rPr>
        <w:t xml:space="preserve">транспортный протокол, который используется для взаимодействия; </w:t>
      </w:r>
    </w:p>
    <w:p>
      <w:pPr>
        <w:pStyle w:val="Style94"/>
        <w:rPr>
          <w:highlight w:val="none"/>
          <w:shd w:fill="auto" w:val="clear"/>
        </w:rPr>
      </w:pPr>
      <w:r>
        <w:rPr>
          <w:shd w:fill="auto" w:val="clear"/>
        </w:rPr>
        <w:t>порты источника и получателя в рамках сеанса (сессии);</w:t>
      </w:r>
    </w:p>
    <w:p>
      <w:pPr>
        <w:pStyle w:val="Style94"/>
        <w:rPr>
          <w:highlight w:val="none"/>
          <w:shd w:fill="auto" w:val="clear"/>
        </w:rPr>
      </w:pPr>
      <w:r>
        <w:rPr>
          <w:shd w:fill="auto" w:val="clear"/>
        </w:rPr>
        <w:t>разрешенные (запрещенные) команды;</w:t>
      </w:r>
    </w:p>
    <w:p>
      <w:pPr>
        <w:pStyle w:val="Style94"/>
        <w:rPr>
          <w:highlight w:val="none"/>
          <w:shd w:fill="auto" w:val="clear"/>
        </w:rPr>
      </w:pPr>
      <w:r>
        <w:rPr>
          <w:shd w:fill="auto" w:val="clear"/>
        </w:rPr>
        <w:t>разрешенный (запрещенный) мобильный код;</w:t>
      </w:r>
    </w:p>
    <w:p>
      <w:pPr>
        <w:pStyle w:val="Style94"/>
        <w:numPr>
          <w:ilvl w:val="0"/>
          <w:numId w:val="12"/>
        </w:numPr>
        <w:rPr>
          <w:highlight w:val="none"/>
          <w:shd w:fill="auto" w:val="clear"/>
        </w:rPr>
      </w:pPr>
      <w:r>
        <w:rPr>
          <w:rFonts w:eastAsia="Calibri"/>
          <w:shd w:fill="auto" w:val="clear"/>
        </w:rPr>
        <w:t xml:space="preserve">возможность идентификации пользователей сети по их именам для сопоставления с атрибутами: </w:t>
      </w:r>
    </w:p>
    <w:p>
      <w:pPr>
        <w:pStyle w:val="Style94"/>
        <w:rPr>
          <w:highlight w:val="none"/>
          <w:shd w:fill="auto" w:val="clear"/>
        </w:rPr>
      </w:pPr>
      <w:r>
        <w:rPr>
          <w:shd w:fill="auto" w:val="clear"/>
        </w:rPr>
        <w:t>сетевой адрес узла отправителя;</w:t>
      </w:r>
    </w:p>
    <w:p>
      <w:pPr>
        <w:pStyle w:val="Style94"/>
        <w:rPr>
          <w:highlight w:val="none"/>
          <w:shd w:fill="auto" w:val="clear"/>
        </w:rPr>
      </w:pPr>
      <w:r>
        <w:rPr>
          <w:shd w:fill="auto" w:val="clear"/>
        </w:rPr>
        <w:t>сетевой адрес узла получателя;</w:t>
      </w:r>
    </w:p>
    <w:p>
      <w:pPr>
        <w:pStyle w:val="Style94"/>
        <w:numPr>
          <w:ilvl w:val="0"/>
          <w:numId w:val="12"/>
        </w:numPr>
        <w:rPr>
          <w:highlight w:val="none"/>
          <w:shd w:fill="auto" w:val="clear"/>
        </w:rPr>
      </w:pPr>
      <w:r>
        <w:rPr>
          <w:rFonts w:eastAsia="Calibri"/>
          <w:shd w:fill="auto" w:val="clear"/>
        </w:rPr>
        <w:t>возможность выборочной регистрации IP-пакетов, на которые сработали фильтры;</w:t>
      </w:r>
    </w:p>
    <w:p>
      <w:pPr>
        <w:pStyle w:val="Style94"/>
        <w:numPr>
          <w:ilvl w:val="0"/>
          <w:numId w:val="12"/>
        </w:numPr>
        <w:rPr>
          <w:highlight w:val="none"/>
          <w:shd w:fill="auto" w:val="clear"/>
        </w:rPr>
      </w:pPr>
      <w:r>
        <w:rPr>
          <w:rFonts w:eastAsia="Calibri"/>
          <w:shd w:fill="auto" w:val="clear"/>
        </w:rPr>
        <w:t>подсчет количества сработавших сетевых фильтров;</w:t>
      </w:r>
    </w:p>
    <w:p>
      <w:pPr>
        <w:pStyle w:val="Style94"/>
        <w:numPr>
          <w:ilvl w:val="0"/>
          <w:numId w:val="12"/>
        </w:numPr>
        <w:rPr>
          <w:highlight w:val="none"/>
          <w:shd w:fill="auto" w:val="clear"/>
        </w:rPr>
      </w:pPr>
      <w:r>
        <w:rPr>
          <w:rFonts w:eastAsia="Calibri"/>
          <w:shd w:fill="auto" w:val="clear"/>
        </w:rPr>
        <w:t>трансляцию сетевых адресов (SNAT/DNAT);</w:t>
      </w:r>
    </w:p>
    <w:p>
      <w:pPr>
        <w:pStyle w:val="Style94"/>
        <w:numPr>
          <w:ilvl w:val="0"/>
          <w:numId w:val="12"/>
        </w:numPr>
        <w:rPr>
          <w:highlight w:val="none"/>
          <w:shd w:fill="auto" w:val="clear"/>
        </w:rPr>
      </w:pPr>
      <w:r>
        <w:rPr>
          <w:rFonts w:eastAsia="Calibri"/>
          <w:shd w:fill="auto" w:val="clear"/>
        </w:rPr>
        <w:t xml:space="preserve">обработку прикладных протоколов FTP, DNS, H.323, SCCP, SIP для всех видов трафика (защищенного, открытого и туннелируемого); </w:t>
      </w:r>
    </w:p>
    <w:p>
      <w:pPr>
        <w:pStyle w:val="Style94"/>
        <w:numPr>
          <w:ilvl w:val="0"/>
          <w:numId w:val="12"/>
        </w:numPr>
        <w:rPr>
          <w:highlight w:val="none"/>
          <w:shd w:fill="auto" w:val="clear"/>
        </w:rPr>
      </w:pPr>
      <w:r>
        <w:rPr>
          <w:rFonts w:eastAsia="Calibri"/>
          <w:shd w:fill="auto" w:val="clear"/>
        </w:rPr>
        <w:t xml:space="preserve">проксирование и фильтрацию HTTP-трафика по командам и мобильному коду; </w:t>
      </w:r>
    </w:p>
    <w:p>
      <w:pPr>
        <w:pStyle w:val="Style94"/>
        <w:numPr>
          <w:ilvl w:val="0"/>
          <w:numId w:val="12"/>
        </w:numPr>
        <w:rPr>
          <w:highlight w:val="none"/>
          <w:shd w:fill="auto" w:val="clear"/>
        </w:rPr>
      </w:pPr>
      <w:r>
        <w:rPr>
          <w:rFonts w:eastAsia="Calibri"/>
          <w:shd w:fill="auto" w:val="clear"/>
        </w:rPr>
        <w:t>предоставление DHCP-, DNS-, NTP-сервисов защищаемым сетевым объектам;</w:t>
      </w:r>
    </w:p>
    <w:p>
      <w:pPr>
        <w:pStyle w:val="Style94"/>
        <w:numPr>
          <w:ilvl w:val="0"/>
          <w:numId w:val="12"/>
        </w:numPr>
        <w:rPr>
          <w:highlight w:val="none"/>
          <w:shd w:fill="auto" w:val="clear"/>
        </w:rPr>
      </w:pPr>
      <w:r>
        <w:rPr>
          <w:rFonts w:eastAsia="Calibri"/>
          <w:shd w:fill="auto" w:val="clear"/>
        </w:rPr>
        <w:t>возможность построения виртуальных локальных сетей (поддержка стандарта VLAN IEEE 802.1Q);</w:t>
      </w:r>
    </w:p>
    <w:p>
      <w:pPr>
        <w:pStyle w:val="Style94"/>
        <w:numPr>
          <w:ilvl w:val="0"/>
          <w:numId w:val="12"/>
        </w:numPr>
        <w:rPr>
          <w:highlight w:val="none"/>
          <w:shd w:fill="auto" w:val="clear"/>
        </w:rPr>
      </w:pPr>
      <w:r>
        <w:rPr>
          <w:rFonts w:eastAsia="Calibri"/>
          <w:shd w:fill="auto" w:val="clear"/>
        </w:rPr>
        <w:t>возможность использования технологии агрегирования – объединения нескольких физических каналов передачи данных в сетях Ethernet в один логический;</w:t>
      </w:r>
    </w:p>
    <w:p>
      <w:pPr>
        <w:pStyle w:val="Style94"/>
        <w:numPr>
          <w:ilvl w:val="0"/>
          <w:numId w:val="12"/>
        </w:numPr>
        <w:rPr>
          <w:highlight w:val="none"/>
          <w:shd w:fill="auto" w:val="clear"/>
        </w:rPr>
      </w:pPr>
      <w:r>
        <w:rPr>
          <w:rFonts w:eastAsia="Calibri"/>
          <w:shd w:fill="auto" w:val="clear"/>
        </w:rPr>
        <w:t>реализацию политики качества обслуживания (QoS) приоритетной обработки средствами сервиса дифференцированного обслуживания (DiffServ);</w:t>
      </w:r>
    </w:p>
    <w:p>
      <w:pPr>
        <w:pStyle w:val="Style94"/>
        <w:numPr>
          <w:ilvl w:val="0"/>
          <w:numId w:val="12"/>
        </w:numPr>
        <w:rPr>
          <w:highlight w:val="none"/>
          <w:shd w:fill="auto" w:val="clear"/>
        </w:rPr>
      </w:pPr>
      <w:r>
        <w:rPr>
          <w:rFonts w:eastAsia="Calibri"/>
          <w:shd w:fill="auto" w:val="clear"/>
        </w:rPr>
        <w:t>экспорт журнала регистрации IP-пакетов по сети в формате CEF;</w:t>
      </w:r>
    </w:p>
    <w:p>
      <w:pPr>
        <w:pStyle w:val="Style94"/>
        <w:numPr>
          <w:ilvl w:val="0"/>
          <w:numId w:val="12"/>
        </w:numPr>
        <w:rPr>
          <w:highlight w:val="none"/>
          <w:shd w:fill="auto" w:val="clear"/>
        </w:rPr>
      </w:pPr>
      <w:r>
        <w:rPr>
          <w:rFonts w:eastAsia="Calibri"/>
          <w:shd w:fill="auto" w:val="clear"/>
        </w:rPr>
        <w:t>балансировку нагрузки на вычислительную сеть и резервирование каналов доступа во внешнюю сеть средствами функции MultiWAN, включающую в себя проверку состояния шлюзов и политики маршрутизации;</w:t>
      </w:r>
    </w:p>
    <w:p>
      <w:pPr>
        <w:pStyle w:val="Style94"/>
        <w:numPr>
          <w:ilvl w:val="0"/>
          <w:numId w:val="12"/>
        </w:numPr>
        <w:rPr>
          <w:highlight w:val="none"/>
          <w:shd w:fill="auto" w:val="clear"/>
        </w:rPr>
      </w:pPr>
      <w:r>
        <w:rPr>
          <w:rFonts w:eastAsia="Calibri"/>
          <w:shd w:fill="auto" w:val="clear"/>
        </w:rPr>
        <w:t>возможность антивирусной защиты HTTP-трафика при взаимодействии по протоколу ICAP с внешним средством антивирусной защиты;</w:t>
      </w:r>
    </w:p>
    <w:p>
      <w:pPr>
        <w:pStyle w:val="Style94"/>
        <w:numPr>
          <w:ilvl w:val="0"/>
          <w:numId w:val="12"/>
        </w:numPr>
        <w:rPr>
          <w:highlight w:val="none"/>
          <w:shd w:fill="auto" w:val="clear"/>
        </w:rPr>
      </w:pPr>
      <w:r>
        <w:rPr>
          <w:rFonts w:eastAsia="Calibri"/>
          <w:shd w:fill="auto" w:val="clear"/>
        </w:rPr>
        <w:t>возможность изменения значения MTU для сетевых интерфейсов;</w:t>
      </w:r>
    </w:p>
    <w:p>
      <w:pPr>
        <w:pStyle w:val="Style94"/>
        <w:numPr>
          <w:ilvl w:val="0"/>
          <w:numId w:val="12"/>
        </w:numPr>
        <w:rPr>
          <w:highlight w:val="none"/>
          <w:shd w:fill="auto" w:val="clear"/>
        </w:rPr>
      </w:pPr>
      <w:r>
        <w:rPr>
          <w:rFonts w:eastAsia="Calibri"/>
          <w:shd w:fill="auto" w:val="clear"/>
        </w:rPr>
        <w:t>взаимодействие с источником бесперебойного питания (UPS) для корректного завершения своей работы в случае получения сигнала об истощении батареи;</w:t>
      </w:r>
    </w:p>
    <w:p>
      <w:pPr>
        <w:pStyle w:val="Style94"/>
        <w:numPr>
          <w:ilvl w:val="0"/>
          <w:numId w:val="12"/>
        </w:numPr>
        <w:rPr>
          <w:highlight w:val="none"/>
          <w:shd w:fill="auto" w:val="clear"/>
        </w:rPr>
      </w:pPr>
      <w:r>
        <w:rPr>
          <w:rFonts w:eastAsia="Calibri"/>
          <w:shd w:fill="auto" w:val="clear"/>
        </w:rPr>
        <w:t>удаленное (защищенное) управление и мониторинг с помощью веб-интерфейса и SSH;</w:t>
      </w:r>
    </w:p>
    <w:p>
      <w:pPr>
        <w:pStyle w:val="Style94"/>
        <w:numPr>
          <w:ilvl w:val="0"/>
          <w:numId w:val="12"/>
        </w:numPr>
        <w:rPr>
          <w:highlight w:val="none"/>
          <w:shd w:fill="auto" w:val="clear"/>
        </w:rPr>
      </w:pPr>
      <w:r>
        <w:rPr>
          <w:rFonts w:eastAsia="Calibri"/>
          <w:shd w:fill="auto" w:val="clear"/>
        </w:rPr>
        <w:t>сигнализацию о событиях по протоколам SNMPv1, SNMPv2, SNMPv3, syslog;</w:t>
      </w:r>
    </w:p>
    <w:p>
      <w:pPr>
        <w:pStyle w:val="Style94"/>
        <w:numPr>
          <w:ilvl w:val="0"/>
          <w:numId w:val="12"/>
        </w:numPr>
        <w:rPr>
          <w:highlight w:val="none"/>
          <w:shd w:fill="auto" w:val="clear"/>
        </w:rPr>
      </w:pPr>
      <w:r>
        <w:rPr>
          <w:rFonts w:eastAsia="Calibri"/>
          <w:shd w:fill="auto" w:val="clear"/>
        </w:rPr>
        <w:t>возможность сбора информации о сетевом трафике;</w:t>
      </w:r>
    </w:p>
    <w:p>
      <w:pPr>
        <w:pStyle w:val="Style94"/>
        <w:numPr>
          <w:ilvl w:val="0"/>
          <w:numId w:val="12"/>
        </w:numPr>
        <w:rPr>
          <w:highlight w:val="none"/>
          <w:shd w:fill="auto" w:val="clear"/>
        </w:rPr>
      </w:pPr>
      <w:r>
        <w:rPr>
          <w:rFonts w:eastAsia="Calibri"/>
          <w:shd w:fill="auto" w:val="clear"/>
        </w:rPr>
        <w:t>возможность анализа собранных данных с целью обнаружения вторжений с использованием сигнатурного и эвристических методов;</w:t>
      </w:r>
    </w:p>
    <w:p>
      <w:pPr>
        <w:pStyle w:val="Style94"/>
        <w:numPr>
          <w:ilvl w:val="0"/>
          <w:numId w:val="12"/>
        </w:numPr>
        <w:rPr>
          <w:highlight w:val="none"/>
          <w:shd w:fill="auto" w:val="clear"/>
        </w:rPr>
      </w:pPr>
      <w:r>
        <w:rPr>
          <w:rFonts w:eastAsia="Calibri"/>
          <w:shd w:fill="auto" w:val="clear"/>
        </w:rPr>
        <w:t>визуализацию состояния физических сетевых интерфейсов в веб-интерфейсе;</w:t>
      </w:r>
    </w:p>
    <w:p>
      <w:pPr>
        <w:pStyle w:val="Style94"/>
        <w:numPr>
          <w:ilvl w:val="0"/>
          <w:numId w:val="12"/>
        </w:numPr>
        <w:rPr>
          <w:highlight w:val="none"/>
          <w:shd w:fill="auto" w:val="clear"/>
        </w:rPr>
      </w:pPr>
      <w:r>
        <w:rPr>
          <w:rFonts w:eastAsia="Calibri"/>
          <w:shd w:fill="auto" w:val="clear"/>
        </w:rPr>
        <w:t>возможность автоматизированного обновления баз решающих правил;</w:t>
      </w:r>
    </w:p>
    <w:p>
      <w:pPr>
        <w:pStyle w:val="Style94"/>
        <w:numPr>
          <w:ilvl w:val="0"/>
          <w:numId w:val="12"/>
        </w:numPr>
        <w:rPr>
          <w:highlight w:val="none"/>
          <w:shd w:fill="auto" w:val="clear"/>
        </w:rPr>
      </w:pPr>
      <w:r>
        <w:rPr>
          <w:rFonts w:eastAsia="Calibri"/>
          <w:shd w:fill="auto" w:val="clear"/>
        </w:rPr>
        <w:t>интеграция со службой каталогов Active Directory и LDAP;</w:t>
      </w:r>
    </w:p>
    <w:p>
      <w:pPr>
        <w:pStyle w:val="Style94"/>
        <w:numPr>
          <w:ilvl w:val="0"/>
          <w:numId w:val="12"/>
        </w:numPr>
        <w:rPr>
          <w:highlight w:val="none"/>
          <w:shd w:fill="auto" w:val="clear"/>
        </w:rPr>
      </w:pPr>
      <w:r>
        <w:rPr>
          <w:rFonts w:eastAsia="Calibri"/>
          <w:shd w:fill="auto" w:val="clear"/>
        </w:rPr>
        <w:t xml:space="preserve">обнаружение и предотвращение компьютерных атак (вторжений); </w:t>
      </w:r>
    </w:p>
    <w:p>
      <w:pPr>
        <w:pStyle w:val="Style94"/>
        <w:numPr>
          <w:ilvl w:val="0"/>
          <w:numId w:val="12"/>
        </w:numPr>
        <w:rPr>
          <w:highlight w:val="none"/>
          <w:shd w:fill="auto" w:val="clear"/>
        </w:rPr>
      </w:pPr>
      <w:r>
        <w:rPr>
          <w:rFonts w:eastAsia="Calibri"/>
          <w:shd w:fill="auto" w:val="clear"/>
        </w:rPr>
        <w:t>возможность кластеризации с целью обеспечения горячего резервирования с реализацией кластера высокой доступности (HA-Cluster);</w:t>
      </w:r>
    </w:p>
    <w:p>
      <w:pPr>
        <w:pStyle w:val="Style94"/>
        <w:numPr>
          <w:ilvl w:val="0"/>
          <w:numId w:val="12"/>
        </w:numPr>
        <w:rPr>
          <w:highlight w:val="none"/>
          <w:shd w:fill="auto" w:val="clear"/>
        </w:rPr>
      </w:pPr>
      <w:r>
        <w:rPr>
          <w:rFonts w:eastAsia="Calibri"/>
          <w:shd w:fill="auto" w:val="clear"/>
        </w:rPr>
        <w:t>управление и мониторинг с помощью веб-интерфейса, консоли командного интерпретатора, по протоколу SSH;</w:t>
      </w:r>
    </w:p>
    <w:p>
      <w:pPr>
        <w:pStyle w:val="Style94"/>
        <w:numPr>
          <w:ilvl w:val="0"/>
          <w:numId w:val="12"/>
        </w:numPr>
        <w:rPr>
          <w:highlight w:val="none"/>
          <w:shd w:fill="auto" w:val="clear"/>
        </w:rPr>
      </w:pPr>
      <w:r>
        <w:rPr>
          <w:rFonts w:eastAsia="Calibri"/>
          <w:shd w:fill="auto" w:val="clear"/>
        </w:rPr>
        <w:t>централизованное резервное копирование конфигурации.</w:t>
      </w:r>
    </w:p>
    <w:p>
      <w:pPr>
        <w:pStyle w:val="ListParagraph"/>
        <w:numPr>
          <w:ilvl w:val="1"/>
          <w:numId w:val="11"/>
        </w:numPr>
        <w:spacing w:before="280" w:after="0"/>
        <w:contextualSpacing/>
        <w:jc w:val="both"/>
        <w:rPr>
          <w:highlight w:val="none"/>
          <w:shd w:fill="auto" w:val="clear"/>
        </w:rPr>
      </w:pPr>
      <w:bookmarkStart w:id="30" w:name="_Toc181879734"/>
      <w:r>
        <w:rPr>
          <w:rFonts w:eastAsia="Calibri"/>
          <w:b/>
          <w:shd w:fill="auto" w:val="clear"/>
          <w:lang w:eastAsia="ar-SA"/>
        </w:rPr>
        <w:t>Требования к аппаратной части</w:t>
      </w:r>
      <w:bookmarkEnd w:id="30"/>
    </w:p>
    <w:p>
      <w:pPr>
        <w:pStyle w:val="Normal"/>
        <w:ind w:firstLine="360"/>
        <w:jc w:val="both"/>
        <w:rPr>
          <w:highlight w:val="none"/>
          <w:shd w:fill="auto" w:val="clear"/>
        </w:rPr>
      </w:pPr>
      <w:r>
        <w:rPr>
          <w:rFonts w:eastAsia="Calibri"/>
          <w:shd w:fill="auto" w:val="clear"/>
        </w:rPr>
        <w:t>Криптошлюз должен удовлетворять следующим требованиям:</w:t>
      </w:r>
    </w:p>
    <w:p>
      <w:pPr>
        <w:pStyle w:val="Style94"/>
        <w:numPr>
          <w:ilvl w:val="0"/>
          <w:numId w:val="12"/>
        </w:numPr>
        <w:rPr>
          <w:highlight w:val="none"/>
          <w:shd w:fill="auto" w:val="clear"/>
        </w:rPr>
      </w:pPr>
      <w:r>
        <w:rPr>
          <w:rFonts w:eastAsia="Calibri"/>
          <w:shd w:fill="auto" w:val="clear"/>
        </w:rPr>
        <w:t>форм-фактор: 19” Rack 1U;</w:t>
      </w:r>
    </w:p>
    <w:p>
      <w:pPr>
        <w:pStyle w:val="Style94"/>
        <w:numPr>
          <w:ilvl w:val="0"/>
          <w:numId w:val="12"/>
        </w:numPr>
        <w:rPr>
          <w:highlight w:val="none"/>
          <w:shd w:fill="auto" w:val="clear"/>
        </w:rPr>
      </w:pPr>
      <w:r>
        <w:rPr>
          <w:rFonts w:eastAsia="Calibri"/>
          <w:shd w:fill="auto" w:val="clear"/>
        </w:rPr>
        <w:t>наличие не менее 6 (шести) сетевых интерфейсов Ethernet RJ45 1 Гбит/с;</w:t>
      </w:r>
    </w:p>
    <w:p>
      <w:pPr>
        <w:pStyle w:val="ListParagraph"/>
        <w:numPr>
          <w:ilvl w:val="1"/>
          <w:numId w:val="11"/>
        </w:numPr>
        <w:spacing w:before="280" w:after="0"/>
        <w:contextualSpacing/>
        <w:jc w:val="both"/>
        <w:rPr>
          <w:highlight w:val="none"/>
          <w:shd w:fill="auto" w:val="clear"/>
        </w:rPr>
      </w:pPr>
      <w:bookmarkStart w:id="31" w:name="_Toc181879735"/>
      <w:r>
        <w:rPr>
          <w:rFonts w:eastAsia="Calibri"/>
          <w:b/>
          <w:shd w:fill="auto" w:val="clear"/>
          <w:lang w:eastAsia="ar-SA"/>
        </w:rPr>
        <w:t>Требования к производительности</w:t>
      </w:r>
      <w:bookmarkEnd w:id="31"/>
    </w:p>
    <w:p>
      <w:pPr>
        <w:pStyle w:val="Normal"/>
        <w:ind w:firstLine="360"/>
        <w:jc w:val="both"/>
        <w:rPr>
          <w:highlight w:val="none"/>
          <w:shd w:fill="auto" w:val="clear"/>
        </w:rPr>
      </w:pPr>
      <w:r>
        <w:rPr>
          <w:rFonts w:eastAsia="Calibri"/>
          <w:shd w:fill="auto" w:val="clear"/>
        </w:rPr>
        <w:t>Криптошлюз должен обеспечивать следующие показатели производительности:</w:t>
      </w:r>
    </w:p>
    <w:p>
      <w:pPr>
        <w:pStyle w:val="Style94"/>
        <w:numPr>
          <w:ilvl w:val="0"/>
          <w:numId w:val="12"/>
        </w:numPr>
        <w:rPr>
          <w:highlight w:val="none"/>
          <w:shd w:fill="auto" w:val="clear"/>
        </w:rPr>
      </w:pPr>
      <w:r>
        <w:rPr>
          <w:rFonts w:eastAsia="Calibri"/>
          <w:shd w:fill="auto" w:val="clear"/>
        </w:rPr>
        <w:t>пропускная способность L3 VPN – не менее 915 Мбит/с;</w:t>
      </w:r>
    </w:p>
    <w:p>
      <w:pPr>
        <w:pStyle w:val="Style94"/>
        <w:numPr>
          <w:ilvl w:val="0"/>
          <w:numId w:val="12"/>
        </w:numPr>
        <w:rPr>
          <w:highlight w:val="none"/>
          <w:shd w:fill="auto" w:val="clear"/>
        </w:rPr>
      </w:pPr>
      <w:r>
        <w:rPr>
          <w:rFonts w:eastAsia="Calibri"/>
          <w:shd w:fill="auto" w:val="clear"/>
        </w:rPr>
        <w:t>пропускная способность L2 VPN – не менее 850 Мбит/с;</w:t>
      </w:r>
    </w:p>
    <w:p>
      <w:pPr>
        <w:pStyle w:val="Style94"/>
        <w:numPr>
          <w:ilvl w:val="0"/>
          <w:numId w:val="12"/>
        </w:numPr>
        <w:rPr>
          <w:highlight w:val="none"/>
          <w:shd w:fill="auto" w:val="clear"/>
        </w:rPr>
      </w:pPr>
      <w:r>
        <w:rPr>
          <w:rFonts w:eastAsia="Calibri"/>
          <w:shd w:fill="auto" w:val="clear"/>
        </w:rPr>
        <w:t>пропускная способность межсетевого экранирования (1518 байт UDP) – не менее 1900 Мбит/с.</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Требования к сертификации</w:t>
      </w:r>
    </w:p>
    <w:p>
      <w:pPr>
        <w:pStyle w:val="Normal"/>
        <w:ind w:firstLine="360"/>
        <w:jc w:val="both"/>
        <w:rPr>
          <w:highlight w:val="none"/>
          <w:shd w:fill="auto" w:val="clear"/>
        </w:rPr>
      </w:pPr>
      <w:r>
        <w:rPr>
          <w:rFonts w:eastAsia="Calibri"/>
          <w:shd w:fill="auto" w:val="clear"/>
        </w:rPr>
        <w:t>Криптошлюз должен соответствовать:</w:t>
      </w:r>
    </w:p>
    <w:p>
      <w:pPr>
        <w:pStyle w:val="Style94"/>
        <w:numPr>
          <w:ilvl w:val="0"/>
          <w:numId w:val="12"/>
        </w:numPr>
        <w:rPr>
          <w:highlight w:val="none"/>
          <w:shd w:fill="auto" w:val="clear"/>
        </w:rPr>
      </w:pPr>
      <w:r>
        <w:rPr>
          <w:rFonts w:eastAsia="Calibri"/>
          <w:shd w:fill="auto" w:val="clear"/>
        </w:rPr>
        <w:t>требованиям ФСБ России к средствам криптографической защиты информации, предназначенным для защиты информации, не содержащей сведений, составляющих государственную тайну, класса КС3;</w:t>
      </w:r>
    </w:p>
    <w:p>
      <w:pPr>
        <w:pStyle w:val="Style94"/>
        <w:numPr>
          <w:ilvl w:val="0"/>
          <w:numId w:val="12"/>
        </w:numPr>
        <w:rPr>
          <w:highlight w:val="none"/>
          <w:shd w:fill="auto" w:val="clear"/>
        </w:rPr>
      </w:pPr>
      <w:r>
        <w:rPr>
          <w:rFonts w:eastAsia="Calibri"/>
          <w:shd w:fill="auto" w:val="clear"/>
        </w:rPr>
        <w:t>требованиям, установленных в документах ФСТЭК России:</w:t>
      </w:r>
    </w:p>
    <w:p>
      <w:pPr>
        <w:pStyle w:val="Style94"/>
        <w:rPr>
          <w:highlight w:val="none"/>
          <w:shd w:fill="auto" w:val="clear"/>
        </w:rPr>
      </w:pPr>
      <w:r>
        <w:rPr>
          <w:shd w:fill="auto" w:val="clear"/>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 не ниже 5 уровня доверия;</w:t>
      </w:r>
    </w:p>
    <w:p>
      <w:pPr>
        <w:pStyle w:val="Style94"/>
        <w:rPr>
          <w:highlight w:val="none"/>
          <w:shd w:fill="auto" w:val="clear"/>
        </w:rPr>
      </w:pPr>
      <w:r>
        <w:rPr>
          <w:shd w:fill="auto" w:val="clear"/>
        </w:rPr>
        <w:t>«Требования к межсетевым экранам» (ФСТЭК России, 2016);</w:t>
      </w:r>
    </w:p>
    <w:p>
      <w:pPr>
        <w:pStyle w:val="Style94"/>
        <w:rPr>
          <w:highlight w:val="none"/>
          <w:shd w:fill="auto" w:val="clear"/>
        </w:rPr>
      </w:pPr>
      <w:r>
        <w:rPr>
          <w:shd w:fill="auto" w:val="clear"/>
        </w:rPr>
        <w:t>«Профиль защиты межсетевых экранов типа «А» не ниже 5 класса класса защиты. ИТ.МЭ.А5.ПЗ» (ФСТЭК России, 2016);</w:t>
      </w:r>
    </w:p>
    <w:p>
      <w:pPr>
        <w:pStyle w:val="Style94"/>
        <w:rPr>
          <w:highlight w:val="none"/>
          <w:shd w:fill="auto" w:val="clear"/>
        </w:rPr>
      </w:pPr>
      <w:r>
        <w:rPr>
          <w:shd w:fill="auto" w:val="clear"/>
        </w:rPr>
        <w:t>«Профиль защиты межсетевых экранов типа «Б» не ниже 5 класса класса защиты. ИТ.МЭ.Б5.ПЗ» (ФСТЭК России, 2016);</w:t>
      </w:r>
    </w:p>
    <w:p>
      <w:pPr>
        <w:pStyle w:val="Style94"/>
        <w:rPr>
          <w:highlight w:val="none"/>
          <w:shd w:fill="auto" w:val="clear"/>
        </w:rPr>
      </w:pPr>
      <w:r>
        <w:rPr>
          <w:shd w:fill="auto" w:val="clear"/>
        </w:rPr>
        <w:t>«Требования к системам обнаружения вторжений» (ФСТЭК России, 2011);</w:t>
      </w:r>
    </w:p>
    <w:p>
      <w:pPr>
        <w:pStyle w:val="Style94"/>
        <w:rPr>
          <w:highlight w:val="none"/>
          <w:shd w:fill="auto" w:val="clear"/>
        </w:rPr>
      </w:pPr>
      <w:r>
        <w:rPr>
          <w:shd w:fill="auto" w:val="clear"/>
        </w:rPr>
        <w:t>«Профиль защиты систем обнаружения вторжений уровня сети» не ниже пятого класса защиты. ИТ.СОВ.С5.ПЗ» (ФСТЭК России, 2012).</w:t>
      </w:r>
    </w:p>
    <w:p>
      <w:pPr>
        <w:pStyle w:val="Style94"/>
        <w:numPr>
          <w:ilvl w:val="0"/>
          <w:numId w:val="12"/>
        </w:numPr>
        <w:rPr>
          <w:highlight w:val="none"/>
          <w:shd w:fill="auto" w:val="clear"/>
        </w:rPr>
      </w:pPr>
      <w:r>
        <w:rPr>
          <w:rFonts w:eastAsia="Calibri"/>
          <w:shd w:fill="auto" w:val="clear"/>
        </w:rPr>
        <w:t>Криптошлюз должен быть включен в Единый реестр российской радиоэлектронной продукции  в соответствии с Постановлением Правительства РФ от 14.11.2023 N 1912 доверенный программно-аппаратный комплекс должен соответствовать критериям, установленным Приложением №1 Правила перехода субъектов критической информационной инфраструктуры Российской Федерации на преимущественное применение доверенных программно-аппаратных комплексов на принадлежащих им значимых объектах критической информационной инфраструктуры Российской Федерации, на дату подачи заявки участником закупки.</w:t>
      </w:r>
    </w:p>
    <w:p>
      <w:pPr>
        <w:pStyle w:val="ListParagraph"/>
        <w:numPr>
          <w:ilvl w:val="0"/>
          <w:numId w:val="11"/>
        </w:numPr>
        <w:spacing w:before="280" w:after="0"/>
        <w:ind w:hanging="360" w:start="720"/>
        <w:contextualSpacing/>
        <w:jc w:val="both"/>
        <w:rPr>
          <w:highlight w:val="none"/>
          <w:shd w:fill="auto" w:val="clear"/>
        </w:rPr>
      </w:pPr>
      <w:r>
        <w:rPr>
          <w:rFonts w:eastAsia="Calibri"/>
          <w:b/>
          <w:shd w:fill="auto" w:val="clear"/>
        </w:rPr>
        <w:t>Требования к системному блоку</w:t>
      </w:r>
    </w:p>
    <w:p>
      <w:pPr>
        <w:pStyle w:val="Normal"/>
        <w:ind w:firstLine="426"/>
        <w:jc w:val="both"/>
        <w:rPr>
          <w:highlight w:val="none"/>
          <w:shd w:fill="auto" w:val="clear"/>
        </w:rPr>
      </w:pPr>
      <w:r>
        <w:rPr>
          <w:shd w:fill="auto" w:val="clear"/>
        </w:rPr>
        <w:t>Комплект поставки должен включать:</w:t>
      </w:r>
    </w:p>
    <w:p>
      <w:pPr>
        <w:pStyle w:val="Normal"/>
        <w:numPr>
          <w:ilvl w:val="0"/>
          <w:numId w:val="17"/>
        </w:numPr>
        <w:spacing w:beforeAutospacing="1" w:after="0"/>
        <w:rPr>
          <w:highlight w:val="none"/>
          <w:shd w:fill="auto" w:val="clear"/>
        </w:rPr>
      </w:pPr>
      <w:r>
        <w:rPr>
          <w:shd w:fill="auto" w:val="clear"/>
        </w:rPr>
        <w:t>системный блок;</w:t>
      </w:r>
    </w:p>
    <w:p>
      <w:pPr>
        <w:pStyle w:val="Normal"/>
        <w:numPr>
          <w:ilvl w:val="0"/>
          <w:numId w:val="17"/>
        </w:numPr>
        <w:spacing w:before="0" w:after="0"/>
        <w:rPr>
          <w:highlight w:val="none"/>
          <w:shd w:fill="auto" w:val="clear"/>
        </w:rPr>
      </w:pPr>
      <w:r>
        <w:rPr>
          <w:shd w:fill="auto" w:val="clear"/>
        </w:rPr>
        <w:t>кабель электропитания;</w:t>
      </w:r>
    </w:p>
    <w:p>
      <w:pPr>
        <w:pStyle w:val="Normal"/>
        <w:numPr>
          <w:ilvl w:val="0"/>
          <w:numId w:val="17"/>
        </w:numPr>
        <w:spacing w:before="0" w:after="0"/>
        <w:rPr>
          <w:highlight w:val="none"/>
          <w:shd w:fill="auto" w:val="clear"/>
        </w:rPr>
      </w:pPr>
      <w:r>
        <w:rPr>
          <w:shd w:fill="auto" w:val="clear"/>
        </w:rPr>
        <w:t>эксплуатационную документацию;</w:t>
      </w:r>
    </w:p>
    <w:p>
      <w:pPr>
        <w:pStyle w:val="Normal"/>
        <w:numPr>
          <w:ilvl w:val="0"/>
          <w:numId w:val="17"/>
        </w:numPr>
        <w:spacing w:before="0" w:after="0"/>
        <w:rPr>
          <w:highlight w:val="none"/>
          <w:shd w:fill="auto" w:val="clear"/>
        </w:rPr>
      </w:pPr>
      <w:r>
        <w:rPr>
          <w:shd w:fill="auto" w:val="clear"/>
        </w:rPr>
        <w:t>гарантийные документы производителя.</w:t>
      </w:r>
    </w:p>
    <w:p>
      <w:pPr>
        <w:pStyle w:val="Normal"/>
        <w:ind w:firstLine="426"/>
        <w:jc w:val="both"/>
        <w:rPr>
          <w:highlight w:val="none"/>
          <w:shd w:fill="auto" w:val="clear"/>
        </w:rPr>
      </w:pPr>
      <w:r>
        <w:rPr>
          <w:shd w:fill="auto" w:val="clear"/>
        </w:rPr>
        <w:t>Гарантийный срок на оборудование должен составлять не менее 36 месяцев с даты подписания документа о приемке.</w:t>
      </w:r>
    </w:p>
    <w:p>
      <w:pPr>
        <w:pStyle w:val="Normal"/>
        <w:ind w:firstLine="426"/>
        <w:jc w:val="both"/>
        <w:rPr>
          <w:highlight w:val="none"/>
          <w:shd w:fill="auto" w:val="clear"/>
        </w:rPr>
      </w:pPr>
      <w:r>
        <w:rPr>
          <w:shd w:fill="auto" w:val="clear"/>
        </w:rPr>
        <w:t>В рамках гарантии Производитель обязуется устранять дефекты или заменять компоненты, возникшие по вине Производителя.</w:t>
      </w:r>
    </w:p>
    <w:p>
      <w:pPr>
        <w:pStyle w:val="Normal"/>
        <w:ind w:firstLine="426"/>
        <w:jc w:val="both"/>
        <w:rPr>
          <w:highlight w:val="none"/>
          <w:shd w:fill="auto" w:val="clear"/>
        </w:rPr>
      </w:pPr>
      <w:r>
        <w:rPr>
          <w:shd w:fill="auto" w:val="clear"/>
        </w:rPr>
        <w:t>Гарантия не представляется при несоблюдении Заказчиком правил эксплуатации, транспортировки и хранения, указанных в технической документации (руководстве пользователя).</w:t>
      </w:r>
    </w:p>
    <w:p>
      <w:pPr>
        <w:pStyle w:val="Normal"/>
        <w:ind w:firstLine="426"/>
        <w:jc w:val="both"/>
        <w:rPr>
          <w:highlight w:val="none"/>
          <w:shd w:fill="auto" w:val="clear"/>
        </w:rPr>
      </w:pPr>
      <w:r>
        <w:rPr>
          <w:shd w:fill="auto" w:val="clear"/>
        </w:rPr>
        <w:t>Заказчик при обнаружении дефекта направляет обращение Исполнителю на электронную почту, с описанием дефекта и предоставлением материалов, доказывающих наличие дефекта.</w:t>
      </w:r>
    </w:p>
    <w:p>
      <w:pPr>
        <w:pStyle w:val="Normal"/>
        <w:ind w:firstLine="426"/>
        <w:jc w:val="both"/>
        <w:rPr>
          <w:highlight w:val="none"/>
          <w:shd w:fill="auto" w:val="clear"/>
        </w:rPr>
      </w:pPr>
      <w:r>
        <w:rPr>
          <w:shd w:fill="auto" w:val="clear"/>
        </w:rPr>
        <w:t>Оборудование должно быть новым, ранее не эксплуатировавшимся.</w:t>
      </w:r>
    </w:p>
    <w:p>
      <w:pPr>
        <w:pStyle w:val="Normal"/>
        <w:ind w:firstLine="426"/>
        <w:jc w:val="both"/>
        <w:rPr>
          <w:highlight w:val="none"/>
          <w:shd w:fill="auto" w:val="clear"/>
        </w:rPr>
      </w:pPr>
      <w:r>
        <w:rPr>
          <w:shd w:fill="auto" w:val="clear"/>
        </w:rPr>
        <w:t>Системный блок должен быть включен в Единый реестр российской радиоэлектронной продукции.</w:t>
      </w:r>
    </w:p>
    <w:p>
      <w:pPr>
        <w:pStyle w:val="ListParagraph"/>
        <w:numPr>
          <w:ilvl w:val="0"/>
          <w:numId w:val="11"/>
        </w:numPr>
        <w:spacing w:before="280" w:after="0"/>
        <w:ind w:hanging="360" w:start="720"/>
        <w:contextualSpacing/>
        <w:jc w:val="both"/>
        <w:rPr>
          <w:highlight w:val="none"/>
          <w:shd w:fill="auto" w:val="clear"/>
        </w:rPr>
      </w:pPr>
      <w:r>
        <w:rPr>
          <w:rFonts w:eastAsia="Calibri"/>
          <w:b/>
          <w:shd w:fill="auto" w:val="clear"/>
        </w:rPr>
        <w:t>Требования к программно-аппаратному комплексу, реализующему функцию средства доверенной загрузки (СДЗ) (сертификаты ФСБ+ФСТЭК России)</w:t>
      </w:r>
    </w:p>
    <w:p>
      <w:pPr>
        <w:pStyle w:val="ListParagraph"/>
        <w:numPr>
          <w:ilvl w:val="1"/>
          <w:numId w:val="11"/>
        </w:numPr>
        <w:spacing w:before="280" w:after="0"/>
        <w:contextualSpacing/>
        <w:rPr>
          <w:highlight w:val="none"/>
          <w:shd w:fill="auto" w:val="clear"/>
        </w:rPr>
      </w:pPr>
      <w:r>
        <w:rPr>
          <w:rFonts w:eastAsia="Calibri"/>
          <w:b/>
          <w:shd w:fill="auto" w:val="clear"/>
          <w:lang w:eastAsia="ar-SA"/>
        </w:rPr>
        <w:t>Общие требования</w:t>
      </w:r>
    </w:p>
    <w:p>
      <w:pPr>
        <w:pStyle w:val="Normal"/>
        <w:ind w:firstLine="426"/>
        <w:jc w:val="both"/>
        <w:rPr>
          <w:highlight w:val="none"/>
          <w:shd w:fill="auto" w:val="clear"/>
        </w:rPr>
      </w:pPr>
      <w:r>
        <w:rPr>
          <w:shd w:fill="auto" w:val="clear"/>
        </w:rPr>
        <w:t>Средство доверенной загрузки должно осуществлять:</w:t>
      </w:r>
    </w:p>
    <w:p>
      <w:pPr>
        <w:pStyle w:val="Style94"/>
        <w:numPr>
          <w:ilvl w:val="0"/>
          <w:numId w:val="12"/>
        </w:numPr>
        <w:rPr>
          <w:highlight w:val="none"/>
          <w:shd w:fill="auto" w:val="clear"/>
        </w:rPr>
      </w:pPr>
      <w:r>
        <w:rPr>
          <w:rFonts w:eastAsia="Calibri"/>
          <w:shd w:fill="auto" w:val="clear"/>
        </w:rPr>
        <w:t>идентификацию и аутентификацию пользователей;</w:t>
      </w:r>
    </w:p>
    <w:p>
      <w:pPr>
        <w:pStyle w:val="Style94"/>
        <w:numPr>
          <w:ilvl w:val="0"/>
          <w:numId w:val="12"/>
        </w:numPr>
        <w:rPr>
          <w:highlight w:val="none"/>
          <w:shd w:fill="auto" w:val="clear"/>
        </w:rPr>
      </w:pPr>
      <w:r>
        <w:rPr>
          <w:rFonts w:eastAsia="Calibri"/>
          <w:shd w:fill="auto" w:val="clear"/>
        </w:rPr>
        <w:t>доверенную загрузку ЭВМ;</w:t>
      </w:r>
    </w:p>
    <w:p>
      <w:pPr>
        <w:pStyle w:val="Style94"/>
        <w:numPr>
          <w:ilvl w:val="0"/>
          <w:numId w:val="12"/>
        </w:numPr>
        <w:rPr>
          <w:highlight w:val="none"/>
          <w:shd w:fill="auto" w:val="clear"/>
        </w:rPr>
      </w:pPr>
      <w:r>
        <w:rPr>
          <w:rFonts w:eastAsia="Calibri"/>
          <w:shd w:fill="auto" w:val="clear"/>
        </w:rPr>
        <w:t>контроль целостности программной и аппаратной среды;</w:t>
      </w:r>
    </w:p>
    <w:p>
      <w:pPr>
        <w:pStyle w:val="Style94"/>
        <w:numPr>
          <w:ilvl w:val="0"/>
          <w:numId w:val="12"/>
        </w:numPr>
        <w:rPr>
          <w:highlight w:val="none"/>
          <w:shd w:fill="auto" w:val="clear"/>
        </w:rPr>
      </w:pPr>
      <w:r>
        <w:rPr>
          <w:rFonts w:eastAsia="Calibri"/>
          <w:shd w:fill="auto" w:val="clear"/>
        </w:rPr>
        <w:t>функции сторожевого таймера;</w:t>
      </w:r>
    </w:p>
    <w:p>
      <w:pPr>
        <w:pStyle w:val="Style94"/>
        <w:numPr>
          <w:ilvl w:val="0"/>
          <w:numId w:val="12"/>
        </w:numPr>
        <w:rPr>
          <w:highlight w:val="none"/>
          <w:shd w:fill="auto" w:val="clear"/>
        </w:rPr>
      </w:pPr>
      <w:r>
        <w:rPr>
          <w:rFonts w:eastAsia="Calibri"/>
          <w:shd w:fill="auto" w:val="clear"/>
        </w:rPr>
        <w:t>ведение журнала регистрации событий</w:t>
      </w:r>
    </w:p>
    <w:p>
      <w:pPr>
        <w:pStyle w:val="Style94"/>
        <w:rPr>
          <w:highlight w:val="none"/>
          <w:shd w:fill="auto" w:val="clear"/>
        </w:rPr>
      </w:pPr>
      <w:r>
        <w:rPr>
          <w:rFonts w:eastAsia="Calibri"/>
          <w:shd w:fill="auto" w:val="clear"/>
        </w:rPr>
        <w:t>Производитель обязан предоставлять Заказчику в рамках гарантийной поддержке:</w:t>
      </w:r>
    </w:p>
    <w:p>
      <w:pPr>
        <w:pStyle w:val="Style94"/>
        <w:rPr>
          <w:highlight w:val="none"/>
          <w:shd w:fill="auto" w:val="clear"/>
        </w:rPr>
      </w:pPr>
      <w:r>
        <w:rPr>
          <w:shd w:fill="auto" w:val="clear"/>
        </w:rPr>
        <w:t xml:space="preserve">Обновления (включая </w:t>
      </w:r>
      <w:r>
        <w:rPr>
          <w:shd w:fill="auto" w:val="clear"/>
          <w:lang w:val="en-US"/>
        </w:rPr>
        <w:t>hotfix</w:t>
      </w:r>
      <w:r>
        <w:rPr>
          <w:shd w:fill="auto" w:val="clear"/>
        </w:rPr>
        <w:t xml:space="preserve">, устраняющее дефекты, выявленные в продукте) без дополнительной оплаты в течении </w:t>
      </w:r>
      <w:r>
        <w:rPr>
          <w:b/>
          <w:bCs/>
          <w:shd w:fill="auto" w:val="clear"/>
        </w:rPr>
        <w:t>не менее 12 месяцев</w:t>
      </w:r>
      <w:r>
        <w:rPr>
          <w:shd w:fill="auto" w:val="clear"/>
        </w:rPr>
        <w:t xml:space="preserve"> с даты поставки;</w:t>
      </w:r>
    </w:p>
    <w:p>
      <w:pPr>
        <w:pStyle w:val="Style94"/>
        <w:rPr>
          <w:highlight w:val="none"/>
          <w:shd w:fill="auto" w:val="clear"/>
        </w:rPr>
      </w:pPr>
      <w:r>
        <w:rPr>
          <w:shd w:fill="auto" w:val="clear"/>
        </w:rPr>
        <w:t>Доступ к защищенному репозиторию обновлений;</w:t>
      </w:r>
    </w:p>
    <w:p>
      <w:pPr>
        <w:pStyle w:val="Style94"/>
        <w:rPr>
          <w:highlight w:val="none"/>
          <w:shd w:fill="auto" w:val="clear"/>
        </w:rPr>
      </w:pPr>
      <w:r>
        <w:rPr>
          <w:shd w:fill="auto" w:val="clear"/>
        </w:rPr>
        <w:t>Доступ к базе знаний (известные ошибки и типовые решения);</w:t>
      </w:r>
    </w:p>
    <w:p>
      <w:pPr>
        <w:pStyle w:val="Style94"/>
        <w:rPr>
          <w:highlight w:val="none"/>
          <w:shd w:fill="auto" w:val="clear"/>
        </w:rPr>
      </w:pPr>
      <w:r>
        <w:rPr>
          <w:shd w:fill="auto" w:val="clear"/>
        </w:rPr>
        <w:t>Консультирование по установке и использованию</w:t>
        <w:br/>
        <w:t>продукта;</w:t>
      </w:r>
    </w:p>
    <w:p>
      <w:pPr>
        <w:pStyle w:val="Style94"/>
        <w:rPr>
          <w:highlight w:val="none"/>
          <w:shd w:fill="auto" w:val="clear"/>
        </w:rPr>
      </w:pPr>
      <w:r>
        <w:rPr>
          <w:shd w:fill="auto" w:val="clear"/>
        </w:rPr>
        <w:t>Техническую поддержку по электронной почте или через Портал самообслуживания на сайте Производителя (Время реакции на обращение Заказчика определяется уровнем критичности инцидента, присвоенным при регистрации обращения в службе технической поддержки Производителя, а также видом сертификата технической поддержки).</w:t>
      </w:r>
    </w:p>
    <w:p>
      <w:pPr>
        <w:pStyle w:val="Style94"/>
        <w:rPr>
          <w:highlight w:val="none"/>
          <w:shd w:fill="auto" w:val="clear"/>
        </w:rPr>
      </w:pPr>
      <w:r>
        <w:rPr>
          <w:rFonts w:eastAsia="Calibri"/>
          <w:shd w:fill="auto" w:val="clear"/>
        </w:rPr>
        <w:t>Техническая поддержка предоставляется только по продуктам, используемым в строгом соответствии с требованиями эксплуатационной документации, в рекомендованных Производителем системах.</w:t>
      </w:r>
    </w:p>
    <w:p>
      <w:pPr>
        <w:pStyle w:val="ListParagraph"/>
        <w:numPr>
          <w:ilvl w:val="1"/>
          <w:numId w:val="11"/>
        </w:numPr>
        <w:spacing w:before="280" w:after="0"/>
        <w:contextualSpacing/>
        <w:rPr>
          <w:highlight w:val="none"/>
          <w:shd w:fill="auto" w:val="clear"/>
        </w:rPr>
      </w:pPr>
      <w:r>
        <w:rPr>
          <w:rFonts w:eastAsia="Calibri"/>
          <w:b/>
          <w:shd w:fill="auto" w:val="clear"/>
          <w:lang w:eastAsia="ar-SA"/>
        </w:rPr>
        <w:t>Требования к аппаратной части</w:t>
      </w:r>
    </w:p>
    <w:p>
      <w:pPr>
        <w:pStyle w:val="Normal"/>
        <w:ind w:firstLine="426"/>
        <w:jc w:val="both"/>
        <w:rPr>
          <w:highlight w:val="none"/>
          <w:shd w:fill="auto" w:val="clear"/>
        </w:rPr>
      </w:pPr>
      <w:r>
        <w:rPr>
          <w:shd w:fill="auto" w:val="clear"/>
        </w:rPr>
        <w:t>Средство доверенной загрузки должно удовлетворять следующим требованиям:</w:t>
      </w:r>
    </w:p>
    <w:p>
      <w:pPr>
        <w:pStyle w:val="Style94"/>
        <w:numPr>
          <w:ilvl w:val="0"/>
          <w:numId w:val="12"/>
        </w:numPr>
        <w:rPr>
          <w:highlight w:val="none"/>
          <w:shd w:fill="auto" w:val="clear"/>
        </w:rPr>
      </w:pPr>
      <w:r>
        <w:rPr>
          <w:rFonts w:eastAsia="Calibri"/>
          <w:shd w:fill="auto" w:val="clear"/>
        </w:rPr>
        <w:t>возможность исполнения СДЗ на платах PCI-Express (Mini PCI-E Half, М.2 type 2230-A-E-D4).</w:t>
      </w:r>
    </w:p>
    <w:p>
      <w:pPr>
        <w:pStyle w:val="Style94"/>
        <w:numPr>
          <w:ilvl w:val="0"/>
          <w:numId w:val="12"/>
        </w:numPr>
        <w:rPr>
          <w:highlight w:val="none"/>
          <w:shd w:fill="auto" w:val="clear"/>
        </w:rPr>
      </w:pPr>
      <w:r>
        <w:rPr>
          <w:rFonts w:eastAsia="Calibri"/>
          <w:shd w:fill="auto" w:val="clear"/>
        </w:rPr>
        <w:t xml:space="preserve">возможность работы с идентификаторами следующих типов: </w:t>
      </w:r>
    </w:p>
    <w:p>
      <w:pPr>
        <w:pStyle w:val="Style94"/>
        <w:rPr>
          <w:highlight w:val="none"/>
          <w:shd w:fill="auto" w:val="clear"/>
        </w:rPr>
      </w:pPr>
      <w:r>
        <w:rPr>
          <w:shd w:fill="auto" w:val="clear"/>
        </w:rPr>
        <w:t>Rutoken Lite.</w:t>
      </w:r>
    </w:p>
    <w:p>
      <w:pPr>
        <w:pStyle w:val="ListParagraph"/>
        <w:numPr>
          <w:ilvl w:val="1"/>
          <w:numId w:val="11"/>
        </w:numPr>
        <w:spacing w:before="280" w:after="0"/>
        <w:contextualSpacing/>
        <w:rPr>
          <w:highlight w:val="none"/>
          <w:shd w:fill="auto" w:val="clear"/>
        </w:rPr>
      </w:pPr>
      <w:r>
        <w:rPr>
          <w:rFonts w:eastAsia="Calibri"/>
          <w:b/>
          <w:shd w:fill="auto" w:val="clear"/>
          <w:lang w:eastAsia="ar-SA"/>
        </w:rPr>
        <w:t>Функциональные требования</w:t>
      </w:r>
    </w:p>
    <w:p>
      <w:pPr>
        <w:pStyle w:val="Normal"/>
        <w:ind w:firstLine="426"/>
        <w:jc w:val="both"/>
        <w:rPr>
          <w:highlight w:val="none"/>
          <w:shd w:fill="auto" w:val="clear"/>
        </w:rPr>
      </w:pPr>
      <w:r>
        <w:rPr>
          <w:shd w:fill="auto" w:val="clear"/>
        </w:rPr>
        <w:t>Средство доверенной загрузки должно удовлетворять следующим требованиям:</w:t>
      </w:r>
    </w:p>
    <w:p>
      <w:pPr>
        <w:pStyle w:val="Style94"/>
        <w:numPr>
          <w:ilvl w:val="0"/>
          <w:numId w:val="12"/>
        </w:numPr>
        <w:rPr>
          <w:highlight w:val="none"/>
          <w:shd w:fill="auto" w:val="clear"/>
        </w:rPr>
      </w:pPr>
      <w:r>
        <w:rPr>
          <w:rFonts w:eastAsia="Calibri"/>
          <w:shd w:fill="auto" w:val="clear"/>
        </w:rPr>
        <w:t>идентификация пользователей (должна производиться по отчуждаемому персональному идентификатору, а аутентификация - по вводимому с клавиатуры паролю);</w:t>
      </w:r>
    </w:p>
    <w:p>
      <w:pPr>
        <w:pStyle w:val="Style94"/>
        <w:numPr>
          <w:ilvl w:val="0"/>
          <w:numId w:val="12"/>
        </w:numPr>
        <w:rPr>
          <w:highlight w:val="none"/>
          <w:shd w:fill="auto" w:val="clear"/>
        </w:rPr>
      </w:pPr>
      <w:r>
        <w:rPr>
          <w:rFonts w:eastAsia="Calibri"/>
          <w:shd w:fill="auto" w:val="clear"/>
        </w:rPr>
        <w:t>должна обеспечиваться работа с паролями администратора или пользователя длиной до 127 символов;</w:t>
      </w:r>
    </w:p>
    <w:p>
      <w:pPr>
        <w:pStyle w:val="Style94"/>
        <w:numPr>
          <w:ilvl w:val="0"/>
          <w:numId w:val="12"/>
        </w:numPr>
        <w:rPr>
          <w:highlight w:val="none"/>
          <w:shd w:fill="auto" w:val="clear"/>
        </w:rPr>
      </w:pPr>
      <w:r>
        <w:rPr>
          <w:rFonts w:eastAsia="Calibri"/>
          <w:shd w:fill="auto" w:val="clear"/>
        </w:rPr>
        <w:t>должна иметься возможность задавать имя пользователя длиной до 40 символов;</w:t>
      </w:r>
    </w:p>
    <w:p>
      <w:pPr>
        <w:pStyle w:val="Style94"/>
        <w:numPr>
          <w:ilvl w:val="0"/>
          <w:numId w:val="12"/>
        </w:numPr>
        <w:rPr>
          <w:highlight w:val="none"/>
          <w:shd w:fill="auto" w:val="clear"/>
        </w:rPr>
      </w:pPr>
      <w:r>
        <w:rPr>
          <w:rFonts w:eastAsia="Calibri"/>
          <w:shd w:fill="auto" w:val="clear"/>
        </w:rPr>
        <w:t>МДЗ (СДЗ) должен обеспечивать возможность регистрации до 300 пользователей на одном компьютере;</w:t>
      </w:r>
    </w:p>
    <w:p>
      <w:pPr>
        <w:pStyle w:val="Style94"/>
        <w:numPr>
          <w:ilvl w:val="0"/>
          <w:numId w:val="12"/>
        </w:numPr>
        <w:rPr>
          <w:highlight w:val="none"/>
          <w:shd w:fill="auto" w:val="clear"/>
        </w:rPr>
      </w:pPr>
      <w:r>
        <w:rPr>
          <w:rFonts w:eastAsia="Calibri"/>
          <w:shd w:fill="auto" w:val="clear"/>
        </w:rPr>
        <w:t>защита от несанкционированной загрузки нештатной операционной системы (ОС);</w:t>
      </w:r>
    </w:p>
    <w:p>
      <w:pPr>
        <w:pStyle w:val="Style94"/>
        <w:numPr>
          <w:ilvl w:val="0"/>
          <w:numId w:val="12"/>
        </w:numPr>
        <w:rPr>
          <w:highlight w:val="none"/>
          <w:shd w:fill="auto" w:val="clear"/>
        </w:rPr>
      </w:pPr>
      <w:r>
        <w:rPr>
          <w:rFonts w:eastAsia="Calibri"/>
          <w:shd w:fill="auto" w:val="clear"/>
        </w:rPr>
        <w:t>МДЗ (СДЗ) должен иметь возможность контролировать целостность:</w:t>
      </w:r>
    </w:p>
    <w:p>
      <w:pPr>
        <w:pStyle w:val="Style94"/>
        <w:rPr>
          <w:highlight w:val="none"/>
          <w:shd w:fill="auto" w:val="clear"/>
        </w:rPr>
      </w:pPr>
      <w:r>
        <w:rPr>
          <w:shd w:fill="auto" w:val="clear"/>
        </w:rPr>
        <w:t>файлов и физических секторов жесткого диска;</w:t>
      </w:r>
    </w:p>
    <w:p>
      <w:pPr>
        <w:pStyle w:val="Style94"/>
        <w:rPr>
          <w:highlight w:val="none"/>
          <w:shd w:fill="auto" w:val="clear"/>
        </w:rPr>
      </w:pPr>
      <w:r>
        <w:rPr>
          <w:shd w:fill="auto" w:val="clear"/>
        </w:rPr>
        <w:t>элементов системного реестра;</w:t>
      </w:r>
    </w:p>
    <w:p>
      <w:pPr>
        <w:pStyle w:val="Style94"/>
        <w:rPr>
          <w:highlight w:val="none"/>
          <w:shd w:fill="auto" w:val="clear"/>
        </w:rPr>
      </w:pPr>
      <w:r>
        <w:rPr>
          <w:shd w:fill="auto" w:val="clear"/>
        </w:rPr>
        <w:t>журнала транзакций NTFS и EXT4;</w:t>
      </w:r>
    </w:p>
    <w:p>
      <w:pPr>
        <w:pStyle w:val="Style94"/>
        <w:rPr>
          <w:highlight w:val="none"/>
          <w:shd w:fill="auto" w:val="clear"/>
        </w:rPr>
      </w:pPr>
      <w:r>
        <w:rPr>
          <w:shd w:fill="auto" w:val="clear"/>
        </w:rPr>
        <w:t>PCI-устройств;</w:t>
      </w:r>
    </w:p>
    <w:p>
      <w:pPr>
        <w:pStyle w:val="Style94"/>
        <w:rPr>
          <w:highlight w:val="none"/>
          <w:shd w:fill="auto" w:val="clear"/>
        </w:rPr>
      </w:pPr>
      <w:r>
        <w:rPr>
          <w:shd w:fill="auto" w:val="clear"/>
        </w:rPr>
        <w:t>структур SMBIOS.</w:t>
      </w:r>
    </w:p>
    <w:p>
      <w:pPr>
        <w:pStyle w:val="Style94"/>
        <w:numPr>
          <w:ilvl w:val="0"/>
          <w:numId w:val="12"/>
        </w:numPr>
        <w:rPr>
          <w:highlight w:val="none"/>
          <w:shd w:fill="auto" w:val="clear"/>
        </w:rPr>
      </w:pPr>
      <w:r>
        <w:rPr>
          <w:rFonts w:eastAsia="Calibri"/>
          <w:shd w:fill="auto" w:val="clear"/>
        </w:rPr>
        <w:t>значения контрольных сумм объектов контроля целостности должны рассчитываться с использованием ключа КЦ по алгоритму, соответствующему ГОСТ Р 34.12-2015, ГОСТ 34.12-2018 в режиме выработки имитовставки и режиме гаммирования с обратной связью по выходу в соответствии с ГОСТ Р 34.13-2015, ГОСТ 34.13-2018);</w:t>
      </w:r>
    </w:p>
    <w:p>
      <w:pPr>
        <w:pStyle w:val="Style94"/>
        <w:numPr>
          <w:ilvl w:val="0"/>
          <w:numId w:val="12"/>
        </w:numPr>
        <w:rPr>
          <w:highlight w:val="none"/>
          <w:shd w:fill="auto" w:val="clear"/>
        </w:rPr>
      </w:pPr>
      <w:r>
        <w:rPr>
          <w:rFonts w:eastAsia="Calibri"/>
          <w:shd w:fill="auto" w:val="clear"/>
        </w:rPr>
        <w:t>в комплекте поставки должны быть драйверы платы, которые должны функционировать в среде следующих ОС:</w:t>
      </w:r>
    </w:p>
    <w:p>
      <w:pPr>
        <w:pStyle w:val="Style94"/>
        <w:rPr>
          <w:highlight w:val="none"/>
          <w:shd w:fill="auto" w:val="clear"/>
        </w:rPr>
      </w:pPr>
      <w:r>
        <w:rPr>
          <w:shd w:fill="auto" w:val="clear"/>
        </w:rPr>
        <w:t>Astra Linux Special Edition 1.6/1.7/1.8.</w:t>
      </w:r>
    </w:p>
    <w:p>
      <w:pPr>
        <w:pStyle w:val="Style94"/>
        <w:numPr>
          <w:ilvl w:val="0"/>
          <w:numId w:val="12"/>
        </w:numPr>
        <w:rPr>
          <w:highlight w:val="none"/>
          <w:shd w:fill="auto" w:val="clear"/>
        </w:rPr>
      </w:pPr>
      <w:r>
        <w:rPr>
          <w:rFonts w:eastAsia="Calibri"/>
          <w:shd w:fill="auto" w:val="clear"/>
        </w:rPr>
        <w:t>должна обеспечиваться возможность получения случайных последовательностей с физического датчика случайных чисел платы МДЗ (СДЗ) для прикладного программного обеспечения, функционирующего в операционной системе;</w:t>
      </w:r>
    </w:p>
    <w:p>
      <w:pPr>
        <w:pStyle w:val="Style94"/>
        <w:numPr>
          <w:ilvl w:val="0"/>
          <w:numId w:val="12"/>
        </w:numPr>
        <w:rPr>
          <w:highlight w:val="none"/>
          <w:shd w:fill="auto" w:val="clear"/>
        </w:rPr>
      </w:pPr>
      <w:r>
        <w:rPr>
          <w:rFonts w:eastAsia="Calibri"/>
          <w:shd w:fill="auto" w:val="clear"/>
        </w:rPr>
        <w:t>поддержка файловых систем NTFS, FAT32, FAT16, EXT4, EXT3, EXT2;</w:t>
      </w:r>
    </w:p>
    <w:p>
      <w:pPr>
        <w:pStyle w:val="Style94"/>
        <w:numPr>
          <w:ilvl w:val="0"/>
          <w:numId w:val="12"/>
        </w:numPr>
        <w:rPr>
          <w:highlight w:val="none"/>
          <w:shd w:fill="auto" w:val="clear"/>
        </w:rPr>
      </w:pPr>
      <w:r>
        <w:rPr>
          <w:rFonts w:eastAsia="Calibri"/>
          <w:shd w:fill="auto" w:val="clear"/>
        </w:rPr>
        <w:t>реализация функции сторожевого таймера посредством воздействия на механизм reset или на питание ЭВМ;</w:t>
      </w:r>
    </w:p>
    <w:p>
      <w:pPr>
        <w:pStyle w:val="Style94"/>
        <w:numPr>
          <w:ilvl w:val="0"/>
          <w:numId w:val="12"/>
        </w:numPr>
        <w:rPr>
          <w:highlight w:val="none"/>
          <w:shd w:fill="auto" w:val="clear"/>
        </w:rPr>
      </w:pPr>
      <w:r>
        <w:rPr>
          <w:rFonts w:eastAsia="Calibri"/>
          <w:shd w:fill="auto" w:val="clear"/>
        </w:rPr>
        <w:t>функционирование журнала событий безопасности и его хранение в энергонезависимой памяти платы МДЗ (СДЗ) с возможностью экспорта в виде текстового файла;</w:t>
      </w:r>
    </w:p>
    <w:p>
      <w:pPr>
        <w:pStyle w:val="Style94"/>
        <w:numPr>
          <w:ilvl w:val="0"/>
          <w:numId w:val="12"/>
        </w:numPr>
        <w:rPr>
          <w:highlight w:val="none"/>
          <w:shd w:fill="auto" w:val="clear"/>
        </w:rPr>
      </w:pPr>
      <w:r>
        <w:rPr>
          <w:rFonts w:eastAsia="Calibri"/>
          <w:shd w:fill="auto" w:val="clear"/>
        </w:rPr>
        <w:t>возможность программной переинициализации МДЗ (СДЗ) (без вскрытия системного блока ЭВМ);</w:t>
      </w:r>
    </w:p>
    <w:p>
      <w:pPr>
        <w:pStyle w:val="Style94"/>
        <w:numPr>
          <w:ilvl w:val="0"/>
          <w:numId w:val="12"/>
        </w:numPr>
        <w:rPr>
          <w:highlight w:val="none"/>
          <w:shd w:fill="auto" w:val="clear"/>
        </w:rPr>
      </w:pPr>
      <w:r>
        <w:rPr>
          <w:rFonts w:eastAsia="Calibri"/>
          <w:shd w:fill="auto" w:val="clear"/>
        </w:rPr>
        <w:t>возможность предоставления прав загрузки операционной системы с внешних носителей администратору комплекса;</w:t>
      </w:r>
    </w:p>
    <w:p>
      <w:pPr>
        <w:pStyle w:val="Style94"/>
        <w:numPr>
          <w:ilvl w:val="0"/>
          <w:numId w:val="12"/>
        </w:numPr>
        <w:rPr>
          <w:highlight w:val="none"/>
          <w:shd w:fill="auto" w:val="clear"/>
        </w:rPr>
      </w:pPr>
      <w:r>
        <w:rPr>
          <w:rFonts w:eastAsia="Calibri"/>
          <w:shd w:fill="auto" w:val="clear"/>
        </w:rPr>
        <w:t>возможность генерации пароля пользователя или администратора при помощи встроенного двухканального аппаратного датчика случайных чисел.</w:t>
      </w:r>
    </w:p>
    <w:p>
      <w:pPr>
        <w:pStyle w:val="ListParagraph"/>
        <w:numPr>
          <w:ilvl w:val="1"/>
          <w:numId w:val="11"/>
        </w:numPr>
        <w:spacing w:before="280" w:after="0"/>
        <w:contextualSpacing/>
        <w:rPr>
          <w:highlight w:val="none"/>
          <w:shd w:fill="auto" w:val="clear"/>
        </w:rPr>
      </w:pPr>
      <w:r>
        <w:rPr>
          <w:rFonts w:eastAsia="Calibri"/>
          <w:b/>
          <w:shd w:fill="auto" w:val="clear"/>
          <w:lang w:eastAsia="ar-SA"/>
        </w:rPr>
        <w:t>Требования к сертификации:</w:t>
      </w:r>
    </w:p>
    <w:p>
      <w:pPr>
        <w:pStyle w:val="Normal"/>
        <w:ind w:firstLine="426"/>
        <w:jc w:val="both"/>
        <w:rPr>
          <w:highlight w:val="none"/>
          <w:shd w:fill="auto" w:val="clear"/>
        </w:rPr>
      </w:pPr>
      <w:r>
        <w:rPr>
          <w:shd w:fill="auto" w:val="clear"/>
        </w:rPr>
        <w:t>Средство доверенной загрузки должно удовлетворять следующим требованиям:</w:t>
      </w:r>
    </w:p>
    <w:p>
      <w:pPr>
        <w:pStyle w:val="Style94"/>
        <w:numPr>
          <w:ilvl w:val="0"/>
          <w:numId w:val="12"/>
        </w:numPr>
        <w:rPr>
          <w:highlight w:val="none"/>
          <w:shd w:fill="auto" w:val="clear"/>
        </w:rPr>
      </w:pPr>
      <w:r>
        <w:rPr>
          <w:rFonts w:eastAsia="Calibri"/>
          <w:shd w:fill="auto" w:val="clear"/>
        </w:rPr>
        <w:t>должно быть сертифицировано на соответствие требованиям ФСБ России к механизмам доверенной загрузки ЭВМ класса 2Б;</w:t>
      </w:r>
    </w:p>
    <w:p>
      <w:pPr>
        <w:pStyle w:val="Style94"/>
        <w:numPr>
          <w:ilvl w:val="0"/>
          <w:numId w:val="12"/>
        </w:numPr>
        <w:rPr>
          <w:highlight w:val="none"/>
          <w:shd w:fill="auto" w:val="clear"/>
        </w:rPr>
      </w:pPr>
      <w:r>
        <w:rPr>
          <w:rFonts w:eastAsia="Calibri"/>
          <w:shd w:fill="auto" w:val="clear"/>
        </w:rPr>
        <w:t>должно быть сертифицировано на соответствие требованиям ФСТЭК России:</w:t>
      </w:r>
    </w:p>
    <w:p>
      <w:pPr>
        <w:pStyle w:val="Style94"/>
        <w:rPr>
          <w:highlight w:val="none"/>
          <w:shd w:fill="auto" w:val="clear"/>
        </w:rPr>
      </w:pPr>
      <w:r>
        <w:rPr>
          <w:shd w:fill="auto" w:val="clear"/>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 не ниже 5 уровня доверия;</w:t>
      </w:r>
    </w:p>
    <w:p>
      <w:pPr>
        <w:pStyle w:val="Style94"/>
        <w:rPr>
          <w:highlight w:val="none"/>
          <w:shd w:fill="auto" w:val="clear"/>
        </w:rPr>
      </w:pPr>
      <w:r>
        <w:rPr>
          <w:shd w:fill="auto" w:val="clear"/>
        </w:rPr>
        <w:t>«Профиль защиты средств доверенной загрузки» не ниже 5 класса защиты (ФСТЭК России, 2013), «Требования к средствам доверенной загрузки (ФСТЭК России, 2013).</w:t>
      </w:r>
    </w:p>
    <w:p>
      <w:pPr>
        <w:pStyle w:val="Style94"/>
        <w:numPr>
          <w:ilvl w:val="0"/>
          <w:numId w:val="12"/>
        </w:numPr>
        <w:rPr>
          <w:highlight w:val="none"/>
          <w:shd w:fill="auto" w:val="clear"/>
        </w:rPr>
      </w:pPr>
      <w:r>
        <w:rPr>
          <w:rFonts w:eastAsia="Calibri"/>
          <w:shd w:fill="auto" w:val="clear"/>
        </w:rPr>
        <w:t>должна быть обеспечена возможность применения СДЗ в автоматизированных системах до класса защищенности 1Б включительно, государственных информационных системах до 2 класса защищенности включительно и информационных системах персональных данных до 2 уровня защищенности включительно;</w:t>
      </w:r>
    </w:p>
    <w:p>
      <w:pPr>
        <w:pStyle w:val="Style94"/>
        <w:numPr>
          <w:ilvl w:val="0"/>
          <w:numId w:val="12"/>
        </w:numPr>
        <w:rPr>
          <w:highlight w:val="none"/>
          <w:shd w:fill="auto" w:val="clear"/>
        </w:rPr>
      </w:pPr>
      <w:r>
        <w:rPr>
          <w:rFonts w:eastAsia="Calibri"/>
          <w:shd w:fill="auto" w:val="clear"/>
        </w:rPr>
        <w:t>должно иметь сертификат Торгово-промышленной палаты формы СТ-1, подтверждающий, что товар произведён на территории Российской Федерации;</w:t>
      </w:r>
    </w:p>
    <w:p>
      <w:pPr>
        <w:pStyle w:val="Style94"/>
        <w:numPr>
          <w:ilvl w:val="0"/>
          <w:numId w:val="12"/>
        </w:numPr>
        <w:rPr>
          <w:highlight w:val="none"/>
          <w:shd w:fill="auto" w:val="clear"/>
        </w:rPr>
      </w:pPr>
      <w:r>
        <w:rPr>
          <w:rFonts w:eastAsia="Calibri"/>
          <w:shd w:fill="auto" w:val="clear"/>
        </w:rPr>
        <w:t>должно быть включено в единый реестр российской радиоэлектронной продукции (в соответствии с постановлением Правительства Российской Федерации от 10 июля 2019 г. № 878).</w:t>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электронным идентификаторам</w:t>
      </w:r>
    </w:p>
    <w:p>
      <w:pPr>
        <w:pStyle w:val="ListParagraph"/>
        <w:numPr>
          <w:ilvl w:val="1"/>
          <w:numId w:val="11"/>
        </w:numPr>
        <w:jc w:val="both"/>
        <w:rPr>
          <w:highlight w:val="none"/>
          <w:shd w:fill="auto" w:val="clear"/>
        </w:rPr>
      </w:pPr>
      <w:r>
        <w:rPr>
          <w:rFonts w:eastAsia="Calibri"/>
          <w:shd w:fill="auto" w:val="clear"/>
        </w:rPr>
        <w:t>Электронный идентификатор должен соответствовать следующим характеристикам:</w:t>
      </w:r>
    </w:p>
    <w:p>
      <w:pPr>
        <w:pStyle w:val="Style94"/>
        <w:numPr>
          <w:ilvl w:val="0"/>
          <w:numId w:val="12"/>
        </w:numPr>
        <w:rPr>
          <w:highlight w:val="none"/>
          <w:shd w:fill="auto" w:val="clear"/>
        </w:rPr>
      </w:pPr>
      <w:r>
        <w:rPr>
          <w:rFonts w:eastAsia="Calibri"/>
          <w:shd w:fill="auto" w:val="clear"/>
        </w:rPr>
        <w:t>интерфейс: USB 1.1 и выше;</w:t>
      </w:r>
    </w:p>
    <w:p>
      <w:pPr>
        <w:pStyle w:val="Style94"/>
        <w:numPr>
          <w:ilvl w:val="0"/>
          <w:numId w:val="12"/>
        </w:numPr>
        <w:rPr>
          <w:highlight w:val="none"/>
          <w:shd w:fill="auto" w:val="clear"/>
        </w:rPr>
      </w:pPr>
      <w:r>
        <w:rPr>
          <w:rFonts w:eastAsia="Calibri"/>
          <w:shd w:fill="auto" w:val="clear"/>
        </w:rPr>
        <w:t>объем EEPROM память (не менее): 128 Кбайт;</w:t>
      </w:r>
    </w:p>
    <w:p>
      <w:pPr>
        <w:pStyle w:val="Style94"/>
        <w:numPr>
          <w:ilvl w:val="0"/>
          <w:numId w:val="12"/>
        </w:numPr>
        <w:rPr>
          <w:highlight w:val="none"/>
          <w:shd w:fill="auto" w:val="clear"/>
        </w:rPr>
      </w:pPr>
      <w:r>
        <w:rPr>
          <w:rFonts w:eastAsia="Calibri"/>
          <w:shd w:fill="auto" w:val="clear"/>
        </w:rPr>
        <w:t>объем доступной пользователю EEPROM память (не менее): 100 Кбайт;</w:t>
      </w:r>
    </w:p>
    <w:p>
      <w:pPr>
        <w:pStyle w:val="Style94"/>
        <w:numPr>
          <w:ilvl w:val="0"/>
          <w:numId w:val="12"/>
        </w:numPr>
        <w:rPr>
          <w:highlight w:val="none"/>
          <w:shd w:fill="auto" w:val="clear"/>
        </w:rPr>
      </w:pPr>
      <w:r>
        <w:rPr>
          <w:rFonts w:eastAsia="Calibri"/>
          <w:shd w:fill="auto" w:val="clear"/>
        </w:rPr>
        <w:t>габаритные размеры электронного идентификатора не более 60х20х10 мм;</w:t>
      </w:r>
    </w:p>
    <w:p>
      <w:pPr>
        <w:pStyle w:val="Style94"/>
        <w:numPr>
          <w:ilvl w:val="0"/>
          <w:numId w:val="12"/>
        </w:numPr>
        <w:rPr>
          <w:highlight w:val="none"/>
          <w:shd w:fill="auto" w:val="clear"/>
        </w:rPr>
      </w:pPr>
      <w:r>
        <w:rPr>
          <w:rFonts w:eastAsia="Calibri"/>
          <w:shd w:fill="auto" w:val="clear"/>
        </w:rPr>
        <w:t>наличие 32-битового уникального серийного номера;</w:t>
      </w:r>
    </w:p>
    <w:p>
      <w:pPr>
        <w:pStyle w:val="Style94"/>
        <w:numPr>
          <w:ilvl w:val="0"/>
          <w:numId w:val="12"/>
        </w:numPr>
        <w:rPr>
          <w:highlight w:val="none"/>
          <w:shd w:fill="auto" w:val="clear"/>
        </w:rPr>
      </w:pPr>
      <w:r>
        <w:rPr>
          <w:rFonts w:eastAsia="Calibri"/>
          <w:shd w:fill="auto" w:val="clear"/>
        </w:rPr>
        <w:t>поддерживаемые операционные системы: GNU/Linux.</w:t>
      </w:r>
    </w:p>
    <w:p>
      <w:pPr>
        <w:pStyle w:val="Style94"/>
        <w:numPr>
          <w:ilvl w:val="0"/>
          <w:numId w:val="12"/>
        </w:numPr>
        <w:rPr>
          <w:highlight w:val="none"/>
          <w:shd w:fill="auto" w:val="clear"/>
        </w:rPr>
      </w:pPr>
      <w:r>
        <w:rPr>
          <w:rFonts w:eastAsia="Calibri"/>
          <w:shd w:fill="auto" w:val="clear"/>
        </w:rPr>
        <w:t>защищенное хранение ключей шифрования;</w:t>
      </w:r>
    </w:p>
    <w:p>
      <w:pPr>
        <w:pStyle w:val="Style94"/>
        <w:numPr>
          <w:ilvl w:val="0"/>
          <w:numId w:val="12"/>
        </w:numPr>
        <w:rPr>
          <w:highlight w:val="none"/>
          <w:shd w:fill="auto" w:val="clear"/>
        </w:rPr>
      </w:pPr>
      <w:r>
        <w:rPr>
          <w:rFonts w:eastAsia="Calibri"/>
          <w:shd w:fill="auto" w:val="clear"/>
        </w:rPr>
        <w:t>встроенная файловая система по стандарту ISO/IEC 7816;</w:t>
      </w:r>
    </w:p>
    <w:p>
      <w:pPr>
        <w:pStyle w:val="Style94"/>
        <w:numPr>
          <w:ilvl w:val="0"/>
          <w:numId w:val="12"/>
        </w:numPr>
        <w:rPr>
          <w:highlight w:val="none"/>
          <w:shd w:fill="auto" w:val="clear"/>
        </w:rPr>
      </w:pPr>
      <w:r>
        <w:rPr>
          <w:rFonts w:eastAsia="Calibri"/>
          <w:shd w:fill="auto" w:val="clear"/>
        </w:rPr>
        <w:t>двухфакторная аутентификация с использованием PIN кода и носителя;</w:t>
      </w:r>
    </w:p>
    <w:p>
      <w:pPr>
        <w:pStyle w:val="Style94"/>
        <w:numPr>
          <w:ilvl w:val="0"/>
          <w:numId w:val="12"/>
        </w:numPr>
        <w:rPr>
          <w:highlight w:val="none"/>
          <w:shd w:fill="auto" w:val="clear"/>
        </w:rPr>
      </w:pPr>
      <w:r>
        <w:rPr>
          <w:rFonts w:eastAsia="Calibri"/>
          <w:shd w:fill="auto" w:val="clear"/>
        </w:rPr>
        <w:t xml:space="preserve">ограничение числа попыток ввода PIN-кода: автоматическая блокировка PIN после заданного неверных попыток ввода; </w:t>
      </w:r>
    </w:p>
    <w:p>
      <w:pPr>
        <w:pStyle w:val="Style94"/>
        <w:numPr>
          <w:ilvl w:val="0"/>
          <w:numId w:val="12"/>
        </w:numPr>
        <w:rPr>
          <w:highlight w:val="none"/>
          <w:shd w:fill="auto" w:val="clear"/>
        </w:rPr>
      </w:pPr>
      <w:r>
        <w:rPr>
          <w:rFonts w:eastAsia="Calibri"/>
          <w:shd w:fill="auto" w:val="clear"/>
        </w:rPr>
        <w:t>количество уровней доступа к токену: 3 уровня доступа к токену - Гость, Пользователь, Администратор;</w:t>
      </w:r>
    </w:p>
    <w:p>
      <w:pPr>
        <w:pStyle w:val="Style94"/>
        <w:numPr>
          <w:ilvl w:val="0"/>
          <w:numId w:val="12"/>
        </w:numPr>
        <w:rPr>
          <w:highlight w:val="none"/>
          <w:shd w:fill="auto" w:val="clear"/>
        </w:rPr>
      </w:pPr>
      <w:r>
        <w:rPr>
          <w:rFonts w:eastAsia="Calibri"/>
          <w:shd w:fill="auto" w:val="clear"/>
        </w:rPr>
        <w:t>количество циклов записи в память/чтения из памяти до 1,000,000 / не ограничено;</w:t>
      </w:r>
    </w:p>
    <w:p>
      <w:pPr>
        <w:pStyle w:val="Style94"/>
        <w:numPr>
          <w:ilvl w:val="0"/>
          <w:numId w:val="12"/>
        </w:numPr>
        <w:rPr>
          <w:highlight w:val="none"/>
          <w:shd w:fill="auto" w:val="clear"/>
        </w:rPr>
      </w:pPr>
      <w:r>
        <w:rPr>
          <w:rFonts w:eastAsia="Calibri"/>
          <w:shd w:fill="auto" w:val="clear"/>
        </w:rPr>
        <w:t>поддержка стандарта X.509;</w:t>
      </w:r>
    </w:p>
    <w:p>
      <w:pPr>
        <w:pStyle w:val="Style94"/>
        <w:numPr>
          <w:ilvl w:val="0"/>
          <w:numId w:val="12"/>
        </w:numPr>
        <w:rPr>
          <w:highlight w:val="none"/>
          <w:shd w:fill="auto" w:val="clear"/>
        </w:rPr>
      </w:pPr>
      <w:r>
        <w:rPr>
          <w:rFonts w:eastAsia="Calibri"/>
          <w:shd w:fill="auto" w:val="clear"/>
        </w:rPr>
        <w:t>реализация криптографического функционала максимально безопасна: необходимые алгоритмы изначально присутствуют в микропрограмме, а не добавляются дополнительными загружаемыми модулями (апплетами, плагинами и т.п.).</w:t>
      </w:r>
    </w:p>
    <w:p>
      <w:pPr>
        <w:pStyle w:val="ListParagraph"/>
        <w:numPr>
          <w:ilvl w:val="1"/>
          <w:numId w:val="11"/>
        </w:numPr>
        <w:ind w:firstLine="426" w:start="0"/>
        <w:jc w:val="both"/>
        <w:rPr>
          <w:highlight w:val="none"/>
          <w:shd w:fill="auto" w:val="clear"/>
        </w:rPr>
      </w:pPr>
      <w:r>
        <w:rPr>
          <w:rFonts w:eastAsia="Calibri"/>
          <w:shd w:fill="auto" w:val="clear"/>
        </w:rPr>
        <w:t>Устройство должно иметь сертификат ФСТЭК, подтверждающий, что программно-аппаратный комплекс является программно-техническим средством аутентификации пользователей при обработке информации, не содержащей сведений, составляющих государственную тайну. ПАК реализует функции аутентификации и управления доступом к аутентификационной информации и настройкам СЗИ, в том числе в виртуальной инфраструктуре, и соответствует требованиям технических условий и руководящих документов по четвертому уровню доверия, согласно «Требованиям по безопасности информации, устанавливающим уровни доверия к средствам технической защиты информации и средствам обеспечения безопасности информационных технологий».</w:t>
      </w:r>
    </w:p>
    <w:p>
      <w:pPr>
        <w:pStyle w:val="ListParagraph"/>
        <w:numPr>
          <w:ilvl w:val="1"/>
          <w:numId w:val="11"/>
        </w:numPr>
        <w:ind w:firstLine="426" w:start="0"/>
        <w:jc w:val="both"/>
        <w:rPr>
          <w:highlight w:val="none"/>
          <w:shd w:fill="auto" w:val="clear"/>
        </w:rPr>
      </w:pPr>
      <w:r>
        <w:rPr>
          <w:rFonts w:eastAsia="Calibri"/>
          <w:shd w:fill="auto" w:val="clear"/>
        </w:rPr>
        <w:t>Поставляемый товар должен быть внесен в реестр промышленной продукции, произведенной на территории Российской Федерации.</w:t>
      </w:r>
    </w:p>
    <w:p>
      <w:pPr>
        <w:pStyle w:val="ListParagraph"/>
        <w:numPr>
          <w:ilvl w:val="1"/>
          <w:numId w:val="11"/>
        </w:numPr>
        <w:ind w:firstLine="426" w:start="0"/>
        <w:jc w:val="both"/>
        <w:rPr>
          <w:highlight w:val="none"/>
          <w:shd w:fill="auto" w:val="clear"/>
        </w:rPr>
      </w:pPr>
      <w:r>
        <w:rPr>
          <w:rFonts w:eastAsia="Calibri"/>
          <w:shd w:fill="auto" w:val="clear"/>
        </w:rPr>
        <w:t>Производитель обязан предоставлять Заказчику в рамках гарантийной поддержке:</w:t>
      </w:r>
    </w:p>
    <w:p>
      <w:pPr>
        <w:pStyle w:val="Style94"/>
        <w:rPr>
          <w:highlight w:val="none"/>
          <w:shd w:fill="auto" w:val="clear"/>
        </w:rPr>
      </w:pPr>
      <w:r>
        <w:rPr>
          <w:shd w:fill="auto" w:val="clear"/>
        </w:rPr>
        <w:t xml:space="preserve">Обновления (включая </w:t>
      </w:r>
      <w:r>
        <w:rPr>
          <w:shd w:fill="auto" w:val="clear"/>
          <w:lang w:val="en-US"/>
        </w:rPr>
        <w:t>hotfix</w:t>
      </w:r>
      <w:r>
        <w:rPr>
          <w:shd w:fill="auto" w:val="clear"/>
        </w:rPr>
        <w:t xml:space="preserve">, устраняющее дефекты, выявленные в продукте) без дополнительной оплаты в течении </w:t>
      </w:r>
      <w:r>
        <w:rPr>
          <w:b/>
          <w:bCs/>
          <w:shd w:fill="auto" w:val="clear"/>
        </w:rPr>
        <w:t>не менее 12 месяцев</w:t>
      </w:r>
      <w:r>
        <w:rPr>
          <w:shd w:fill="auto" w:val="clear"/>
        </w:rPr>
        <w:t xml:space="preserve"> с даты поставки;</w:t>
      </w:r>
    </w:p>
    <w:p>
      <w:pPr>
        <w:pStyle w:val="Style94"/>
        <w:rPr>
          <w:highlight w:val="none"/>
          <w:shd w:fill="auto" w:val="clear"/>
        </w:rPr>
      </w:pPr>
      <w:r>
        <w:rPr>
          <w:shd w:fill="auto" w:val="clear"/>
        </w:rPr>
        <w:t>Доступ к защищенному репозиторию обновлений;</w:t>
      </w:r>
    </w:p>
    <w:p>
      <w:pPr>
        <w:pStyle w:val="Style94"/>
        <w:rPr>
          <w:highlight w:val="none"/>
          <w:shd w:fill="auto" w:val="clear"/>
        </w:rPr>
      </w:pPr>
      <w:r>
        <w:rPr>
          <w:shd w:fill="auto" w:val="clear"/>
        </w:rPr>
        <w:t>Доступ к базе знаний о продукте;</w:t>
      </w:r>
    </w:p>
    <w:p>
      <w:pPr>
        <w:pStyle w:val="Style94"/>
        <w:rPr>
          <w:highlight w:val="none"/>
          <w:shd w:fill="auto" w:val="clear"/>
        </w:rPr>
      </w:pPr>
      <w:r>
        <w:rPr>
          <w:shd w:fill="auto" w:val="clear"/>
        </w:rPr>
        <w:t xml:space="preserve">Техническую поддержку по электронной почте или через </w:t>
      </w:r>
      <w:r>
        <w:rPr>
          <w:shd w:fill="auto" w:val="clear"/>
          <w:lang w:val="en-US"/>
        </w:rPr>
        <w:t>web</w:t>
      </w:r>
      <w:r>
        <w:rPr>
          <w:shd w:fill="auto" w:val="clear"/>
        </w:rPr>
        <w:t>-форму на сайте Производителя (Время реакции на обращение Заказчика определяется уровнем критичности инцидента, присвоенным при регистрации обращения в службе технической поддержки Производителя, а также видом сертификата технической поддержки).</w:t>
      </w:r>
    </w:p>
    <w:p>
      <w:pPr>
        <w:pStyle w:val="ListParagraph"/>
        <w:numPr>
          <w:ilvl w:val="1"/>
          <w:numId w:val="11"/>
        </w:numPr>
        <w:ind w:firstLine="426" w:start="0"/>
        <w:jc w:val="both"/>
        <w:rPr>
          <w:highlight w:val="none"/>
          <w:shd w:fill="auto" w:val="clear"/>
        </w:rPr>
      </w:pPr>
      <w:r>
        <w:rPr>
          <w:rFonts w:eastAsia="Calibri"/>
          <w:shd w:fill="auto" w:val="clear"/>
        </w:rPr>
        <w:t>Техническая поддержка предоставляется только по продуктам, используемым в строгом соответствии с требованиями эксплуатационной документации, в рекомендованных Производителем операционных системах и устройствах.</w:t>
      </w:r>
    </w:p>
    <w:p>
      <w:pPr>
        <w:pStyle w:val="ListParagraph"/>
        <w:ind w:start="426"/>
        <w:jc w:val="both"/>
        <w:rPr>
          <w:rFonts w:eastAsia="Calibri"/>
          <w:highlight w:val="none"/>
          <w:shd w:fill="auto" w:val="clear"/>
        </w:rPr>
      </w:pPr>
      <w:r>
        <w:rPr>
          <w:rFonts w:eastAsia="Calibri"/>
          <w:shd w:fill="auto" w:val="clear"/>
        </w:rPr>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комплекту документации ФСТЭК для поставки электронных идентификаторов</w:t>
      </w:r>
    </w:p>
    <w:p>
      <w:pPr>
        <w:pStyle w:val="Normal"/>
        <w:ind w:firstLine="360"/>
        <w:jc w:val="both"/>
        <w:rPr>
          <w:highlight w:val="none"/>
          <w:shd w:fill="auto" w:val="clear"/>
        </w:rPr>
      </w:pPr>
      <w:r>
        <w:rPr>
          <w:rFonts w:eastAsia="Calibri"/>
          <w:shd w:fill="auto" w:val="clear"/>
        </w:rPr>
        <w:t xml:space="preserve">В комплект поставки должен входить оригинальный комплект документации, оформленный и заверенный производителем (один комплект документации на всю партию товара). </w:t>
      </w:r>
    </w:p>
    <w:p>
      <w:pPr>
        <w:pStyle w:val="Normal"/>
        <w:ind w:firstLine="360"/>
        <w:jc w:val="both"/>
        <w:rPr>
          <w:highlight w:val="none"/>
          <w:shd w:fill="auto" w:val="clear"/>
        </w:rPr>
      </w:pPr>
      <w:r>
        <w:rPr>
          <w:rFonts w:eastAsia="Calibri"/>
          <w:shd w:fill="auto" w:val="clear"/>
        </w:rPr>
        <w:t xml:space="preserve">В список комплекта документации должны входить: </w:t>
      </w:r>
    </w:p>
    <w:p>
      <w:pPr>
        <w:pStyle w:val="Style94"/>
        <w:numPr>
          <w:ilvl w:val="0"/>
          <w:numId w:val="12"/>
        </w:numPr>
        <w:rPr>
          <w:highlight w:val="none"/>
          <w:shd w:fill="auto" w:val="clear"/>
        </w:rPr>
      </w:pPr>
      <w:r>
        <w:rPr>
          <w:rFonts w:eastAsia="Calibri"/>
          <w:shd w:fill="auto" w:val="clear"/>
        </w:rPr>
        <w:t xml:space="preserve">формуляр; сертификат подлинности с перечнем идентификаторов (серийных номеров); </w:t>
      </w:r>
    </w:p>
    <w:p>
      <w:pPr>
        <w:pStyle w:val="Style94"/>
        <w:numPr>
          <w:ilvl w:val="0"/>
          <w:numId w:val="12"/>
        </w:numPr>
        <w:rPr>
          <w:highlight w:val="none"/>
          <w:shd w:fill="auto" w:val="clear"/>
        </w:rPr>
      </w:pPr>
      <w:r>
        <w:rPr>
          <w:rFonts w:eastAsia="Calibri"/>
          <w:shd w:fill="auto" w:val="clear"/>
        </w:rPr>
        <w:t xml:space="preserve">копия сертификата соответствия ФСТЭК России; </w:t>
      </w:r>
    </w:p>
    <w:p>
      <w:pPr>
        <w:pStyle w:val="Style94"/>
        <w:numPr>
          <w:ilvl w:val="0"/>
          <w:numId w:val="12"/>
        </w:numPr>
        <w:rPr>
          <w:highlight w:val="none"/>
          <w:shd w:fill="auto" w:val="clear"/>
        </w:rPr>
      </w:pPr>
      <w:r>
        <w:rPr>
          <w:rFonts w:eastAsia="Calibri"/>
          <w:shd w:fill="auto" w:val="clear"/>
        </w:rPr>
        <w:t xml:space="preserve">СD-диск с комплектом документации в электронном виде. </w:t>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сертификату сервиса совместной технической поддержки для программного модуля доверенной загрузки</w:t>
      </w:r>
    </w:p>
    <w:p>
      <w:pPr>
        <w:pStyle w:val="ListParagraph"/>
        <w:numPr>
          <w:ilvl w:val="1"/>
          <w:numId w:val="11"/>
        </w:numPr>
        <w:ind w:firstLine="426" w:start="0"/>
        <w:jc w:val="both"/>
        <w:rPr>
          <w:highlight w:val="none"/>
          <w:shd w:fill="auto" w:val="clear"/>
        </w:rPr>
      </w:pPr>
      <w:r>
        <w:rPr>
          <w:rFonts w:eastAsia="Calibri"/>
          <w:shd w:fill="auto" w:val="clear"/>
        </w:rPr>
        <w:t>Техническая поддержка оказывается в соответствии с условиями предоставления услуги «Техническая поддержка» производителя, для программного модуля доверенной загрузки.</w:t>
      </w:r>
    </w:p>
    <w:p>
      <w:pPr>
        <w:pStyle w:val="ListParagraph"/>
        <w:numPr>
          <w:ilvl w:val="1"/>
          <w:numId w:val="11"/>
        </w:numPr>
        <w:ind w:firstLine="426" w:start="0"/>
        <w:jc w:val="both"/>
        <w:rPr>
          <w:highlight w:val="none"/>
          <w:shd w:fill="auto" w:val="clear"/>
        </w:rPr>
      </w:pPr>
      <w:r>
        <w:rPr>
          <w:rFonts w:eastAsia="Calibri"/>
          <w:shd w:fill="auto" w:val="clear"/>
        </w:rPr>
        <w:t>Техническая поддержка сроком действия 1 (один) год должна включать в себя следующие требования в отношении товара (позиция 3 раздела 3 настоящего технического задания):</w:t>
      </w:r>
    </w:p>
    <w:p>
      <w:pPr>
        <w:pStyle w:val="Style94"/>
        <w:numPr>
          <w:ilvl w:val="0"/>
          <w:numId w:val="12"/>
        </w:numPr>
        <w:rPr>
          <w:highlight w:val="none"/>
          <w:shd w:fill="auto" w:val="clear"/>
        </w:rPr>
      </w:pPr>
      <w:r>
        <w:rPr>
          <w:rFonts w:eastAsia="Calibri"/>
          <w:shd w:fill="auto" w:val="clear"/>
        </w:rPr>
        <w:t>предоставление обновлений (hotfix) через защищенное подключение к репозиториям разработчика, устраняющих дефекты, выявленные в продукте;</w:t>
      </w:r>
    </w:p>
    <w:p>
      <w:pPr>
        <w:pStyle w:val="Style94"/>
        <w:numPr>
          <w:ilvl w:val="0"/>
          <w:numId w:val="12"/>
        </w:numPr>
        <w:rPr>
          <w:highlight w:val="none"/>
          <w:shd w:fill="auto" w:val="clear"/>
        </w:rPr>
      </w:pPr>
      <w:r>
        <w:rPr>
          <w:rFonts w:eastAsia="Calibri"/>
          <w:shd w:fill="auto" w:val="clear"/>
        </w:rPr>
        <w:t>предоставление обновлений (hotfix) через защищенное подключение к репозиториям разработчика, а также все изменения, производимые в рамках актуальной версии продукта;</w:t>
      </w:r>
    </w:p>
    <w:p>
      <w:pPr>
        <w:pStyle w:val="Style94"/>
        <w:numPr>
          <w:ilvl w:val="0"/>
          <w:numId w:val="12"/>
        </w:numPr>
        <w:rPr>
          <w:highlight w:val="none"/>
          <w:shd w:fill="auto" w:val="clear"/>
        </w:rPr>
      </w:pPr>
      <w:r>
        <w:rPr>
          <w:rFonts w:eastAsia="Calibri"/>
          <w:shd w:fill="auto" w:val="clear"/>
        </w:rPr>
        <w:t>предоставление новых версий (изменение мажорной (MAJOR) версии, поколения) продуктов без взимания дополнительной платы (для ПАК — только программные компоненты);</w:t>
      </w:r>
    </w:p>
    <w:p>
      <w:pPr>
        <w:pStyle w:val="ListParagraph"/>
        <w:numPr>
          <w:ilvl w:val="0"/>
          <w:numId w:val="12"/>
        </w:numPr>
        <w:rPr>
          <w:highlight w:val="none"/>
          <w:shd w:fill="auto" w:val="clear"/>
        </w:rPr>
      </w:pPr>
      <w:r>
        <w:rPr>
          <w:rFonts w:eastAsia="Calibri"/>
          <w:bCs/>
          <w:color w:val="000000"/>
          <w:spacing w:val="-1"/>
          <w:shd w:fill="auto" w:val="clear"/>
        </w:rPr>
        <w:t>порядок получения обновлений в рамках технической поддержки осуществляется путем поставки дистрибутива с новой версией программного обеспечения;</w:t>
      </w:r>
    </w:p>
    <w:p>
      <w:pPr>
        <w:pStyle w:val="Style94"/>
        <w:numPr>
          <w:ilvl w:val="0"/>
          <w:numId w:val="12"/>
        </w:numPr>
        <w:rPr>
          <w:highlight w:val="none"/>
          <w:shd w:fill="auto" w:val="clear"/>
        </w:rPr>
      </w:pPr>
      <w:r>
        <w:rPr>
          <w:rFonts w:eastAsia="Calibri"/>
          <w:shd w:fill="auto" w:val="clear"/>
        </w:rPr>
        <w:t>восстановление работоспособности (ремонт) вышедшего из строя оборудования (аппаратной платформы ПАК) из состава Продуктов Заказчика в соответствии с гарантийными обязательствами Производителя, доставка не входит в стоимость;</w:t>
      </w:r>
    </w:p>
    <w:p>
      <w:pPr>
        <w:pStyle w:val="Style94"/>
        <w:numPr>
          <w:ilvl w:val="0"/>
          <w:numId w:val="12"/>
        </w:numPr>
        <w:rPr>
          <w:highlight w:val="none"/>
          <w:shd w:fill="auto" w:val="clear"/>
        </w:rPr>
      </w:pPr>
      <w:r>
        <w:rPr>
          <w:rFonts w:eastAsia="Calibri"/>
          <w:shd w:fill="auto" w:val="clear"/>
        </w:rPr>
        <w:t>получение рекомендаций по процессу установки продукта в объеме эксплуатационной документации;</w:t>
      </w:r>
    </w:p>
    <w:p>
      <w:pPr>
        <w:pStyle w:val="Style94"/>
        <w:numPr>
          <w:ilvl w:val="0"/>
          <w:numId w:val="12"/>
        </w:numPr>
        <w:rPr>
          <w:highlight w:val="none"/>
          <w:shd w:fill="auto" w:val="clear"/>
        </w:rPr>
      </w:pPr>
      <w:r>
        <w:rPr>
          <w:rFonts w:eastAsia="Calibri"/>
          <w:shd w:fill="auto" w:val="clear"/>
        </w:rPr>
        <w:t>получение рекомендаций по настройке продукта в объеме эксплуатационной документации;</w:t>
      </w:r>
    </w:p>
    <w:p>
      <w:pPr>
        <w:pStyle w:val="ListParagraph"/>
        <w:numPr>
          <w:ilvl w:val="0"/>
          <w:numId w:val="12"/>
        </w:numPr>
        <w:jc w:val="both"/>
        <w:rPr>
          <w:highlight w:val="none"/>
          <w:shd w:fill="auto" w:val="clear"/>
        </w:rPr>
      </w:pPr>
      <w:r>
        <w:rPr>
          <w:shd w:fill="auto" w:val="clear"/>
        </w:rPr>
        <w:t>оказание услуг осуществляется методом консультаций по электронной почте, телефону горячей линии;</w:t>
      </w:r>
    </w:p>
    <w:p>
      <w:pPr>
        <w:pStyle w:val="ListParagraph"/>
        <w:numPr>
          <w:ilvl w:val="0"/>
          <w:numId w:val="12"/>
        </w:numPr>
        <w:jc w:val="both"/>
        <w:rPr>
          <w:highlight w:val="none"/>
          <w:shd w:fill="auto" w:val="clear"/>
        </w:rPr>
      </w:pPr>
      <w:r>
        <w:rPr>
          <w:shd w:fill="auto" w:val="clear"/>
        </w:rPr>
        <w:t>оказание услуг осуществляется с 09:00 до 18:00 по времени Заказчика.</w:t>
      </w:r>
    </w:p>
    <w:p>
      <w:pPr>
        <w:pStyle w:val="ListParagraph"/>
        <w:jc w:val="both"/>
        <w:rPr>
          <w:highlight w:val="none"/>
          <w:shd w:fill="auto" w:val="clear"/>
        </w:rPr>
      </w:pPr>
      <w:r>
        <w:rPr>
          <w:shd w:fill="auto" w:val="clear"/>
        </w:rPr>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сертификату сервиса совместной технической поддержки для программного комплекса межсетевого экранирования и системы обнаружения вторжений</w:t>
      </w:r>
    </w:p>
    <w:p>
      <w:pPr>
        <w:pStyle w:val="ListParagraph"/>
        <w:numPr>
          <w:ilvl w:val="1"/>
          <w:numId w:val="11"/>
        </w:numPr>
        <w:ind w:firstLine="426" w:start="0"/>
        <w:jc w:val="both"/>
        <w:rPr>
          <w:highlight w:val="none"/>
          <w:shd w:fill="auto" w:val="clear"/>
        </w:rPr>
      </w:pPr>
      <w:r>
        <w:rPr>
          <w:rFonts w:eastAsia="Calibri"/>
          <w:shd w:fill="auto" w:val="clear"/>
        </w:rPr>
        <w:t>Техническая поддержка оказывается в соответствии с условиями предоставления услуги «Техническая поддержка» производителя, для программного комплекса межсетевого экранирования и системы обнаружения вторжений.</w:t>
      </w:r>
    </w:p>
    <w:p>
      <w:pPr>
        <w:pStyle w:val="ListParagraph"/>
        <w:numPr>
          <w:ilvl w:val="1"/>
          <w:numId w:val="11"/>
        </w:numPr>
        <w:ind w:firstLine="426" w:start="0"/>
        <w:jc w:val="both"/>
        <w:rPr>
          <w:highlight w:val="none"/>
          <w:shd w:fill="auto" w:val="clear"/>
        </w:rPr>
      </w:pPr>
      <w:r>
        <w:rPr>
          <w:rFonts w:eastAsia="Calibri"/>
          <w:shd w:fill="auto" w:val="clear"/>
        </w:rPr>
        <w:t>Техническая поддержка сроком действия 1 (один) год должна включать в себя следующие требования в отношении товара (позиция 4 раздела 3 настоящего технического задания):</w:t>
      </w:r>
    </w:p>
    <w:p>
      <w:pPr>
        <w:pStyle w:val="Style94"/>
        <w:numPr>
          <w:ilvl w:val="0"/>
          <w:numId w:val="12"/>
        </w:numPr>
        <w:rPr>
          <w:highlight w:val="none"/>
          <w:shd w:fill="auto" w:val="clear"/>
        </w:rPr>
      </w:pPr>
      <w:r>
        <w:rPr>
          <w:rFonts w:eastAsia="Calibri"/>
          <w:shd w:fill="auto" w:val="clear"/>
        </w:rPr>
        <w:t>предоставление обновлений (hotfix) через защищенное подключение к репозиториям разработчика, устраняющих дефекты, выявленные в продукте;</w:t>
      </w:r>
    </w:p>
    <w:p>
      <w:pPr>
        <w:pStyle w:val="Style94"/>
        <w:numPr>
          <w:ilvl w:val="0"/>
          <w:numId w:val="12"/>
        </w:numPr>
        <w:rPr>
          <w:highlight w:val="none"/>
          <w:shd w:fill="auto" w:val="clear"/>
        </w:rPr>
      </w:pPr>
      <w:r>
        <w:rPr>
          <w:rFonts w:eastAsia="Calibri"/>
          <w:shd w:fill="auto" w:val="clear"/>
        </w:rPr>
        <w:t>предоставление обновлений (hotfix) через защищенное подключение к репозиториям разработчика, а также все изменения, производимые в рамках актуальной версии продукта;</w:t>
      </w:r>
    </w:p>
    <w:p>
      <w:pPr>
        <w:pStyle w:val="Style94"/>
        <w:numPr>
          <w:ilvl w:val="0"/>
          <w:numId w:val="12"/>
        </w:numPr>
        <w:rPr>
          <w:highlight w:val="none"/>
          <w:shd w:fill="auto" w:val="clear"/>
        </w:rPr>
      </w:pPr>
      <w:r>
        <w:rPr>
          <w:rFonts w:eastAsia="Calibri"/>
          <w:shd w:fill="auto" w:val="clear"/>
        </w:rPr>
        <w:t>предоставление новых версий (изменение мажорной (MAJOR) версии, поколения) продуктов без взимания дополнительной платы (для ПАК — только программные компоненты);</w:t>
      </w:r>
    </w:p>
    <w:p>
      <w:pPr>
        <w:pStyle w:val="ListParagraph"/>
        <w:numPr>
          <w:ilvl w:val="0"/>
          <w:numId w:val="12"/>
        </w:numPr>
        <w:rPr>
          <w:highlight w:val="none"/>
          <w:shd w:fill="auto" w:val="clear"/>
        </w:rPr>
      </w:pPr>
      <w:r>
        <w:rPr>
          <w:rFonts w:eastAsia="Calibri"/>
          <w:bCs/>
          <w:color w:val="000000"/>
          <w:spacing w:val="-1"/>
          <w:shd w:fill="auto" w:val="clear"/>
        </w:rPr>
        <w:t>порядок получения обновлений в рамках технической поддержки осуществляется путем поставки дистрибутива с новой версией программного обеспечения;</w:t>
      </w:r>
    </w:p>
    <w:p>
      <w:pPr>
        <w:pStyle w:val="Style94"/>
        <w:numPr>
          <w:ilvl w:val="0"/>
          <w:numId w:val="12"/>
        </w:numPr>
        <w:rPr>
          <w:highlight w:val="none"/>
          <w:shd w:fill="auto" w:val="clear"/>
        </w:rPr>
      </w:pPr>
      <w:r>
        <w:rPr>
          <w:rFonts w:eastAsia="Calibri"/>
          <w:shd w:fill="auto" w:val="clear"/>
        </w:rPr>
        <w:t>восстановление работоспособности (ремонт) вышедшего из строя оборудования (аппаратной платформы ПАК) из состава Продуктов Заказчика в соответствии с гарантийными обязательствами Производителя, доставка не входит в стоимость;</w:t>
      </w:r>
    </w:p>
    <w:p>
      <w:pPr>
        <w:pStyle w:val="Style94"/>
        <w:numPr>
          <w:ilvl w:val="0"/>
          <w:numId w:val="12"/>
        </w:numPr>
        <w:rPr>
          <w:highlight w:val="none"/>
          <w:shd w:fill="auto" w:val="clear"/>
        </w:rPr>
      </w:pPr>
      <w:r>
        <w:rPr>
          <w:rFonts w:eastAsia="Calibri"/>
          <w:shd w:fill="auto" w:val="clear"/>
        </w:rPr>
        <w:t>получение рекомендаций по процессу установки продукта в объеме эксплуатационной документации;</w:t>
      </w:r>
    </w:p>
    <w:p>
      <w:pPr>
        <w:pStyle w:val="Style94"/>
        <w:numPr>
          <w:ilvl w:val="0"/>
          <w:numId w:val="12"/>
        </w:numPr>
        <w:rPr>
          <w:highlight w:val="none"/>
          <w:shd w:fill="auto" w:val="clear"/>
        </w:rPr>
      </w:pPr>
      <w:r>
        <w:rPr>
          <w:rFonts w:eastAsia="Calibri"/>
          <w:shd w:fill="auto" w:val="clear"/>
        </w:rPr>
        <w:t>получение рекомендаций по настройке продукта в объеме эксплуатационной документации;</w:t>
      </w:r>
    </w:p>
    <w:p>
      <w:pPr>
        <w:pStyle w:val="ListParagraph"/>
        <w:numPr>
          <w:ilvl w:val="0"/>
          <w:numId w:val="12"/>
        </w:numPr>
        <w:jc w:val="both"/>
        <w:rPr>
          <w:highlight w:val="none"/>
          <w:shd w:fill="auto" w:val="clear"/>
        </w:rPr>
      </w:pPr>
      <w:r>
        <w:rPr>
          <w:shd w:fill="auto" w:val="clear"/>
        </w:rPr>
        <w:t>оказание услуг осуществляется методом консультаций по электронной почте, телефону горячей линии;</w:t>
      </w:r>
    </w:p>
    <w:p>
      <w:pPr>
        <w:pStyle w:val="ListParagraph"/>
        <w:numPr>
          <w:ilvl w:val="0"/>
          <w:numId w:val="12"/>
        </w:numPr>
        <w:jc w:val="both"/>
        <w:rPr>
          <w:highlight w:val="none"/>
          <w:shd w:fill="auto" w:val="clear"/>
        </w:rPr>
      </w:pPr>
      <w:r>
        <w:rPr>
          <w:shd w:fill="auto" w:val="clear"/>
        </w:rPr>
        <w:t>оказание услуг осуществляется с 09:00 до 18:00 по времени Заказчика.</w:t>
      </w:r>
    </w:p>
    <w:p>
      <w:pPr>
        <w:pStyle w:val="ListParagraph"/>
        <w:spacing w:before="280" w:after="0"/>
        <w:ind w:start="360"/>
        <w:contextualSpacing/>
        <w:jc w:val="both"/>
        <w:rPr>
          <w:rFonts w:eastAsia="Calibri"/>
          <w:b/>
          <w:highlight w:val="none"/>
          <w:shd w:fill="auto" w:val="clear"/>
        </w:rPr>
      </w:pPr>
      <w:r>
        <w:rPr>
          <w:rFonts w:eastAsia="Calibri"/>
          <w:b/>
          <w:shd w:fill="auto" w:val="clear"/>
        </w:rPr>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установочному комплекту с дистрибутивом последней сертифицированной версии программного средства криптографической защиты информации для ОС Linux с сертификационными документами</w:t>
      </w:r>
    </w:p>
    <w:p>
      <w:pPr>
        <w:pStyle w:val="Normal"/>
        <w:ind w:firstLine="360"/>
        <w:jc w:val="both"/>
        <w:rPr>
          <w:highlight w:val="none"/>
          <w:shd w:fill="auto" w:val="clear"/>
        </w:rPr>
      </w:pPr>
      <w:r>
        <w:rPr>
          <w:rFonts w:eastAsia="Calibri"/>
          <w:shd w:fill="auto" w:val="clear"/>
        </w:rPr>
        <w:t>Установочный комплект (дистрибутив) должен содержать:</w:t>
      </w:r>
    </w:p>
    <w:p>
      <w:pPr>
        <w:pStyle w:val="Style94"/>
        <w:numPr>
          <w:ilvl w:val="0"/>
          <w:numId w:val="12"/>
        </w:numPr>
        <w:rPr>
          <w:highlight w:val="none"/>
          <w:shd w:fill="auto" w:val="clear"/>
        </w:rPr>
      </w:pPr>
      <w:r>
        <w:rPr>
          <w:rFonts w:eastAsia="Calibri"/>
          <w:shd w:fill="auto" w:val="clear"/>
        </w:rPr>
        <w:t>Диск с дистрибутивом и эксплуатационной документацией, в том числе руководством пользователя, руководством администратора, документацией по настройке и электронной копией сертификата соответствия ФСБ;</w:t>
      </w:r>
    </w:p>
    <w:p>
      <w:pPr>
        <w:pStyle w:val="Style94"/>
        <w:numPr>
          <w:ilvl w:val="0"/>
          <w:numId w:val="12"/>
        </w:numPr>
        <w:rPr>
          <w:highlight w:val="none"/>
          <w:shd w:fill="auto" w:val="clear"/>
        </w:rPr>
      </w:pPr>
      <w:r>
        <w:rPr>
          <w:rFonts w:eastAsia="Calibri"/>
          <w:shd w:fill="auto" w:val="clear"/>
        </w:rPr>
        <w:t>Формуляр.</w:t>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 xml:space="preserve">Требования к установочному комплекту с дистрибутивом последней сертифицированной версии программного комплекса </w:t>
      </w:r>
      <w:r>
        <w:rPr>
          <w:rFonts w:eastAsia="Calibri"/>
          <w:b/>
          <w:shd w:fill="auto" w:val="clear"/>
          <w:lang w:val="en-US"/>
        </w:rPr>
        <w:t>PKI</w:t>
      </w:r>
      <w:r>
        <w:rPr>
          <w:rFonts w:eastAsia="Calibri"/>
          <w:b/>
          <w:shd w:fill="auto" w:val="clear"/>
        </w:rPr>
        <w:t>-клиент с сертификационными документами</w:t>
      </w:r>
    </w:p>
    <w:p>
      <w:pPr>
        <w:pStyle w:val="Normal"/>
        <w:ind w:firstLine="360"/>
        <w:jc w:val="both"/>
        <w:rPr>
          <w:highlight w:val="none"/>
          <w:shd w:fill="auto" w:val="clear"/>
        </w:rPr>
      </w:pPr>
      <w:r>
        <w:rPr>
          <w:rFonts w:eastAsia="Calibri"/>
          <w:shd w:fill="auto" w:val="clear"/>
        </w:rPr>
        <w:t>Установочный комплект (дистрибутив) должен содержать:</w:t>
      </w:r>
    </w:p>
    <w:p>
      <w:pPr>
        <w:pStyle w:val="Style94"/>
        <w:numPr>
          <w:ilvl w:val="0"/>
          <w:numId w:val="12"/>
        </w:numPr>
        <w:rPr>
          <w:highlight w:val="none"/>
          <w:shd w:fill="auto" w:val="clear"/>
        </w:rPr>
      </w:pPr>
      <w:r>
        <w:rPr>
          <w:rFonts w:eastAsia="Calibri"/>
          <w:shd w:fill="auto" w:val="clear"/>
        </w:rPr>
        <w:t>Диск с дистрибутивом и эксплуатационной документацией, в том числе руководством пользователя, руководством администратора, документацией по настройке и электронной копией сертификата соответствия ФСБ России;</w:t>
      </w:r>
    </w:p>
    <w:p>
      <w:pPr>
        <w:pStyle w:val="Style94"/>
        <w:numPr>
          <w:ilvl w:val="0"/>
          <w:numId w:val="12"/>
        </w:numPr>
        <w:rPr>
          <w:highlight w:val="none"/>
          <w:shd w:fill="auto" w:val="clear"/>
        </w:rPr>
      </w:pPr>
      <w:r>
        <w:rPr>
          <w:rFonts w:eastAsia="Calibri"/>
          <w:shd w:fill="auto" w:val="clear"/>
        </w:rPr>
        <w:t>Формуляр.</w:t>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установочному комплекту с дистрибутивом последней сертифицированной версии программного модуля доверенной загрузки с сертификационными документами</w:t>
      </w:r>
    </w:p>
    <w:p>
      <w:pPr>
        <w:pStyle w:val="Normal"/>
        <w:ind w:firstLine="360"/>
        <w:jc w:val="both"/>
        <w:rPr>
          <w:highlight w:val="none"/>
          <w:shd w:fill="auto" w:val="clear"/>
        </w:rPr>
      </w:pPr>
      <w:r>
        <w:rPr>
          <w:rFonts w:eastAsia="Calibri"/>
          <w:shd w:fill="auto" w:val="clear"/>
        </w:rPr>
        <w:t>Установочный комплект (дистрибутив) должен содержать:</w:t>
      </w:r>
    </w:p>
    <w:p>
      <w:pPr>
        <w:pStyle w:val="Style94"/>
        <w:numPr>
          <w:ilvl w:val="0"/>
          <w:numId w:val="12"/>
        </w:numPr>
        <w:rPr>
          <w:highlight w:val="none"/>
          <w:shd w:fill="auto" w:val="clear"/>
        </w:rPr>
      </w:pPr>
      <w:r>
        <w:rPr>
          <w:rFonts w:eastAsia="Calibri"/>
          <w:shd w:fill="auto" w:val="clear"/>
        </w:rPr>
        <w:t>Диск с дистрибутивом и эксплуатационной документацией, в том числе руководством пользователя, руководством администратора, документацией по настройке и электронной копией сертификата соответствия ФСТЭК России;</w:t>
      </w:r>
    </w:p>
    <w:p>
      <w:pPr>
        <w:pStyle w:val="Style94"/>
        <w:numPr>
          <w:ilvl w:val="0"/>
          <w:numId w:val="12"/>
        </w:numPr>
        <w:rPr>
          <w:highlight w:val="none"/>
          <w:shd w:fill="auto" w:val="clear"/>
        </w:rPr>
      </w:pPr>
      <w:r>
        <w:rPr>
          <w:rFonts w:eastAsia="Calibri"/>
          <w:shd w:fill="auto" w:val="clear"/>
        </w:rPr>
        <w:t>Формуляр.</w:t>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установочному комплекту с дистрибутивом последней сертифицированной версии программного комплекса межсетевого экранирования и системы обнаружения вторжений с сертификационными документами</w:t>
      </w:r>
    </w:p>
    <w:p>
      <w:pPr>
        <w:pStyle w:val="Normal"/>
        <w:ind w:firstLine="360"/>
        <w:jc w:val="both"/>
        <w:rPr>
          <w:highlight w:val="none"/>
          <w:shd w:fill="auto" w:val="clear"/>
        </w:rPr>
      </w:pPr>
      <w:r>
        <w:rPr>
          <w:rFonts w:eastAsia="Calibri"/>
          <w:shd w:fill="auto" w:val="clear"/>
        </w:rPr>
        <w:t>Установочный комплект (дистрибутив) должен содержать:</w:t>
      </w:r>
    </w:p>
    <w:p>
      <w:pPr>
        <w:pStyle w:val="Style94"/>
        <w:numPr>
          <w:ilvl w:val="0"/>
          <w:numId w:val="12"/>
        </w:numPr>
        <w:rPr>
          <w:highlight w:val="none"/>
          <w:shd w:fill="auto" w:val="clear"/>
        </w:rPr>
      </w:pPr>
      <w:r>
        <w:rPr>
          <w:rFonts w:eastAsia="Calibri"/>
          <w:shd w:fill="auto" w:val="clear"/>
        </w:rPr>
        <w:t>Диск с дистрибутивом и эксплуатационной документацией, в том числе руководством пользователя, руководством администратора, документацией по настройке и электронной копией сертификата соответствия ФСТЭК России;</w:t>
      </w:r>
    </w:p>
    <w:p>
      <w:pPr>
        <w:pStyle w:val="Style94"/>
        <w:numPr>
          <w:ilvl w:val="0"/>
          <w:numId w:val="12"/>
        </w:numPr>
        <w:rPr>
          <w:highlight w:val="none"/>
          <w:shd w:fill="auto" w:val="clear"/>
        </w:rPr>
      </w:pPr>
      <w:bookmarkStart w:id="32" w:name="_Hlk221118287"/>
      <w:r>
        <w:rPr>
          <w:rFonts w:eastAsia="Calibri"/>
          <w:shd w:fill="auto" w:val="clear"/>
        </w:rPr>
        <w:t>Формуляр.</w:t>
      </w:r>
      <w:bookmarkEnd w:id="32"/>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установочному комплекту с дистрибутивом последней сертифицированной версии программного комплекса управления VPN-сетью с сертификационными документами</w:t>
      </w:r>
    </w:p>
    <w:p>
      <w:pPr>
        <w:pStyle w:val="Normal"/>
        <w:ind w:firstLine="426"/>
        <w:jc w:val="both"/>
        <w:rPr>
          <w:highlight w:val="none"/>
          <w:shd w:fill="auto" w:val="clear"/>
        </w:rPr>
      </w:pPr>
      <w:r>
        <w:rPr>
          <w:shd w:fill="auto" w:val="clear"/>
        </w:rPr>
        <w:t>Установочный комплект (дистрибутив) должен содержать:</w:t>
      </w:r>
    </w:p>
    <w:p>
      <w:pPr>
        <w:pStyle w:val="ListParagraph"/>
        <w:numPr>
          <w:ilvl w:val="0"/>
          <w:numId w:val="12"/>
        </w:numPr>
        <w:jc w:val="both"/>
        <w:rPr>
          <w:highlight w:val="none"/>
          <w:shd w:fill="auto" w:val="clear"/>
        </w:rPr>
      </w:pPr>
      <w:r>
        <w:rPr>
          <w:shd w:fill="auto" w:val="clear"/>
        </w:rPr>
        <w:t>Диск с дистрибутивом и эксплуатационной документацией, в том числе руководством пользователя, руководством администратора, документацией по настройке и электронной копией сертификата соответствия ФСБ;</w:t>
      </w:r>
    </w:p>
    <w:p>
      <w:pPr>
        <w:pStyle w:val="ListParagraph"/>
        <w:numPr>
          <w:ilvl w:val="0"/>
          <w:numId w:val="12"/>
        </w:numPr>
        <w:spacing w:before="0" w:after="200"/>
        <w:contextualSpacing/>
        <w:jc w:val="both"/>
        <w:rPr>
          <w:highlight w:val="none"/>
          <w:shd w:fill="auto" w:val="clear"/>
        </w:rPr>
      </w:pPr>
      <w:r>
        <w:rPr>
          <w:shd w:fill="auto" w:val="clear"/>
        </w:rPr>
        <w:t>Формуляр.</w:t>
      </w:r>
    </w:p>
    <w:p>
      <w:pPr>
        <w:pStyle w:val="ListParagraph"/>
        <w:jc w:val="both"/>
        <w:rPr>
          <w:highlight w:val="none"/>
          <w:shd w:fill="auto" w:val="clear"/>
        </w:rPr>
      </w:pPr>
      <w:r>
        <w:rPr>
          <w:shd w:fill="auto" w:val="clear"/>
        </w:rPr>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установочному комплекту с дистрибутивом последней сертифицированной версии программного средства антивирусной защиты</w:t>
      </w:r>
    </w:p>
    <w:p>
      <w:pPr>
        <w:pStyle w:val="Normal"/>
        <w:ind w:firstLine="360"/>
        <w:jc w:val="both"/>
        <w:rPr>
          <w:highlight w:val="none"/>
          <w:shd w:fill="auto" w:val="clear"/>
        </w:rPr>
      </w:pPr>
      <w:r>
        <w:rPr>
          <w:rFonts w:eastAsia="Calibri"/>
          <w:shd w:fill="auto" w:val="clear"/>
        </w:rPr>
        <w:t>Установочный комплект должен содержать:</w:t>
      </w:r>
    </w:p>
    <w:p>
      <w:pPr>
        <w:pStyle w:val="Style94"/>
        <w:numPr>
          <w:ilvl w:val="0"/>
          <w:numId w:val="12"/>
        </w:numPr>
        <w:rPr>
          <w:highlight w:val="none"/>
          <w:shd w:fill="auto" w:val="clear"/>
        </w:rPr>
      </w:pPr>
      <w:r>
        <w:rPr>
          <w:rFonts w:eastAsia="Calibri"/>
          <w:shd w:fill="auto" w:val="clear"/>
        </w:rPr>
        <w:t>Диск с дистрибутивом;</w:t>
      </w:r>
    </w:p>
    <w:p>
      <w:pPr>
        <w:pStyle w:val="Style94"/>
        <w:numPr>
          <w:ilvl w:val="0"/>
          <w:numId w:val="12"/>
        </w:numPr>
        <w:rPr>
          <w:highlight w:val="none"/>
          <w:shd w:fill="auto" w:val="clear"/>
        </w:rPr>
      </w:pPr>
      <w:r>
        <w:rPr>
          <w:rFonts w:eastAsia="Calibri"/>
          <w:shd w:fill="auto" w:val="clear"/>
        </w:rPr>
        <w:t>Формуляр;</w:t>
      </w:r>
    </w:p>
    <w:p>
      <w:pPr>
        <w:pStyle w:val="Style94"/>
        <w:numPr>
          <w:ilvl w:val="0"/>
          <w:numId w:val="12"/>
        </w:numPr>
        <w:rPr>
          <w:highlight w:val="none"/>
          <w:shd w:fill="auto" w:val="clear"/>
        </w:rPr>
      </w:pPr>
      <w:bookmarkStart w:id="33" w:name="_Hlk221118213"/>
      <w:r>
        <w:rPr>
          <w:rFonts w:eastAsia="Calibri"/>
          <w:shd w:fill="auto" w:val="clear"/>
        </w:rPr>
        <w:t>Копию сертификата ФСТЭК России.</w:t>
      </w:r>
      <w:bookmarkEnd w:id="33"/>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Услуги в рамках настоящего технического задания должны оказываться в соответствии со следующими нормативными правовыми актами, нормативными документами и методическими материалами:</w:t>
      </w:r>
    </w:p>
    <w:p>
      <w:pPr>
        <w:pStyle w:val="Style94"/>
        <w:rPr>
          <w:highlight w:val="none"/>
          <w:shd w:fill="auto" w:val="clear"/>
        </w:rPr>
      </w:pPr>
      <w:r>
        <w:rPr>
          <w:shd w:fill="auto" w:val="clear"/>
        </w:rPr>
        <w:t>Федеральный закон от 27.06.2006 г. № 149-ФЗ «Об информации, информационных технологиях и о защите информации»;</w:t>
      </w:r>
    </w:p>
    <w:p>
      <w:pPr>
        <w:pStyle w:val="Style94"/>
        <w:rPr>
          <w:highlight w:val="none"/>
          <w:shd w:fill="auto" w:val="clear"/>
        </w:rPr>
      </w:pPr>
      <w:r>
        <w:rPr>
          <w:shd w:fill="auto" w:val="clear"/>
        </w:rPr>
        <w:t>Приказ ФСТЭК России от 11 апреля 2025 г. № 117 «Об утверждении требований 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w:t>
      </w:r>
    </w:p>
    <w:p>
      <w:pPr>
        <w:pStyle w:val="Style94"/>
        <w:rPr>
          <w:highlight w:val="none"/>
          <w:shd w:fill="auto" w:val="clear"/>
        </w:rPr>
      </w:pPr>
      <w:r>
        <w:rPr>
          <w:shd w:fill="auto" w:val="clear"/>
        </w:rPr>
        <w:t>Приказ ФСТЭК России от 14 марта 2014 г. № 31 «Об утверждении требований к обеспечению защиты информации в автоматизированных системах управления производственными и технологическими процессами на критически важных объектах, потенциально опасных объектах, а также объектах, представляющих повышенную опасность для жизни и здоровья людей и для окружающей природной среды»;</w:t>
      </w:r>
    </w:p>
    <w:p>
      <w:pPr>
        <w:pStyle w:val="Style94"/>
        <w:rPr>
          <w:highlight w:val="none"/>
          <w:shd w:fill="auto" w:val="clear"/>
        </w:rPr>
      </w:pPr>
      <w:r>
        <w:rPr>
          <w:shd w:fill="auto" w:val="clear"/>
        </w:rPr>
        <w:t xml:space="preserve">Приказ Федеральной службы по техническому и экспортному контролю от 29.04.2021 </w:t>
        <w:br/>
        <w:t>№ 77 «Об утверждении Порядка организации и проведения работ по аттестации объектов информатизации на соответствие требованиям о защите информации ограниченного доступа, не составляющей государственную тайну»;</w:t>
      </w:r>
    </w:p>
    <w:p>
      <w:pPr>
        <w:pStyle w:val="Style94"/>
        <w:rPr>
          <w:highlight w:val="none"/>
          <w:shd w:fill="auto" w:val="clear"/>
        </w:rPr>
      </w:pPr>
      <w:r>
        <w:rPr>
          <w:shd w:fill="auto" w:val="clear"/>
        </w:rPr>
        <w:t>Методический документ «Состав и содержание мероприятий и мер по защите информации, содержащейся в информационных системах», утвержденный ФСТЭК России 12 апреля 2026 года;</w:t>
      </w:r>
    </w:p>
    <w:p>
      <w:pPr>
        <w:pStyle w:val="Style94"/>
        <w:rPr>
          <w:highlight w:val="none"/>
          <w:shd w:fill="auto" w:val="clear"/>
        </w:rPr>
      </w:pPr>
      <w:r>
        <w:rPr>
          <w:shd w:fill="auto" w:val="clear"/>
        </w:rPr>
        <w:t xml:space="preserve">Приказ ФАПСИ России от 13.06.2001 года № 152 «Об утверждении инструкции об организации и обеспечении безопасности хранения, обработки и передачи по каналам связи с использованием средств криптографической защиты информации с ограниченным доступом, не содержащей сведений, составляющих государственную тайну»; </w:t>
      </w:r>
    </w:p>
    <w:p>
      <w:pPr>
        <w:pStyle w:val="Style94"/>
        <w:rPr>
          <w:highlight w:val="none"/>
          <w:shd w:fill="auto" w:val="clear"/>
        </w:rPr>
      </w:pPr>
      <w:r>
        <w:rPr>
          <w:shd w:fill="auto" w:val="clear"/>
        </w:rPr>
        <w:t xml:space="preserve">Методический документ «Методика оценки угроз безопасности информации» (утв. ФСТЭК России 05.02.2021 года); </w:t>
      </w:r>
    </w:p>
    <w:p>
      <w:pPr>
        <w:pStyle w:val="Style94"/>
        <w:rPr>
          <w:highlight w:val="none"/>
          <w:shd w:fill="auto" w:val="clear"/>
        </w:rPr>
      </w:pPr>
      <w:r>
        <w:rPr>
          <w:shd w:fill="auto" w:val="clear"/>
        </w:rPr>
        <w:t>ГОСТ Р 52069.0-2013 «Защита информации. Система стандартов. Основные положения»;</w:t>
      </w:r>
    </w:p>
    <w:p>
      <w:pPr>
        <w:pStyle w:val="Style94"/>
        <w:rPr>
          <w:highlight w:val="none"/>
          <w:shd w:fill="auto" w:val="clear"/>
        </w:rPr>
      </w:pPr>
      <w:r>
        <w:rPr>
          <w:shd w:fill="auto" w:val="clear"/>
        </w:rPr>
        <w:t>ГОСТ Р 59795-2021 «Автоматизированные системы. Требования к содержанию документов»;</w:t>
      </w:r>
    </w:p>
    <w:p>
      <w:pPr>
        <w:pStyle w:val="Style94"/>
        <w:rPr>
          <w:highlight w:val="none"/>
          <w:shd w:fill="auto" w:val="clear"/>
        </w:rPr>
      </w:pPr>
      <w:r>
        <w:rPr>
          <w:shd w:fill="auto" w:val="clear"/>
        </w:rPr>
        <w:t>ГОСТ 2.102-2013 «Единая система конструкторской документации. Виды и комплектность конструкторских документов» (в части требований к видам и комплектности технической документации);</w:t>
      </w:r>
    </w:p>
    <w:p>
      <w:pPr>
        <w:pStyle w:val="Style94"/>
        <w:rPr>
          <w:highlight w:val="none"/>
          <w:shd w:fill="auto" w:val="clear"/>
        </w:rPr>
      </w:pPr>
      <w:r>
        <w:rPr>
          <w:shd w:fill="auto" w:val="clear"/>
        </w:rPr>
        <w:t>ГОСТ Р 7.0.97-2016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p>
      <w:pPr>
        <w:pStyle w:val="Style94"/>
        <w:rPr>
          <w:highlight w:val="none"/>
          <w:shd w:fill="auto" w:val="clear"/>
        </w:rPr>
      </w:pPr>
      <w:r>
        <w:rPr>
          <w:shd w:fill="auto" w:val="clear"/>
        </w:rPr>
        <w:t>Банк данных угроз безопасности информации ФСТЭК России (bdu.fstec.ru).</w:t>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оказанию услуг по разработке организационно-распорядительных документов по требованиям ФСТЭК для информационной системы «РСОН»</w:t>
      </w:r>
    </w:p>
    <w:p>
      <w:pPr>
        <w:pStyle w:val="ListParagraph"/>
        <w:numPr>
          <w:ilvl w:val="1"/>
          <w:numId w:val="11"/>
        </w:numPr>
        <w:ind w:firstLine="426" w:start="0"/>
        <w:jc w:val="both"/>
        <w:rPr>
          <w:highlight w:val="none"/>
          <w:shd w:fill="auto" w:val="clear"/>
        </w:rPr>
      </w:pPr>
      <w:r>
        <w:rPr>
          <w:rFonts w:eastAsia="Calibri"/>
          <w:shd w:fill="auto" w:val="clear"/>
        </w:rPr>
        <w:t>В ходе оказания услуг по разработке организационно-распорядительных документов должна быть разработана следующая документация, применительно к Региональной системе оповещения населения Приморского края:</w:t>
      </w:r>
    </w:p>
    <w:p>
      <w:pPr>
        <w:pStyle w:val="ListParagraph"/>
        <w:numPr>
          <w:ilvl w:val="0"/>
          <w:numId w:val="12"/>
        </w:numPr>
        <w:spacing w:before="0" w:after="200"/>
        <w:contextualSpacing/>
        <w:jc w:val="both"/>
        <w:rPr>
          <w:highlight w:val="none"/>
          <w:shd w:fill="auto" w:val="clear"/>
        </w:rPr>
      </w:pPr>
      <w:r>
        <w:rPr>
          <w:shd w:fill="auto" w:val="clear"/>
        </w:rPr>
        <w:t>приказ о необходимости защиты информации;</w:t>
      </w:r>
    </w:p>
    <w:p>
      <w:pPr>
        <w:pStyle w:val="ListParagraph"/>
        <w:numPr>
          <w:ilvl w:val="0"/>
          <w:numId w:val="12"/>
        </w:numPr>
        <w:jc w:val="both"/>
        <w:rPr>
          <w:highlight w:val="none"/>
          <w:shd w:fill="auto" w:val="clear"/>
        </w:rPr>
      </w:pPr>
      <w:r>
        <w:rPr>
          <w:shd w:fill="auto" w:val="clear"/>
        </w:rPr>
        <w:t>инструкция пользователя, содержащая:</w:t>
      </w:r>
    </w:p>
    <w:p>
      <w:pPr>
        <w:pStyle w:val="Style94"/>
        <w:rPr>
          <w:highlight w:val="none"/>
          <w:shd w:fill="auto" w:val="clear"/>
        </w:rPr>
      </w:pPr>
      <w:r>
        <w:rPr>
          <w:shd w:fill="auto" w:val="clear"/>
        </w:rPr>
        <w:t>общие обязанности пользователя по защите информации;</w:t>
      </w:r>
    </w:p>
    <w:p>
      <w:pPr>
        <w:pStyle w:val="Style94"/>
        <w:rPr>
          <w:highlight w:val="none"/>
          <w:shd w:fill="auto" w:val="clear"/>
        </w:rPr>
      </w:pPr>
      <w:r>
        <w:rPr>
          <w:shd w:fill="auto" w:val="clear"/>
        </w:rPr>
        <w:t>правила управления идентификаторами, учетными записями и паролями;</w:t>
      </w:r>
    </w:p>
    <w:p>
      <w:pPr>
        <w:pStyle w:val="Style94"/>
        <w:rPr>
          <w:highlight w:val="none"/>
          <w:shd w:fill="auto" w:val="clear"/>
        </w:rPr>
      </w:pPr>
      <w:r>
        <w:rPr>
          <w:shd w:fill="auto" w:val="clear"/>
        </w:rPr>
        <w:t>правила работы со съемными носителями информации;</w:t>
      </w:r>
    </w:p>
    <w:p>
      <w:pPr>
        <w:pStyle w:val="Style94"/>
        <w:rPr>
          <w:highlight w:val="none"/>
          <w:shd w:fill="auto" w:val="clear"/>
        </w:rPr>
      </w:pPr>
      <w:r>
        <w:rPr>
          <w:shd w:fill="auto" w:val="clear"/>
        </w:rPr>
        <w:t xml:space="preserve">описание всех доступных функций, задач (комплексов задач), процедур; </w:t>
      </w:r>
    </w:p>
    <w:p>
      <w:pPr>
        <w:pStyle w:val="Style94"/>
        <w:rPr>
          <w:highlight w:val="none"/>
          <w:shd w:fill="auto" w:val="clear"/>
        </w:rPr>
      </w:pPr>
      <w:r>
        <w:rPr>
          <w:shd w:fill="auto" w:val="clear"/>
        </w:rPr>
        <w:t>описание операций технологического процесса обработки данных, необходимых для выполнения функций, задач (комплексов задач), процедур</w:t>
      </w:r>
    </w:p>
    <w:p>
      <w:pPr>
        <w:pStyle w:val="Style94"/>
        <w:rPr>
          <w:highlight w:val="none"/>
          <w:shd w:fill="auto" w:val="clear"/>
        </w:rPr>
      </w:pPr>
      <w:r>
        <w:rPr>
          <w:shd w:fill="auto" w:val="clear"/>
        </w:rPr>
        <w:t xml:space="preserve">действия в случае обнаружения признаков несанкционированного доступа; </w:t>
      </w:r>
    </w:p>
    <w:p>
      <w:pPr>
        <w:pStyle w:val="Style94"/>
        <w:rPr>
          <w:highlight w:val="none"/>
          <w:shd w:fill="auto" w:val="clear"/>
        </w:rPr>
      </w:pPr>
      <w:r>
        <w:rPr>
          <w:shd w:fill="auto" w:val="clear"/>
        </w:rPr>
        <w:t>действия в аварийных ситуациях</w:t>
      </w:r>
    </w:p>
    <w:p>
      <w:pPr>
        <w:pStyle w:val="ListParagraph"/>
        <w:numPr>
          <w:ilvl w:val="0"/>
          <w:numId w:val="12"/>
        </w:numPr>
        <w:jc w:val="both"/>
        <w:rPr>
          <w:highlight w:val="none"/>
          <w:shd w:fill="auto" w:val="clear"/>
        </w:rPr>
      </w:pPr>
      <w:r>
        <w:rPr>
          <w:shd w:fill="auto" w:val="clear"/>
        </w:rPr>
        <w:t>политика информационной безопасности, содержащая:</w:t>
      </w:r>
    </w:p>
    <w:p>
      <w:pPr>
        <w:pStyle w:val="Style94"/>
        <w:rPr>
          <w:highlight w:val="none"/>
          <w:shd w:fill="auto" w:val="clear"/>
        </w:rPr>
      </w:pPr>
      <w:r>
        <w:rPr>
          <w:shd w:fill="auto" w:val="clear"/>
        </w:rPr>
        <w:t>цели и принципы обеспечения защиты информации;</w:t>
      </w:r>
    </w:p>
    <w:p>
      <w:pPr>
        <w:pStyle w:val="Style94"/>
        <w:rPr>
          <w:highlight w:val="none"/>
          <w:shd w:fill="auto" w:val="clear"/>
        </w:rPr>
      </w:pPr>
      <w:r>
        <w:rPr>
          <w:shd w:fill="auto" w:val="clear"/>
        </w:rPr>
        <w:t>перечни объектов защиты, включая программные, программно-аппаратные средства, информационные системы, сети и подсети, образующие информационно-телекоммуникационную инфраструктуру;</w:t>
      </w:r>
    </w:p>
    <w:p>
      <w:pPr>
        <w:pStyle w:val="Style94"/>
        <w:rPr>
          <w:highlight w:val="none"/>
          <w:shd w:fill="auto" w:val="clear"/>
        </w:rPr>
      </w:pPr>
      <w:r>
        <w:rPr>
          <w:shd w:fill="auto" w:val="clear"/>
        </w:rPr>
        <w:t>категории лиц, участвующих в защите информации, их обязанности (функции), роли и полномочия;</w:t>
      </w:r>
    </w:p>
    <w:p>
      <w:pPr>
        <w:pStyle w:val="Style94"/>
        <w:rPr>
          <w:highlight w:val="none"/>
          <w:shd w:fill="auto" w:val="clear"/>
        </w:rPr>
      </w:pPr>
      <w:r>
        <w:rPr>
          <w:shd w:fill="auto" w:val="clear"/>
        </w:rPr>
        <w:t>политика управления доступом;</w:t>
      </w:r>
    </w:p>
    <w:p>
      <w:pPr>
        <w:pStyle w:val="Style94"/>
        <w:rPr>
          <w:highlight w:val="none"/>
          <w:shd w:fill="auto" w:val="clear"/>
        </w:rPr>
      </w:pPr>
      <w:r>
        <w:rPr>
          <w:shd w:fill="auto" w:val="clear"/>
        </w:rPr>
        <w:t>политика использования ИТ-ресурсов;</w:t>
      </w:r>
    </w:p>
    <w:p>
      <w:pPr>
        <w:pStyle w:val="Style94"/>
        <w:rPr>
          <w:highlight w:val="none"/>
          <w:shd w:fill="auto" w:val="clear"/>
        </w:rPr>
      </w:pPr>
      <w:r>
        <w:rPr>
          <w:shd w:fill="auto" w:val="clear"/>
        </w:rPr>
        <w:t>правила и процедуры выявления, анализа и устранения уязвимостей;</w:t>
      </w:r>
    </w:p>
    <w:p>
      <w:pPr>
        <w:pStyle w:val="Style94"/>
        <w:rPr>
          <w:highlight w:val="none"/>
          <w:shd w:fill="auto" w:val="clear"/>
        </w:rPr>
      </w:pPr>
      <w:r>
        <w:rPr>
          <w:shd w:fill="auto" w:val="clear"/>
        </w:rPr>
        <w:t>правила и процедуры резервирования технических средств, программного обеспечения, баз данных, средств защиты информации и их восстановления при возникновении нештатных ситуаций;</w:t>
      </w:r>
    </w:p>
    <w:p>
      <w:pPr>
        <w:pStyle w:val="Style94"/>
        <w:rPr>
          <w:highlight w:val="none"/>
          <w:shd w:fill="auto" w:val="clear"/>
        </w:rPr>
      </w:pPr>
      <w:r>
        <w:rPr>
          <w:shd w:fill="auto" w:val="clear"/>
        </w:rPr>
        <w:t>схему взаимодействия лиц, участвующих в защите информации;</w:t>
      </w:r>
    </w:p>
    <w:p>
      <w:pPr>
        <w:pStyle w:val="Style94"/>
        <w:rPr>
          <w:highlight w:val="none"/>
          <w:shd w:fill="auto" w:val="clear"/>
        </w:rPr>
      </w:pPr>
      <w:r>
        <w:rPr>
          <w:shd w:fill="auto" w:val="clear"/>
        </w:rPr>
        <w:t>ответственность работников за нарушение требований о защите информации и установленных оператором (обладателем информации) правил обработки информации;</w:t>
      </w:r>
    </w:p>
    <w:p>
      <w:pPr>
        <w:pStyle w:val="Style94"/>
        <w:rPr>
          <w:highlight w:val="none"/>
          <w:shd w:fill="auto" w:val="clear"/>
        </w:rPr>
      </w:pPr>
      <w:bookmarkStart w:id="34" w:name="_Hlk229041823"/>
      <w:r>
        <w:rPr>
          <w:shd w:fill="auto" w:val="clear"/>
        </w:rPr>
        <w:t>перечень запрещенного программного обеспечения (AnyDesk, TeamViewer иные средства удалённого администрирования, клиенты TOR и иные инструменты, используемые при реализации угроз).</w:t>
      </w:r>
      <w:bookmarkEnd w:id="34"/>
    </w:p>
    <w:p>
      <w:pPr>
        <w:pStyle w:val="ListParagraph"/>
        <w:numPr>
          <w:ilvl w:val="0"/>
          <w:numId w:val="12"/>
        </w:numPr>
        <w:jc w:val="both"/>
        <w:rPr>
          <w:highlight w:val="none"/>
          <w:shd w:fill="auto" w:val="clear"/>
        </w:rPr>
      </w:pPr>
      <w:r>
        <w:rPr>
          <w:shd w:fill="auto" w:val="clear"/>
        </w:rPr>
        <w:t>внутренних стандартов по защите информации, содержащих:</w:t>
      </w:r>
    </w:p>
    <w:p>
      <w:pPr>
        <w:pStyle w:val="Style94"/>
        <w:rPr>
          <w:highlight w:val="none"/>
          <w:shd w:fill="auto" w:val="clear"/>
        </w:rPr>
      </w:pPr>
      <w:r>
        <w:rPr>
          <w:shd w:fill="auto" w:val="clear"/>
        </w:rPr>
        <w:t>требования к первичной идентификации лиц, обладающих правами доступа к информационным системам и (или) содержащейся в них информации и их использованию;</w:t>
      </w:r>
    </w:p>
    <w:p>
      <w:pPr>
        <w:pStyle w:val="Style94"/>
        <w:rPr>
          <w:highlight w:val="none"/>
          <w:shd w:fill="auto" w:val="clear"/>
        </w:rPr>
      </w:pPr>
      <w:r>
        <w:rPr>
          <w:shd w:fill="auto" w:val="clear"/>
        </w:rPr>
        <w:t>требования к применяемым моделям доступа;</w:t>
      </w:r>
    </w:p>
    <w:p>
      <w:pPr>
        <w:pStyle w:val="Style94"/>
        <w:rPr>
          <w:highlight w:val="none"/>
          <w:shd w:fill="auto" w:val="clear"/>
        </w:rPr>
      </w:pPr>
      <w:r>
        <w:rPr>
          <w:shd w:fill="auto" w:val="clear"/>
        </w:rPr>
        <w:t>перечень разрешенного для использования программного обеспечения;</w:t>
      </w:r>
    </w:p>
    <w:p>
      <w:pPr>
        <w:pStyle w:val="Style94"/>
        <w:rPr>
          <w:highlight w:val="none"/>
          <w:shd w:fill="auto" w:val="clear"/>
        </w:rPr>
      </w:pPr>
      <w:r>
        <w:rPr>
          <w:shd w:fill="auto" w:val="clear"/>
        </w:rPr>
        <w:t>требования к типовым конфигурациям и настройкам программных, программно-аппаратных средств;</w:t>
      </w:r>
    </w:p>
    <w:p>
      <w:pPr>
        <w:pStyle w:val="Style94"/>
        <w:rPr>
          <w:highlight w:val="none"/>
          <w:shd w:fill="auto" w:val="clear"/>
        </w:rPr>
      </w:pPr>
      <w:r>
        <w:rPr>
          <w:shd w:fill="auto" w:val="clear"/>
        </w:rPr>
        <w:t>требования к конфигурациям и настройкам программных, программно-аппаратных средств, предназначенных для обеспечения удаленного доступа пользователей к информационным системам и содержащейся в них информации;</w:t>
      </w:r>
    </w:p>
    <w:p>
      <w:pPr>
        <w:pStyle w:val="Style94"/>
        <w:rPr>
          <w:highlight w:val="none"/>
          <w:shd w:fill="auto" w:val="clear"/>
        </w:rPr>
      </w:pPr>
      <w:r>
        <w:rPr>
          <w:shd w:fill="auto" w:val="clear"/>
        </w:rPr>
        <w:t>ограничения и запреты действий для пользователей при использовании и обеспечении эксплуатации ими информационных систем;</w:t>
      </w:r>
    </w:p>
    <w:p>
      <w:pPr>
        <w:pStyle w:val="Style94"/>
        <w:rPr>
          <w:highlight w:val="none"/>
          <w:shd w:fill="auto" w:val="clear"/>
        </w:rPr>
      </w:pPr>
      <w:r>
        <w:rPr>
          <w:shd w:fill="auto" w:val="clear"/>
        </w:rPr>
        <w:t>требования к защите физических и виртуальных устройств информационных систем, имеющих постоянный доступ к сети "Интернет";</w:t>
      </w:r>
    </w:p>
    <w:p>
      <w:pPr>
        <w:pStyle w:val="Style94"/>
        <w:rPr>
          <w:highlight w:val="none"/>
          <w:shd w:fill="auto" w:val="clear"/>
        </w:rPr>
      </w:pPr>
      <w:r>
        <w:rPr>
          <w:shd w:fill="auto" w:val="clear"/>
        </w:rPr>
        <w:t>требования к непрерывности функционирования информационных систем;</w:t>
      </w:r>
    </w:p>
    <w:p>
      <w:pPr>
        <w:pStyle w:val="Style94"/>
        <w:rPr>
          <w:highlight w:val="none"/>
          <w:shd w:fill="auto" w:val="clear"/>
        </w:rPr>
      </w:pPr>
      <w:r>
        <w:rPr>
          <w:shd w:fill="auto" w:val="clear"/>
        </w:rPr>
        <w:t>требования к резервному копированию информации, программного обеспечения и его конфигураций</w:t>
      </w:r>
    </w:p>
    <w:p>
      <w:pPr>
        <w:pStyle w:val="Style94"/>
        <w:rPr>
          <w:highlight w:val="none"/>
          <w:shd w:fill="auto" w:val="clear"/>
        </w:rPr>
      </w:pPr>
      <w:r>
        <w:rPr>
          <w:shd w:fill="auto" w:val="clear"/>
        </w:rPr>
        <w:t>требования к сбору, регистрации и анализу событий, связанных с возможным нарушением безопасности информации, нарушением функционирования информационных систем, реализацией угроз безопасности информации;</w:t>
      </w:r>
    </w:p>
    <w:p>
      <w:pPr>
        <w:pStyle w:val="Style94"/>
        <w:rPr>
          <w:highlight w:val="none"/>
          <w:shd w:fill="auto" w:val="clear"/>
        </w:rPr>
      </w:pPr>
      <w:bookmarkStart w:id="35" w:name="_Hlk229045736"/>
      <w:r>
        <w:rPr>
          <w:shd w:fill="auto" w:val="clear"/>
        </w:rPr>
        <w:t>требования к защите информации при подключении к информационным системам иных информационных систем, включая требования к каналам передачи данных при взаимодействии с такими информационными системами;</w:t>
      </w:r>
      <w:bookmarkEnd w:id="35"/>
    </w:p>
    <w:p>
      <w:pPr>
        <w:pStyle w:val="ListParagraph"/>
        <w:numPr>
          <w:ilvl w:val="0"/>
          <w:numId w:val="12"/>
        </w:numPr>
        <w:jc w:val="both"/>
        <w:rPr>
          <w:highlight w:val="none"/>
          <w:shd w:fill="auto" w:val="clear"/>
        </w:rPr>
      </w:pPr>
      <w:r>
        <w:rPr>
          <w:shd w:fill="auto" w:val="clear"/>
        </w:rPr>
        <w:t>внутренних регламентов по защите информации, содержащих в том числе:</w:t>
      </w:r>
    </w:p>
    <w:p>
      <w:pPr>
        <w:pStyle w:val="Style94"/>
        <w:rPr>
          <w:highlight w:val="none"/>
          <w:shd w:fill="auto" w:val="clear"/>
        </w:rPr>
      </w:pPr>
      <w:r>
        <w:rPr>
          <w:shd w:fill="auto" w:val="clear"/>
        </w:rPr>
        <w:t>порядок создания, учета, изменения и блокирования, контроля, удаления учетных записей;</w:t>
      </w:r>
    </w:p>
    <w:p>
      <w:pPr>
        <w:pStyle w:val="Style94"/>
        <w:rPr>
          <w:highlight w:val="none"/>
          <w:shd w:fill="auto" w:val="clear"/>
        </w:rPr>
      </w:pPr>
      <w:r>
        <w:rPr>
          <w:shd w:fill="auto" w:val="clear"/>
        </w:rPr>
        <w:t>порядок создания, учета, изменения и блокирования, контроля, удаления привилегированных учетных записей;</w:t>
      </w:r>
    </w:p>
    <w:p>
      <w:pPr>
        <w:pStyle w:val="Style94"/>
        <w:rPr>
          <w:highlight w:val="none"/>
          <w:shd w:fill="auto" w:val="clear"/>
        </w:rPr>
      </w:pPr>
      <w:r>
        <w:rPr>
          <w:shd w:fill="auto" w:val="clear"/>
        </w:rPr>
        <w:t>порядок создания, изменения, блокирования, контроля, удаления аутентификационной информации и средств аутентификации;</w:t>
      </w:r>
    </w:p>
    <w:p>
      <w:pPr>
        <w:pStyle w:val="Style94"/>
        <w:rPr>
          <w:highlight w:val="none"/>
          <w:shd w:fill="auto" w:val="clear"/>
        </w:rPr>
      </w:pPr>
      <w:r>
        <w:rPr>
          <w:shd w:fill="auto" w:val="clear"/>
        </w:rPr>
        <w:t>порядок предоставления пользователям удаленного доступа к информационным системам и содержащейся в них информации;</w:t>
      </w:r>
    </w:p>
    <w:p>
      <w:pPr>
        <w:pStyle w:val="Style94"/>
        <w:rPr>
          <w:highlight w:val="none"/>
          <w:shd w:fill="auto" w:val="clear"/>
        </w:rPr>
      </w:pPr>
      <w:r>
        <w:rPr>
          <w:shd w:fill="auto" w:val="clear"/>
        </w:rPr>
        <w:t>порядок и условия предоставления работникам подрядных организаций доступа к информационным системам, содержащейся в них информации, и (или) передачи им информации, контроля за таким доступом, передачей в случае привлечения подрядных организаций;</w:t>
      </w:r>
    </w:p>
    <w:p>
      <w:pPr>
        <w:pStyle w:val="Style94"/>
        <w:rPr>
          <w:highlight w:val="none"/>
          <w:shd w:fill="auto" w:val="clear"/>
        </w:rPr>
      </w:pPr>
      <w:r>
        <w:rPr>
          <w:shd w:fill="auto" w:val="clear"/>
        </w:rPr>
        <w:t>порядок предоставления работникам иных государственных органов, организаций доступа к информационным системам, содержащейся в них информации и (или) передачи им информации и контроля за такими доступом, передачей (в случае информационного взаимодействия с иными государственными органами, организациями);</w:t>
      </w:r>
    </w:p>
    <w:p>
      <w:pPr>
        <w:pStyle w:val="Style94"/>
        <w:rPr>
          <w:highlight w:val="none"/>
          <w:shd w:fill="auto" w:val="clear"/>
        </w:rPr>
      </w:pPr>
      <w:r>
        <w:rPr>
          <w:shd w:fill="auto" w:val="clear"/>
        </w:rPr>
        <w:t>порядок предоставления пользователям доступа из информационных систем в сеть "Интернет" и контроля ее использования;</w:t>
      </w:r>
    </w:p>
    <w:p>
      <w:pPr>
        <w:pStyle w:val="Style94"/>
        <w:rPr>
          <w:highlight w:val="none"/>
          <w:shd w:fill="auto" w:val="clear"/>
        </w:rPr>
      </w:pPr>
      <w:r>
        <w:rPr>
          <w:shd w:fill="auto" w:val="clear"/>
        </w:rPr>
        <w:t>порядок повышения уровня знаний и информированности пользователей по вопросам защиты информации;</w:t>
      </w:r>
    </w:p>
    <w:p>
      <w:pPr>
        <w:pStyle w:val="Style94"/>
        <w:rPr>
          <w:highlight w:val="none"/>
          <w:shd w:fill="auto" w:val="clear"/>
        </w:rPr>
      </w:pPr>
      <w:r>
        <w:rPr>
          <w:shd w:fill="auto" w:val="clear"/>
        </w:rPr>
        <w:t>порядок выявления, оценки и устранения уязвимостей информационных систем;</w:t>
      </w:r>
    </w:p>
    <w:p>
      <w:pPr>
        <w:pStyle w:val="Style94"/>
        <w:rPr>
          <w:highlight w:val="none"/>
          <w:shd w:fill="auto" w:val="clear"/>
        </w:rPr>
      </w:pPr>
      <w:r>
        <w:rPr>
          <w:shd w:fill="auto" w:val="clear"/>
        </w:rPr>
        <w:t>порядок получения, оценки, тестирования и применения обновлений программных, программно-аппаратных средств;</w:t>
      </w:r>
    </w:p>
    <w:p>
      <w:pPr>
        <w:pStyle w:val="Style94"/>
        <w:rPr>
          <w:highlight w:val="none"/>
          <w:shd w:fill="auto" w:val="clear"/>
        </w:rPr>
      </w:pPr>
      <w:r>
        <w:rPr>
          <w:shd w:fill="auto" w:val="clear"/>
        </w:rPr>
        <w:t>порядок обработки, хранения и обращения с информацией ограниченного доступа;</w:t>
      </w:r>
    </w:p>
    <w:p>
      <w:pPr>
        <w:pStyle w:val="Style94"/>
        <w:rPr>
          <w:highlight w:val="none"/>
          <w:shd w:fill="auto" w:val="clear"/>
        </w:rPr>
      </w:pPr>
      <w:r>
        <w:rPr>
          <w:shd w:fill="auto" w:val="clear"/>
        </w:rPr>
        <w:t>порядок обеспечения физической защиты информационных систем;</w:t>
      </w:r>
    </w:p>
    <w:p>
      <w:pPr>
        <w:pStyle w:val="Style94"/>
        <w:rPr>
          <w:highlight w:val="none"/>
          <w:shd w:fill="auto" w:val="clear"/>
        </w:rPr>
      </w:pPr>
      <w:r>
        <w:rPr>
          <w:shd w:fill="auto" w:val="clear"/>
        </w:rPr>
        <w:t>порядок разработки безопасного программного обеспечения в случае его самостоятельной разработки оператором (обладателем информации);</w:t>
      </w:r>
    </w:p>
    <w:p>
      <w:pPr>
        <w:pStyle w:val="Style94"/>
        <w:rPr>
          <w:highlight w:val="none"/>
          <w:shd w:fill="auto" w:val="clear"/>
        </w:rPr>
      </w:pPr>
      <w:r>
        <w:rPr>
          <w:shd w:fill="auto" w:val="clear"/>
        </w:rPr>
        <w:t>порядок мониторинга информационной безопасности информационных систем;</w:t>
      </w:r>
    </w:p>
    <w:p>
      <w:pPr>
        <w:pStyle w:val="Style94"/>
        <w:rPr>
          <w:highlight w:val="none"/>
          <w:shd w:fill="auto" w:val="clear"/>
        </w:rPr>
      </w:pPr>
      <w:r>
        <w:rPr>
          <w:shd w:fill="auto" w:val="clear"/>
        </w:rPr>
        <w:t>порядок восстановления штатного функционирования информационных систем и тестирования процессов восстановления;</w:t>
      </w:r>
    </w:p>
    <w:p>
      <w:pPr>
        <w:pStyle w:val="Style94"/>
        <w:rPr>
          <w:highlight w:val="none"/>
          <w:shd w:fill="auto" w:val="clear"/>
        </w:rPr>
      </w:pPr>
      <w:r>
        <w:rPr>
          <w:shd w:fill="auto" w:val="clear"/>
        </w:rPr>
        <w:t>порядок контроля уровня защищенности информации, содержащейся в информационных системах;</w:t>
      </w:r>
    </w:p>
    <w:p>
      <w:pPr>
        <w:pStyle w:val="ListParagraph"/>
        <w:numPr>
          <w:ilvl w:val="0"/>
          <w:numId w:val="12"/>
        </w:numPr>
        <w:spacing w:before="0" w:after="200"/>
        <w:contextualSpacing/>
        <w:jc w:val="both"/>
        <w:rPr>
          <w:highlight w:val="none"/>
          <w:shd w:fill="auto" w:val="clear"/>
        </w:rPr>
      </w:pPr>
      <w:r>
        <w:rPr>
          <w:shd w:fill="auto" w:val="clear"/>
        </w:rPr>
        <w:t>инструкция администратора безопасности информации;</w:t>
      </w:r>
    </w:p>
    <w:p>
      <w:pPr>
        <w:pStyle w:val="ListParagraph"/>
        <w:numPr>
          <w:ilvl w:val="0"/>
          <w:numId w:val="12"/>
        </w:numPr>
        <w:spacing w:before="0" w:after="200"/>
        <w:contextualSpacing/>
        <w:jc w:val="both"/>
        <w:rPr>
          <w:highlight w:val="none"/>
          <w:shd w:fill="auto" w:val="clear"/>
        </w:rPr>
      </w:pPr>
      <w:r>
        <w:rPr>
          <w:shd w:fill="auto" w:val="clear"/>
        </w:rPr>
        <w:t>приказ о назначении ответственных лиц за безопасность конфиденциальной информации;</w:t>
      </w:r>
    </w:p>
    <w:p>
      <w:pPr>
        <w:pStyle w:val="ListParagraph"/>
        <w:numPr>
          <w:ilvl w:val="0"/>
          <w:numId w:val="12"/>
        </w:numPr>
        <w:spacing w:before="0" w:after="200"/>
        <w:contextualSpacing/>
        <w:jc w:val="both"/>
        <w:rPr>
          <w:highlight w:val="none"/>
          <w:shd w:fill="auto" w:val="clear"/>
        </w:rPr>
      </w:pPr>
      <w:r>
        <w:rPr>
          <w:shd w:fill="auto" w:val="clear"/>
        </w:rPr>
        <w:t>приказ о назначении группы реагирования на инциденты информационной безопасности;</w:t>
      </w:r>
    </w:p>
    <w:p>
      <w:pPr>
        <w:pStyle w:val="ListParagraph"/>
        <w:numPr>
          <w:ilvl w:val="0"/>
          <w:numId w:val="12"/>
        </w:numPr>
        <w:spacing w:before="0" w:after="200"/>
        <w:contextualSpacing/>
        <w:jc w:val="both"/>
        <w:rPr>
          <w:highlight w:val="none"/>
          <w:shd w:fill="auto" w:val="clear"/>
        </w:rPr>
      </w:pPr>
      <w:r>
        <w:rPr>
          <w:shd w:fill="auto" w:val="clear"/>
        </w:rPr>
        <w:t>инструкция по реагированию на инциденты информационной безопасности;</w:t>
      </w:r>
    </w:p>
    <w:p>
      <w:pPr>
        <w:pStyle w:val="ListParagraph"/>
        <w:numPr>
          <w:ilvl w:val="0"/>
          <w:numId w:val="12"/>
        </w:numPr>
        <w:spacing w:before="0" w:after="200"/>
        <w:contextualSpacing/>
        <w:jc w:val="both"/>
        <w:rPr>
          <w:highlight w:val="none"/>
          <w:shd w:fill="auto" w:val="clear"/>
        </w:rPr>
      </w:pPr>
      <w:r>
        <w:rPr>
          <w:shd w:fill="auto" w:val="clear"/>
        </w:rPr>
        <w:t>журнал учета машинных носителей информации;</w:t>
      </w:r>
    </w:p>
    <w:p>
      <w:pPr>
        <w:pStyle w:val="ListParagraph"/>
        <w:numPr>
          <w:ilvl w:val="0"/>
          <w:numId w:val="12"/>
        </w:numPr>
        <w:spacing w:before="0" w:after="200"/>
        <w:contextualSpacing/>
        <w:jc w:val="both"/>
        <w:rPr>
          <w:highlight w:val="none"/>
          <w:shd w:fill="auto" w:val="clear"/>
        </w:rPr>
      </w:pPr>
      <w:r>
        <w:rPr>
          <w:shd w:fill="auto" w:val="clear"/>
        </w:rPr>
        <w:t xml:space="preserve">журнал учета мобильных технических средств; </w:t>
      </w:r>
    </w:p>
    <w:p>
      <w:pPr>
        <w:pStyle w:val="ListParagraph"/>
        <w:numPr>
          <w:ilvl w:val="0"/>
          <w:numId w:val="12"/>
        </w:numPr>
        <w:spacing w:before="0" w:after="200"/>
        <w:contextualSpacing/>
        <w:jc w:val="both"/>
        <w:rPr>
          <w:highlight w:val="none"/>
          <w:shd w:fill="auto" w:val="clear"/>
        </w:rPr>
      </w:pPr>
      <w:r>
        <w:rPr>
          <w:shd w:fill="auto" w:val="clear"/>
        </w:rPr>
        <w:t>журнал учета мероприятий по контролю обеспечения защиты информации;</w:t>
      </w:r>
    </w:p>
    <w:p>
      <w:pPr>
        <w:pStyle w:val="ListParagraph"/>
        <w:numPr>
          <w:ilvl w:val="0"/>
          <w:numId w:val="12"/>
        </w:numPr>
        <w:spacing w:before="0" w:after="200"/>
        <w:contextualSpacing/>
        <w:jc w:val="both"/>
        <w:rPr>
          <w:highlight w:val="none"/>
          <w:shd w:fill="auto" w:val="clear"/>
        </w:rPr>
      </w:pPr>
      <w:r>
        <w:rPr>
          <w:shd w:fill="auto" w:val="clear"/>
        </w:rPr>
        <w:t>акт классификации информационной системы;</w:t>
      </w:r>
    </w:p>
    <w:p>
      <w:pPr>
        <w:pStyle w:val="ListParagraph"/>
        <w:numPr>
          <w:ilvl w:val="0"/>
          <w:numId w:val="12"/>
        </w:numPr>
        <w:spacing w:before="0" w:after="200"/>
        <w:contextualSpacing/>
        <w:jc w:val="both"/>
        <w:rPr>
          <w:highlight w:val="none"/>
          <w:shd w:fill="auto" w:val="clear"/>
        </w:rPr>
      </w:pPr>
      <w:r>
        <w:rPr>
          <w:shd w:fill="auto" w:val="clear"/>
        </w:rPr>
        <w:t>журнал периодического тестирования средств защиты информации;</w:t>
      </w:r>
    </w:p>
    <w:p>
      <w:pPr>
        <w:pStyle w:val="ListParagraph"/>
        <w:numPr>
          <w:ilvl w:val="0"/>
          <w:numId w:val="12"/>
        </w:numPr>
        <w:spacing w:before="0" w:after="200"/>
        <w:contextualSpacing/>
        <w:jc w:val="both"/>
        <w:rPr>
          <w:highlight w:val="none"/>
          <w:shd w:fill="auto" w:val="clear"/>
        </w:rPr>
      </w:pPr>
      <w:r>
        <w:rPr>
          <w:shd w:fill="auto" w:val="clear"/>
        </w:rPr>
        <w:t>журнал учета средств защиты информации;</w:t>
      </w:r>
    </w:p>
    <w:p>
      <w:pPr>
        <w:pStyle w:val="ListParagraph"/>
        <w:numPr>
          <w:ilvl w:val="0"/>
          <w:numId w:val="12"/>
        </w:numPr>
        <w:spacing w:before="0" w:after="200"/>
        <w:contextualSpacing/>
        <w:jc w:val="both"/>
        <w:rPr>
          <w:highlight w:val="none"/>
          <w:shd w:fill="auto" w:val="clear"/>
        </w:rPr>
      </w:pPr>
      <w:r>
        <w:rPr>
          <w:shd w:fill="auto" w:val="clear"/>
        </w:rPr>
        <w:t>журнал проведения инструктажа по информационной безопасности;</w:t>
      </w:r>
    </w:p>
    <w:p>
      <w:pPr>
        <w:pStyle w:val="ListParagraph"/>
        <w:numPr>
          <w:ilvl w:val="0"/>
          <w:numId w:val="12"/>
        </w:numPr>
        <w:spacing w:before="0" w:after="200"/>
        <w:contextualSpacing/>
        <w:jc w:val="both"/>
        <w:rPr>
          <w:highlight w:val="none"/>
          <w:shd w:fill="auto" w:val="clear"/>
        </w:rPr>
      </w:pPr>
      <w:r>
        <w:rPr>
          <w:shd w:fill="auto" w:val="clear"/>
        </w:rPr>
        <w:t xml:space="preserve">приказ об эксплуатации СКЗИ; </w:t>
      </w:r>
    </w:p>
    <w:p>
      <w:pPr>
        <w:pStyle w:val="ListParagraph"/>
        <w:numPr>
          <w:ilvl w:val="0"/>
          <w:numId w:val="12"/>
        </w:numPr>
        <w:spacing w:before="0" w:after="200"/>
        <w:contextualSpacing/>
        <w:jc w:val="both"/>
        <w:rPr>
          <w:highlight w:val="none"/>
          <w:shd w:fill="auto" w:val="clear"/>
        </w:rPr>
      </w:pPr>
      <w:r>
        <w:rPr>
          <w:shd w:fill="auto" w:val="clear"/>
        </w:rPr>
        <w:t>приказ о назначении приемочной комиссии;</w:t>
      </w:r>
    </w:p>
    <w:p>
      <w:pPr>
        <w:pStyle w:val="ListParagraph"/>
        <w:numPr>
          <w:ilvl w:val="0"/>
          <w:numId w:val="12"/>
        </w:numPr>
        <w:spacing w:before="0" w:after="200"/>
        <w:contextualSpacing/>
        <w:jc w:val="both"/>
        <w:rPr>
          <w:highlight w:val="none"/>
          <w:shd w:fill="auto" w:val="clear"/>
        </w:rPr>
      </w:pPr>
      <w:r>
        <w:rPr>
          <w:shd w:fill="auto" w:val="clear"/>
        </w:rPr>
        <w:t>акт о приемке в постоянную эксплуатацию системы защиты информации.</w:t>
      </w:r>
    </w:p>
    <w:p>
      <w:pPr>
        <w:pStyle w:val="ListParagraph"/>
        <w:numPr>
          <w:ilvl w:val="1"/>
          <w:numId w:val="11"/>
        </w:numPr>
        <w:ind w:firstLine="426" w:start="0"/>
        <w:jc w:val="both"/>
        <w:rPr>
          <w:highlight w:val="none"/>
          <w:shd w:fill="auto" w:val="clear"/>
        </w:rPr>
      </w:pPr>
      <w:r>
        <w:rPr>
          <w:rFonts w:eastAsia="Calibri"/>
          <w:shd w:fill="auto" w:val="clear"/>
        </w:rPr>
        <w:t xml:space="preserve">При разработке организационно-распорядительных документов должна быть учтена необходимость обеспечения защищённого взаимодействия региональной системы оповещения «РСОН» с муниципальными системами оповещения населения (МСОН), включая регламенты подключения, разграничение зон ответственности и порядок передачи ключевой информации. </w:t>
      </w:r>
    </w:p>
    <w:p>
      <w:pPr>
        <w:pStyle w:val="ListParagraph"/>
        <w:numPr>
          <w:ilvl w:val="1"/>
          <w:numId w:val="11"/>
        </w:numPr>
        <w:ind w:firstLine="426" w:start="0"/>
        <w:jc w:val="both"/>
        <w:rPr>
          <w:highlight w:val="none"/>
          <w:shd w:fill="auto" w:val="clear"/>
        </w:rPr>
      </w:pPr>
      <w:r>
        <w:rPr>
          <w:rFonts w:eastAsia="Calibri"/>
          <w:shd w:fill="auto" w:val="clear"/>
        </w:rPr>
        <w:t xml:space="preserve">Проекты организационно-распорядительных документов предоставляются Заказчику в электронном виде (записанными на диск, либо переданными по защищенному сертифицированными ФСБ России средствами криптографической защиты информации каналу связи). </w:t>
      </w:r>
    </w:p>
    <w:p>
      <w:pPr>
        <w:pStyle w:val="ListParagraph"/>
        <w:spacing w:before="280" w:after="0"/>
        <w:ind w:start="360"/>
        <w:contextualSpacing/>
        <w:jc w:val="both"/>
        <w:rPr>
          <w:rFonts w:eastAsia="Calibri"/>
          <w:highlight w:val="none"/>
          <w:shd w:fill="auto" w:val="clear"/>
        </w:rPr>
      </w:pPr>
      <w:r>
        <w:rPr>
          <w:rFonts w:eastAsia="Calibri"/>
          <w:shd w:fill="auto" w:val="clear"/>
        </w:rPr>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оказанию услуг по разработке комплекта рабочей документации на систему защиты ИС «РСОН»</w:t>
      </w:r>
    </w:p>
    <w:p>
      <w:pPr>
        <w:pStyle w:val="ListParagraph"/>
        <w:numPr>
          <w:ilvl w:val="1"/>
          <w:numId w:val="11"/>
        </w:numPr>
        <w:ind w:firstLine="462" w:start="0"/>
        <w:jc w:val="both"/>
        <w:rPr>
          <w:highlight w:val="none"/>
          <w:shd w:fill="auto" w:val="clear"/>
        </w:rPr>
      </w:pPr>
      <w:r>
        <w:rPr>
          <w:rFonts w:eastAsia="Calibri"/>
          <w:shd w:fill="auto" w:val="clear"/>
        </w:rPr>
        <w:t>Исполнитель должен произвести разработку комплекта рабочей документации на систему защиты ИС «РСОН».</w:t>
      </w:r>
    </w:p>
    <w:p>
      <w:pPr>
        <w:pStyle w:val="ListParagraph"/>
        <w:numPr>
          <w:ilvl w:val="1"/>
          <w:numId w:val="11"/>
        </w:numPr>
        <w:ind w:firstLine="476" w:start="0"/>
        <w:jc w:val="both"/>
        <w:rPr>
          <w:highlight w:val="none"/>
          <w:shd w:fill="auto" w:val="clear"/>
        </w:rPr>
      </w:pPr>
      <w:r>
        <w:rPr>
          <w:rFonts w:eastAsia="Calibri"/>
          <w:shd w:fill="auto" w:val="clear"/>
        </w:rPr>
        <w:t>Вся разработанная документация должна соответствовать рекомендациям, изложенным в ГОСТ Р 59795-2021 и ГОСТ 2.105-2019.</w:t>
      </w:r>
    </w:p>
    <w:p>
      <w:pPr>
        <w:pStyle w:val="ListParagraph"/>
        <w:numPr>
          <w:ilvl w:val="1"/>
          <w:numId w:val="11"/>
        </w:numPr>
        <w:ind w:firstLine="462" w:start="0"/>
        <w:jc w:val="both"/>
        <w:rPr>
          <w:highlight w:val="none"/>
          <w:shd w:fill="auto" w:val="clear"/>
        </w:rPr>
      </w:pPr>
      <w:r>
        <w:rPr>
          <w:rFonts w:eastAsia="Calibri"/>
          <w:shd w:fill="auto" w:val="clear"/>
        </w:rPr>
        <w:t>Состав и комплектность рабочей документации определяются с учетом требований Технического задания на создание системы защиты информации для информационной системы РСОН, а также особенностей создаваемой автоматизированной системы и требований действующих нормативных документов.</w:t>
      </w:r>
    </w:p>
    <w:p>
      <w:pPr>
        <w:pStyle w:val="ListParagraph"/>
        <w:numPr>
          <w:ilvl w:val="1"/>
          <w:numId w:val="11"/>
        </w:numPr>
        <w:ind w:firstLine="462" w:start="0"/>
        <w:jc w:val="both"/>
        <w:rPr>
          <w:highlight w:val="none"/>
          <w:shd w:fill="auto" w:val="clear"/>
        </w:rPr>
      </w:pPr>
      <w:r>
        <w:rPr>
          <w:rFonts w:eastAsia="Calibri"/>
          <w:shd w:fill="auto" w:val="clear"/>
        </w:rPr>
        <w:t>Разработка рабочей документации осуществляется Исполнителем в объеме, согласованном Сторонами. При этом состав и комплектность разрабатываемой документации не должны превышать состав и комплектность документов, предусмотренных ГОСТ 34.201-2020 для автоматизированных систем.</w:t>
      </w:r>
    </w:p>
    <w:p>
      <w:pPr>
        <w:pStyle w:val="ListParagraph"/>
        <w:numPr>
          <w:ilvl w:val="1"/>
          <w:numId w:val="11"/>
        </w:numPr>
        <w:ind w:firstLine="462" w:start="0"/>
        <w:jc w:val="both"/>
        <w:rPr>
          <w:highlight w:val="none"/>
          <w:shd w:fill="auto" w:val="clear"/>
        </w:rPr>
      </w:pPr>
      <w:r>
        <w:rPr>
          <w:rFonts w:eastAsia="Calibri"/>
          <w:shd w:fill="auto" w:val="clear"/>
        </w:rPr>
        <w:t xml:space="preserve">Конкретный перечень документов, подлежащих разработке, согласуется и утверждается Сторонами в срок не позднее 5 рабочих дней до начала выполнения этапа по разработке рабочей документации. </w:t>
      </w:r>
    </w:p>
    <w:p>
      <w:pPr>
        <w:pStyle w:val="ListParagraph"/>
        <w:numPr>
          <w:ilvl w:val="1"/>
          <w:numId w:val="11"/>
        </w:numPr>
        <w:ind w:firstLine="462" w:start="0"/>
        <w:jc w:val="both"/>
        <w:rPr>
          <w:highlight w:val="none"/>
          <w:shd w:fill="auto" w:val="clear"/>
        </w:rPr>
      </w:pPr>
      <w:r>
        <w:rPr>
          <w:rFonts w:eastAsia="Calibri"/>
          <w:shd w:fill="auto" w:val="clear"/>
        </w:rPr>
        <w:t xml:space="preserve">Комплект разработанной документации предоставляется Заказчику в электронном виде (записанными на диск, либо переданными по защищенному сертифицированными ФСБ России средствами криптографической защиты информации каналу связи). </w:t>
      </w:r>
    </w:p>
    <w:p>
      <w:pPr>
        <w:pStyle w:val="ListParagraph"/>
        <w:spacing w:before="280" w:after="0"/>
        <w:ind w:start="360"/>
        <w:contextualSpacing/>
        <w:jc w:val="both"/>
        <w:rPr>
          <w:rFonts w:eastAsia="Calibri"/>
          <w:b/>
          <w:highlight w:val="none"/>
          <w:shd w:fill="auto" w:val="clear"/>
        </w:rPr>
      </w:pPr>
      <w:r>
        <w:rPr>
          <w:rFonts w:eastAsia="Calibri"/>
          <w:b/>
          <w:shd w:fill="auto" w:val="clear"/>
        </w:rPr>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оказанию услуг по корректировке документа «Модель угроз безопасности информации при ее обработке в информационной системе» информационной системы «РСОН»</w:t>
      </w:r>
    </w:p>
    <w:p>
      <w:pPr>
        <w:pStyle w:val="ListParagraph"/>
        <w:numPr>
          <w:ilvl w:val="1"/>
          <w:numId w:val="11"/>
        </w:numPr>
        <w:jc w:val="both"/>
        <w:rPr>
          <w:highlight w:val="none"/>
          <w:shd w:fill="auto" w:val="clear"/>
        </w:rPr>
      </w:pPr>
      <w:r>
        <w:rPr>
          <w:rFonts w:eastAsia="Calibri"/>
          <w:shd w:fill="auto" w:val="clear"/>
        </w:rPr>
        <w:t>Корректировка документа осуществляется экспертной группой, в состав которой входят специалисты Исполнителя и Заказчика (не менее двух представителей каждой стороны). Состав экспертной группы утверждается совместным решением.</w:t>
      </w:r>
    </w:p>
    <w:p>
      <w:pPr>
        <w:pStyle w:val="ListParagraph"/>
        <w:numPr>
          <w:ilvl w:val="1"/>
          <w:numId w:val="11"/>
        </w:numPr>
        <w:jc w:val="both"/>
        <w:rPr>
          <w:highlight w:val="none"/>
          <w:shd w:fill="auto" w:val="clear"/>
        </w:rPr>
      </w:pPr>
      <w:r>
        <w:rPr>
          <w:rFonts w:eastAsia="Calibri"/>
          <w:shd w:fill="auto" w:val="clear"/>
        </w:rPr>
        <w:t>При проведении работ допускается использование средств автоматизации оценки угроз при условии их предварительного согласования с Заказчиком.</w:t>
      </w:r>
    </w:p>
    <w:p>
      <w:pPr>
        <w:pStyle w:val="ListParagraph"/>
        <w:numPr>
          <w:ilvl w:val="1"/>
          <w:numId w:val="11"/>
        </w:numPr>
        <w:jc w:val="both"/>
        <w:rPr>
          <w:highlight w:val="none"/>
          <w:shd w:fill="auto" w:val="clear"/>
        </w:rPr>
      </w:pPr>
      <w:r>
        <w:rPr>
          <w:rFonts w:eastAsia="Calibri"/>
          <w:shd w:fill="auto" w:val="clear"/>
        </w:rPr>
        <w:t>В модель угроз должны быть включены однотипные системы оповещения населения местного уровня (МСОН), сопряжённые с РСОН.</w:t>
      </w:r>
    </w:p>
    <w:p>
      <w:pPr>
        <w:pStyle w:val="ListParagraph"/>
        <w:numPr>
          <w:ilvl w:val="1"/>
          <w:numId w:val="11"/>
        </w:numPr>
        <w:jc w:val="both"/>
        <w:rPr>
          <w:highlight w:val="none"/>
          <w:shd w:fill="auto" w:val="clear"/>
        </w:rPr>
      </w:pPr>
      <w:r>
        <w:rPr>
          <w:rFonts w:eastAsia="Calibri"/>
          <w:shd w:fill="auto" w:val="clear"/>
        </w:rPr>
        <w:t>Перечень угроз формируется на основании Банка данных угроз безопасности информации ФСТЭК России (bdu.fstec.ru). Описание векторов компьютерных атак осуществляется с учётом методик и баз CAPEC, MITRE ATT&amp;CK, OWASP, STIX.</w:t>
      </w:r>
    </w:p>
    <w:p>
      <w:pPr>
        <w:pStyle w:val="ListParagraph"/>
        <w:numPr>
          <w:ilvl w:val="1"/>
          <w:numId w:val="11"/>
        </w:numPr>
        <w:jc w:val="both"/>
        <w:rPr>
          <w:highlight w:val="none"/>
          <w:shd w:fill="auto" w:val="clear"/>
        </w:rPr>
      </w:pPr>
      <w:r>
        <w:rPr>
          <w:rFonts w:eastAsia="Calibri"/>
          <w:shd w:fill="auto" w:val="clear"/>
        </w:rPr>
        <w:t>Скорректированный документ должен содержать:</w:t>
      </w:r>
    </w:p>
    <w:p>
      <w:pPr>
        <w:pStyle w:val="ListParagraph"/>
        <w:numPr>
          <w:ilvl w:val="0"/>
          <w:numId w:val="12"/>
        </w:numPr>
        <w:spacing w:before="0" w:after="200"/>
        <w:contextualSpacing/>
        <w:jc w:val="both"/>
        <w:rPr>
          <w:highlight w:val="none"/>
          <w:shd w:fill="auto" w:val="clear"/>
        </w:rPr>
      </w:pPr>
      <w:r>
        <w:rPr>
          <w:shd w:fill="auto" w:val="clear"/>
        </w:rPr>
        <w:t>термины и определения;</w:t>
      </w:r>
    </w:p>
    <w:p>
      <w:pPr>
        <w:pStyle w:val="ListParagraph"/>
        <w:numPr>
          <w:ilvl w:val="0"/>
          <w:numId w:val="12"/>
        </w:numPr>
        <w:jc w:val="both"/>
        <w:rPr>
          <w:highlight w:val="none"/>
          <w:shd w:fill="auto" w:val="clear"/>
        </w:rPr>
      </w:pPr>
      <w:r>
        <w:rPr>
          <w:shd w:fill="auto" w:val="clear"/>
        </w:rPr>
        <w:t>общие положения:</w:t>
      </w:r>
    </w:p>
    <w:p>
      <w:pPr>
        <w:pStyle w:val="Style94"/>
        <w:rPr>
          <w:highlight w:val="none"/>
          <w:shd w:fill="auto" w:val="clear"/>
        </w:rPr>
      </w:pPr>
      <w:r>
        <w:rPr>
          <w:shd w:fill="auto" w:val="clear"/>
        </w:rPr>
        <w:t>назначение и область действия документа;</w:t>
      </w:r>
    </w:p>
    <w:p>
      <w:pPr>
        <w:pStyle w:val="Style94"/>
        <w:rPr>
          <w:highlight w:val="none"/>
          <w:shd w:fill="auto" w:val="clear"/>
        </w:rPr>
      </w:pPr>
      <w:r>
        <w:rPr>
          <w:shd w:fill="auto" w:val="clear"/>
        </w:rPr>
        <w:t>нормативные правовые акты, методические документы, национальные стандарты, используемые для оценки угроз безопасности информации и разработки модели угроз;</w:t>
      </w:r>
    </w:p>
    <w:p>
      <w:pPr>
        <w:pStyle w:val="Style94"/>
        <w:rPr>
          <w:highlight w:val="none"/>
          <w:shd w:fill="auto" w:val="clear"/>
        </w:rPr>
      </w:pPr>
      <w:r>
        <w:rPr>
          <w:shd w:fill="auto" w:val="clear"/>
        </w:rPr>
        <w:t>наименование обладателя информации, заказчика, оператора систем и сетей;</w:t>
      </w:r>
    </w:p>
    <w:p>
      <w:pPr>
        <w:pStyle w:val="Style94"/>
        <w:rPr>
          <w:highlight w:val="none"/>
          <w:shd w:fill="auto" w:val="clear"/>
        </w:rPr>
      </w:pPr>
      <w:r>
        <w:rPr>
          <w:shd w:fill="auto" w:val="clear"/>
        </w:rPr>
        <w:t>подразделения, должностные лица, ответственные за обеспечение защиты информации (безопасности) систем и сетей;</w:t>
      </w:r>
    </w:p>
    <w:p>
      <w:pPr>
        <w:pStyle w:val="Style94"/>
        <w:rPr>
          <w:highlight w:val="none"/>
          <w:shd w:fill="auto" w:val="clear"/>
        </w:rPr>
      </w:pPr>
      <w:r>
        <w:rPr>
          <w:shd w:fill="auto" w:val="clear"/>
        </w:rPr>
        <w:t>наименование организации, привлекаемой для разработки модели угроз безопасности информации;</w:t>
      </w:r>
    </w:p>
    <w:p>
      <w:pPr>
        <w:pStyle w:val="ListParagraph"/>
        <w:numPr>
          <w:ilvl w:val="0"/>
          <w:numId w:val="12"/>
        </w:numPr>
        <w:jc w:val="both"/>
        <w:rPr>
          <w:highlight w:val="none"/>
          <w:shd w:fill="auto" w:val="clear"/>
        </w:rPr>
      </w:pPr>
      <w:r>
        <w:rPr>
          <w:shd w:fill="auto" w:val="clear"/>
        </w:rPr>
        <w:t>описание систем и сетей и их характеристика как объектов защиты:</w:t>
      </w:r>
    </w:p>
    <w:p>
      <w:pPr>
        <w:pStyle w:val="Style94"/>
        <w:rPr>
          <w:highlight w:val="none"/>
          <w:shd w:fill="auto" w:val="clear"/>
        </w:rPr>
      </w:pPr>
      <w:r>
        <w:rPr>
          <w:shd w:fill="auto" w:val="clear"/>
        </w:rPr>
        <w:t>наименование систем и сетей, для которых разработана модель угроз безопасности информации;</w:t>
      </w:r>
    </w:p>
    <w:p>
      <w:pPr>
        <w:pStyle w:val="Style94"/>
        <w:rPr>
          <w:highlight w:val="none"/>
          <w:shd w:fill="auto" w:val="clear"/>
        </w:rPr>
      </w:pPr>
      <w:r>
        <w:rPr>
          <w:shd w:fill="auto" w:val="clear"/>
        </w:rPr>
        <w:t>класс защищенности, категория значимости систем и сетей, уровень защищенности персональных данных;</w:t>
      </w:r>
    </w:p>
    <w:p>
      <w:pPr>
        <w:pStyle w:val="Style94"/>
        <w:rPr>
          <w:highlight w:val="none"/>
          <w:shd w:fill="auto" w:val="clear"/>
        </w:rPr>
      </w:pPr>
      <w:r>
        <w:rPr>
          <w:shd w:fill="auto" w:val="clear"/>
        </w:rPr>
        <w:t>нормативные правовые акты Российской Федерации, в соответствии с которыми создаются и(или) функционируют системы и сети;</w:t>
      </w:r>
    </w:p>
    <w:p>
      <w:pPr>
        <w:pStyle w:val="Style94"/>
        <w:rPr>
          <w:highlight w:val="none"/>
          <w:shd w:fill="auto" w:val="clear"/>
        </w:rPr>
      </w:pPr>
      <w:r>
        <w:rPr>
          <w:shd w:fill="auto" w:val="clear"/>
        </w:rPr>
        <w:t>назначение, задачи (функции) систем и сетей, состав обрабатываемой информации и её правовой режим;</w:t>
      </w:r>
    </w:p>
    <w:p>
      <w:pPr>
        <w:pStyle w:val="Style94"/>
        <w:rPr>
          <w:highlight w:val="none"/>
          <w:shd w:fill="auto" w:val="clear"/>
        </w:rPr>
      </w:pPr>
      <w:r>
        <w:rPr>
          <w:shd w:fill="auto" w:val="clear"/>
        </w:rPr>
        <w:t>основные процессы (бизнес-процессы) обладателя информации, оператора, для обеспечения которых создаются (функционируют) системы и сети;</w:t>
      </w:r>
    </w:p>
    <w:p>
      <w:pPr>
        <w:pStyle w:val="Style94"/>
        <w:rPr>
          <w:highlight w:val="none"/>
          <w:shd w:fill="auto" w:val="clear"/>
        </w:rPr>
      </w:pPr>
      <w:r>
        <w:rPr>
          <w:shd w:fill="auto" w:val="clear"/>
        </w:rPr>
        <w:t>состав и архитектура систем и сетей, в том числе интерфейсы и взаимосвязи компонентов систем и сетей;</w:t>
      </w:r>
    </w:p>
    <w:p>
      <w:pPr>
        <w:pStyle w:val="Style94"/>
        <w:rPr>
          <w:highlight w:val="none"/>
          <w:shd w:fill="auto" w:val="clear"/>
        </w:rPr>
      </w:pPr>
      <w:r>
        <w:rPr>
          <w:shd w:fill="auto" w:val="clear"/>
        </w:rPr>
        <w:t>описание групп внешних и внутренних пользователей систем и сетей, уровней их полномочий и типов доступа;</w:t>
      </w:r>
    </w:p>
    <w:p>
      <w:pPr>
        <w:pStyle w:val="Style94"/>
        <w:rPr>
          <w:highlight w:val="none"/>
          <w:shd w:fill="auto" w:val="clear"/>
        </w:rPr>
      </w:pPr>
      <w:r>
        <w:rPr>
          <w:shd w:fill="auto" w:val="clear"/>
        </w:rPr>
        <w:t>описание внешних интерфейсов и взаимодействий систем и сетей с пользователями, иными системами и сетями, обеспечивающими системами, в том числе с сетью «Интернет»;</w:t>
      </w:r>
    </w:p>
    <w:p>
      <w:pPr>
        <w:pStyle w:val="Style94"/>
        <w:rPr>
          <w:highlight w:val="none"/>
          <w:shd w:fill="auto" w:val="clear"/>
        </w:rPr>
      </w:pPr>
      <w:r>
        <w:rPr>
          <w:shd w:fill="auto" w:val="clear"/>
        </w:rPr>
        <w:t>информацию о функционировании систем и сетей на базе информационно-телекоммуникационной инфраструктуры центра обработки данных или облачной инфраструктуры, о модели предоставления вычислительных услуг, о распределении ответственности за защиту информации между обладателем информации, оператором и поставщиком вычислительных услуг, об условиях использования информационно-телекоммуникационной инфраструктуры центра обработки данных или облачной инфраструктуры поставщика услуг (при наличии);</w:t>
      </w:r>
    </w:p>
    <w:p>
      <w:pPr>
        <w:pStyle w:val="ListParagraph"/>
        <w:numPr>
          <w:ilvl w:val="0"/>
          <w:numId w:val="12"/>
        </w:numPr>
        <w:jc w:val="both"/>
        <w:rPr>
          <w:highlight w:val="none"/>
          <w:shd w:fill="auto" w:val="clear"/>
        </w:rPr>
      </w:pPr>
      <w:r>
        <w:rPr>
          <w:shd w:fill="auto" w:val="clear"/>
        </w:rPr>
        <w:t>возможные негативные последствия от реализации (возникновения) угроз безопасности информации:</w:t>
      </w:r>
    </w:p>
    <w:p>
      <w:pPr>
        <w:pStyle w:val="Style94"/>
        <w:rPr>
          <w:highlight w:val="none"/>
          <w:shd w:fill="auto" w:val="clear"/>
        </w:rPr>
      </w:pPr>
      <w:r>
        <w:rPr>
          <w:shd w:fill="auto" w:val="clear"/>
        </w:rPr>
        <w:t>описание видов рисков (ущербов), актуальных для обладателя информации, оператора, которые могут наступить от нарушения или прекращения основных процессов;</w:t>
      </w:r>
    </w:p>
    <w:p>
      <w:pPr>
        <w:pStyle w:val="Style94"/>
        <w:rPr>
          <w:highlight w:val="none"/>
          <w:shd w:fill="auto" w:val="clear"/>
        </w:rPr>
      </w:pPr>
      <w:r>
        <w:rPr>
          <w:shd w:fill="auto" w:val="clear"/>
        </w:rPr>
        <w:t>описание негативных последствий, наступление которых в результате реализации (возникновения) угроз безопасности может привести к возникновению рисков (ущерба).</w:t>
      </w:r>
    </w:p>
    <w:p>
      <w:pPr>
        <w:pStyle w:val="ListParagraph"/>
        <w:numPr>
          <w:ilvl w:val="0"/>
          <w:numId w:val="12"/>
        </w:numPr>
        <w:jc w:val="both"/>
        <w:rPr>
          <w:highlight w:val="none"/>
          <w:shd w:fill="auto" w:val="clear"/>
        </w:rPr>
      </w:pPr>
      <w:r>
        <w:rPr>
          <w:shd w:fill="auto" w:val="clear"/>
        </w:rPr>
        <w:t>возможные объекты воздействия угроз безопасности информации:</w:t>
      </w:r>
    </w:p>
    <w:p>
      <w:pPr>
        <w:pStyle w:val="Style94"/>
        <w:rPr>
          <w:highlight w:val="none"/>
          <w:shd w:fill="auto" w:val="clear"/>
        </w:rPr>
      </w:pPr>
      <w:r>
        <w:rPr>
          <w:shd w:fill="auto" w:val="clear"/>
        </w:rPr>
        <w:t>наименование и назначение компонентов систем и сетей, которые непосредственно участвуют в обработке и хранении защищаемой информации, или обеспечивают реализацию основных процессов обладателя информации, оператора;</w:t>
      </w:r>
    </w:p>
    <w:p>
      <w:pPr>
        <w:pStyle w:val="Style94"/>
        <w:rPr>
          <w:highlight w:val="none"/>
          <w:shd w:fill="auto" w:val="clear"/>
        </w:rPr>
      </w:pPr>
      <w:r>
        <w:rPr>
          <w:shd w:fill="auto" w:val="clear"/>
        </w:rPr>
        <w:t>описание видов воздействия на компоненты систем и сетей, реализация которых нарушителем может привести к негативным последствиям.</w:t>
      </w:r>
    </w:p>
    <w:p>
      <w:pPr>
        <w:pStyle w:val="ListParagraph"/>
        <w:numPr>
          <w:ilvl w:val="0"/>
          <w:numId w:val="12"/>
        </w:numPr>
        <w:spacing w:before="0" w:after="200"/>
        <w:contextualSpacing/>
        <w:jc w:val="both"/>
        <w:rPr>
          <w:highlight w:val="none"/>
          <w:shd w:fill="auto" w:val="clear"/>
        </w:rPr>
      </w:pPr>
      <w:r>
        <w:rPr>
          <w:shd w:fill="auto" w:val="clear"/>
        </w:rPr>
        <w:t xml:space="preserve">обоснование необходимости использования СКЗИ для обеспечения безопасности информации; </w:t>
      </w:r>
    </w:p>
    <w:p>
      <w:pPr>
        <w:pStyle w:val="ListParagraph"/>
        <w:numPr>
          <w:ilvl w:val="0"/>
          <w:numId w:val="12"/>
        </w:numPr>
        <w:spacing w:before="0" w:after="200"/>
        <w:contextualSpacing/>
        <w:jc w:val="both"/>
        <w:rPr>
          <w:highlight w:val="none"/>
          <w:shd w:fill="auto" w:val="clear"/>
        </w:rPr>
      </w:pPr>
      <w:r>
        <w:rPr>
          <w:shd w:fill="auto" w:val="clear"/>
        </w:rPr>
        <w:t xml:space="preserve">описание дополнительных объектов защиты; </w:t>
      </w:r>
    </w:p>
    <w:p>
      <w:pPr>
        <w:pStyle w:val="ListParagraph"/>
        <w:numPr>
          <w:ilvl w:val="0"/>
          <w:numId w:val="12"/>
        </w:numPr>
        <w:spacing w:before="0" w:after="200"/>
        <w:contextualSpacing/>
        <w:jc w:val="both"/>
        <w:rPr>
          <w:highlight w:val="none"/>
          <w:shd w:fill="auto" w:val="clear"/>
        </w:rPr>
      </w:pPr>
      <w:r>
        <w:rPr>
          <w:shd w:fill="auto" w:val="clear"/>
        </w:rPr>
        <w:t xml:space="preserve">описание принципов модели угроз; </w:t>
      </w:r>
    </w:p>
    <w:p>
      <w:pPr>
        <w:pStyle w:val="ListParagraph"/>
        <w:numPr>
          <w:ilvl w:val="0"/>
          <w:numId w:val="12"/>
        </w:numPr>
        <w:jc w:val="both"/>
        <w:rPr>
          <w:highlight w:val="none"/>
          <w:shd w:fill="auto" w:val="clear"/>
        </w:rPr>
      </w:pPr>
      <w:r>
        <w:rPr>
          <w:shd w:fill="auto" w:val="clear"/>
        </w:rPr>
        <w:t xml:space="preserve">источники угроз безопасности информации: </w:t>
      </w:r>
    </w:p>
    <w:p>
      <w:pPr>
        <w:pStyle w:val="Style94"/>
        <w:rPr>
          <w:highlight w:val="none"/>
          <w:shd w:fill="auto" w:val="clear"/>
        </w:rPr>
      </w:pPr>
      <w:r>
        <w:rPr>
          <w:shd w:fill="auto" w:val="clear"/>
        </w:rPr>
        <w:t>характеристика нарушителей, которые могут являться источниками угроз безопасности информации, и возможные цели реализации ими угроз безопасности информации;</w:t>
      </w:r>
    </w:p>
    <w:p>
      <w:pPr>
        <w:pStyle w:val="Style94"/>
        <w:rPr>
          <w:highlight w:val="none"/>
          <w:shd w:fill="auto" w:val="clear"/>
        </w:rPr>
      </w:pPr>
      <w:r>
        <w:rPr>
          <w:shd w:fill="auto" w:val="clear"/>
        </w:rPr>
        <w:t>категории актуальных нарушителей, которые могут являться источниками угроз безопасности информации;</w:t>
      </w:r>
    </w:p>
    <w:p>
      <w:pPr>
        <w:pStyle w:val="Style94"/>
        <w:rPr>
          <w:highlight w:val="none"/>
          <w:shd w:fill="auto" w:val="clear"/>
        </w:rPr>
      </w:pPr>
      <w:r>
        <w:rPr>
          <w:shd w:fill="auto" w:val="clear"/>
        </w:rPr>
        <w:t>описание возможностей нарушителей по реализации ими угроз безопасности применительно к назначению, составу и архитектуре систем и сетей.</w:t>
      </w:r>
    </w:p>
    <w:p>
      <w:pPr>
        <w:pStyle w:val="ListParagraph"/>
        <w:numPr>
          <w:ilvl w:val="0"/>
          <w:numId w:val="12"/>
        </w:numPr>
        <w:jc w:val="both"/>
        <w:rPr>
          <w:highlight w:val="none"/>
          <w:shd w:fill="auto" w:val="clear"/>
        </w:rPr>
      </w:pPr>
      <w:r>
        <w:rPr>
          <w:shd w:fill="auto" w:val="clear"/>
        </w:rPr>
        <w:t>способы реализации (возникновения) угроз безопасности информации:</w:t>
      </w:r>
    </w:p>
    <w:p>
      <w:pPr>
        <w:pStyle w:val="Style94"/>
        <w:rPr>
          <w:highlight w:val="none"/>
          <w:shd w:fill="auto" w:val="clear"/>
        </w:rPr>
      </w:pPr>
      <w:r>
        <w:rPr>
          <w:shd w:fill="auto" w:val="clear"/>
        </w:rPr>
        <w:t>описание способов реализации (возникновения) угроз безопасности информации, которые могут быть реализованы нарушителями разных видов и категорий;</w:t>
      </w:r>
    </w:p>
    <w:p>
      <w:pPr>
        <w:pStyle w:val="Style94"/>
        <w:rPr>
          <w:highlight w:val="none"/>
          <w:shd w:fill="auto" w:val="clear"/>
        </w:rPr>
      </w:pPr>
      <w:r>
        <w:rPr>
          <w:shd w:fill="auto" w:val="clear"/>
        </w:rPr>
        <w:t>описание интерфейсов объектов воздействия, доступных для использования нарушителями способов реализации угроз безопасности информации.</w:t>
      </w:r>
    </w:p>
    <w:p>
      <w:pPr>
        <w:pStyle w:val="ListParagraph"/>
        <w:numPr>
          <w:ilvl w:val="0"/>
          <w:numId w:val="12"/>
        </w:numPr>
        <w:jc w:val="both"/>
        <w:rPr>
          <w:highlight w:val="none"/>
          <w:shd w:fill="auto" w:val="clear"/>
        </w:rPr>
      </w:pPr>
      <w:r>
        <w:rPr>
          <w:shd w:fill="auto" w:val="clear"/>
        </w:rPr>
        <w:t>актуальные угрозы безопасности информации:</w:t>
      </w:r>
    </w:p>
    <w:p>
      <w:pPr>
        <w:pStyle w:val="Style94"/>
        <w:rPr>
          <w:highlight w:val="none"/>
          <w:shd w:fill="auto" w:val="clear"/>
        </w:rPr>
      </w:pPr>
      <w:r>
        <w:rPr>
          <w:shd w:fill="auto" w:val="clear"/>
        </w:rPr>
        <w:t>перечень возможных (вероятных) угроз безопасности информации для соответствующих способов их реализации и уровней возможностей нарушителей;</w:t>
      </w:r>
    </w:p>
    <w:p>
      <w:pPr>
        <w:pStyle w:val="Style94"/>
        <w:rPr>
          <w:highlight w:val="none"/>
          <w:shd w:fill="auto" w:val="clear"/>
        </w:rPr>
      </w:pPr>
      <w:r>
        <w:rPr>
          <w:shd w:fill="auto" w:val="clear"/>
        </w:rPr>
        <w:t>описание возможных сценариев реализации угроз безопасности информации;</w:t>
      </w:r>
    </w:p>
    <w:p>
      <w:pPr>
        <w:pStyle w:val="Style94"/>
        <w:rPr>
          <w:highlight w:val="none"/>
          <w:shd w:fill="auto" w:val="clear"/>
        </w:rPr>
      </w:pPr>
      <w:r>
        <w:rPr>
          <w:shd w:fill="auto" w:val="clear"/>
        </w:rPr>
        <w:t>выводы об актуальности угроз безопасности информации (для каждой угрозы).</w:t>
      </w:r>
    </w:p>
    <w:p>
      <w:pPr>
        <w:pStyle w:val="ListParagraph"/>
        <w:numPr>
          <w:ilvl w:val="1"/>
          <w:numId w:val="11"/>
        </w:numPr>
        <w:ind w:firstLine="426" w:start="0"/>
        <w:jc w:val="both"/>
        <w:rPr>
          <w:highlight w:val="none"/>
          <w:shd w:fill="auto" w:val="clear"/>
        </w:rPr>
      </w:pPr>
      <w:r>
        <w:rPr>
          <w:rFonts w:eastAsia="Calibri"/>
          <w:shd w:fill="auto" w:val="clear"/>
        </w:rPr>
        <w:t>К скорректированной модели угроз безопасности информации должна прилагаться информация с отображением возможных сценариев реализации угроз безопасности информации.</w:t>
      </w:r>
    </w:p>
    <w:p>
      <w:pPr>
        <w:pStyle w:val="ListParagraph"/>
        <w:numPr>
          <w:ilvl w:val="1"/>
          <w:numId w:val="11"/>
        </w:numPr>
        <w:ind w:firstLine="426" w:start="0"/>
        <w:jc w:val="both"/>
        <w:rPr>
          <w:highlight w:val="none"/>
          <w:shd w:fill="auto" w:val="clear"/>
        </w:rPr>
      </w:pPr>
      <w:r>
        <w:rPr>
          <w:rFonts w:eastAsia="Calibri"/>
          <w:shd w:fill="auto" w:val="clear"/>
        </w:rPr>
        <w:t>Документ «Модель угроз безопасности</w:t>
      </w:r>
      <w:r>
        <w:rPr>
          <w:shd w:fill="auto" w:val="clear"/>
        </w:rPr>
        <w:t xml:space="preserve"> </w:t>
      </w:r>
      <w:r>
        <w:rPr>
          <w:rFonts w:eastAsia="Calibri"/>
          <w:shd w:fill="auto" w:val="clear"/>
        </w:rPr>
        <w:t>защищаемой информации при ее обработке в информационной системе» предоставляется Заказчику на бумажном носителе и в электронном виде в одном экземпляре.</w:t>
      </w:r>
    </w:p>
    <w:p>
      <w:pPr>
        <w:pStyle w:val="ListParagraph"/>
        <w:ind w:start="426"/>
        <w:jc w:val="both"/>
        <w:rPr>
          <w:rFonts w:eastAsia="Calibri"/>
          <w:highlight w:val="none"/>
          <w:shd w:fill="auto" w:val="clear"/>
        </w:rPr>
      </w:pPr>
      <w:r>
        <w:rPr>
          <w:rFonts w:eastAsia="Calibri"/>
          <w:shd w:fill="auto" w:val="clear"/>
        </w:rPr>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оказанию услуг по корректировке документа «Техническое задание на создание системы защиты информации для информационной системы» информационной системы «РСОН»</w:t>
      </w:r>
    </w:p>
    <w:p>
      <w:pPr>
        <w:pStyle w:val="ListParagraph"/>
        <w:numPr>
          <w:ilvl w:val="1"/>
          <w:numId w:val="11"/>
        </w:numPr>
        <w:ind w:firstLine="426" w:start="0"/>
        <w:jc w:val="both"/>
        <w:rPr>
          <w:highlight w:val="none"/>
          <w:shd w:fill="auto" w:val="clear"/>
        </w:rPr>
      </w:pPr>
      <w:r>
        <w:rPr>
          <w:rFonts w:eastAsia="Calibri"/>
          <w:shd w:fill="auto" w:val="clear"/>
        </w:rPr>
        <w:t>Исполнитель осуществляет корректировку предоставленного Заказчиком документа «Техническое задание на создание системы защиты информации» для информационной системы «РСОН» с учетом документа «Модель угроз безопасности информации при ее обработке в информационной системе», действующих нормативных правовых актов, методических документов ФСТЭК России, а также фактической архитектуры и условий функционирования информационной системы.</w:t>
      </w:r>
    </w:p>
    <w:p>
      <w:pPr>
        <w:pStyle w:val="ListParagraph"/>
        <w:numPr>
          <w:ilvl w:val="1"/>
          <w:numId w:val="11"/>
        </w:numPr>
        <w:ind w:firstLine="426" w:start="0"/>
        <w:jc w:val="both"/>
        <w:rPr>
          <w:highlight w:val="none"/>
          <w:shd w:fill="auto" w:val="clear"/>
        </w:rPr>
      </w:pPr>
      <w:r>
        <w:rPr>
          <w:rFonts w:eastAsia="Calibri"/>
          <w:shd w:fill="auto" w:val="clear"/>
        </w:rPr>
        <w:t>Корректировка документа осуществляется в целях актуализации требований к созданию (модернизации) системы защиты информации информационной системы, уточнения целей и условий функционирования информационной системы, состава ее функциональных подсистем и сегментов, а также перечня технических и организационно-распорядительных мер, направленных на нейтрализацию актуальных угроз безопасности информации и обеспечение соответствия требованиям действующего законодательства Российской Федерации в области защиты информации.</w:t>
      </w:r>
    </w:p>
    <w:p>
      <w:pPr>
        <w:pStyle w:val="ListParagraph"/>
        <w:numPr>
          <w:ilvl w:val="1"/>
          <w:numId w:val="11"/>
        </w:numPr>
        <w:ind w:firstLine="426" w:start="0"/>
        <w:jc w:val="both"/>
        <w:rPr>
          <w:highlight w:val="none"/>
          <w:shd w:fill="auto" w:val="clear"/>
        </w:rPr>
      </w:pPr>
      <w:r>
        <w:rPr>
          <w:rFonts w:eastAsia="Calibri"/>
          <w:shd w:fill="auto" w:val="clear"/>
        </w:rPr>
        <w:t>При корректировке документа должно предусматриваться максимальное использование в информационной системе уже применяемых Заказчиком технических средств и программного обеспечения при условии их соответствия требованиям по защите информации.</w:t>
      </w:r>
    </w:p>
    <w:p>
      <w:pPr>
        <w:pStyle w:val="ListParagraph"/>
        <w:numPr>
          <w:ilvl w:val="1"/>
          <w:numId w:val="11"/>
        </w:numPr>
        <w:ind w:firstLine="426" w:start="0"/>
        <w:jc w:val="both"/>
        <w:rPr>
          <w:highlight w:val="none"/>
          <w:shd w:fill="auto" w:val="clear"/>
        </w:rPr>
      </w:pPr>
      <w:r>
        <w:rPr>
          <w:rFonts w:eastAsia="Calibri"/>
          <w:shd w:fill="auto" w:val="clear"/>
        </w:rPr>
        <w:t>Скорректированный документ «Техническое задание на создание системы защиты информации» должен содержать актуализированные сведения о требованиях к системе защиты информации, включая:</w:t>
      </w:r>
    </w:p>
    <w:p>
      <w:pPr>
        <w:pStyle w:val="ListParagraph"/>
        <w:numPr>
          <w:ilvl w:val="0"/>
          <w:numId w:val="12"/>
        </w:numPr>
        <w:jc w:val="both"/>
        <w:rPr>
          <w:highlight w:val="none"/>
          <w:shd w:fill="auto" w:val="clear"/>
        </w:rPr>
      </w:pPr>
      <w:r>
        <w:rPr>
          <w:shd w:fill="auto" w:val="clear"/>
        </w:rPr>
        <w:t>перечень документов, на основании которых создается информационная система и подсистема защиты информации (далее - СЗИ);</w:t>
      </w:r>
    </w:p>
    <w:p>
      <w:pPr>
        <w:pStyle w:val="ListParagraph"/>
        <w:numPr>
          <w:ilvl w:val="0"/>
          <w:numId w:val="12"/>
        </w:numPr>
        <w:jc w:val="both"/>
        <w:rPr>
          <w:highlight w:val="none"/>
          <w:shd w:fill="auto" w:val="clear"/>
        </w:rPr>
      </w:pPr>
      <w:r>
        <w:rPr>
          <w:shd w:fill="auto" w:val="clear"/>
        </w:rPr>
        <w:t>плановые сроки начала и окончания работ по созданию системы;</w:t>
      </w:r>
    </w:p>
    <w:p>
      <w:pPr>
        <w:pStyle w:val="ListParagraph"/>
        <w:numPr>
          <w:ilvl w:val="0"/>
          <w:numId w:val="12"/>
        </w:numPr>
        <w:jc w:val="both"/>
        <w:rPr>
          <w:highlight w:val="none"/>
          <w:shd w:fill="auto" w:val="clear"/>
        </w:rPr>
      </w:pPr>
      <w:r>
        <w:rPr>
          <w:shd w:fill="auto" w:val="clear"/>
        </w:rPr>
        <w:t>сведения об источниках и порядке финансирования работ;</w:t>
      </w:r>
    </w:p>
    <w:p>
      <w:pPr>
        <w:pStyle w:val="ListParagraph"/>
        <w:numPr>
          <w:ilvl w:val="0"/>
          <w:numId w:val="12"/>
        </w:numPr>
        <w:jc w:val="both"/>
        <w:rPr>
          <w:highlight w:val="none"/>
          <w:shd w:fill="auto" w:val="clear"/>
        </w:rPr>
      </w:pPr>
      <w:r>
        <w:rPr>
          <w:shd w:fill="auto" w:val="clear"/>
        </w:rPr>
        <w:t>порядок оформления и предъявления заказчику результатов работ по созданию системы;</w:t>
      </w:r>
    </w:p>
    <w:p>
      <w:pPr>
        <w:pStyle w:val="ListParagraph"/>
        <w:numPr>
          <w:ilvl w:val="0"/>
          <w:numId w:val="12"/>
        </w:numPr>
        <w:jc w:val="both"/>
        <w:rPr>
          <w:highlight w:val="none"/>
          <w:shd w:fill="auto" w:val="clear"/>
        </w:rPr>
      </w:pPr>
      <w:r>
        <w:rPr>
          <w:shd w:fill="auto" w:val="clear"/>
        </w:rPr>
        <w:t>назначение и цели создания системы;</w:t>
      </w:r>
    </w:p>
    <w:p>
      <w:pPr>
        <w:pStyle w:val="ListParagraph"/>
        <w:numPr>
          <w:ilvl w:val="0"/>
          <w:numId w:val="12"/>
        </w:numPr>
        <w:jc w:val="both"/>
        <w:rPr>
          <w:highlight w:val="none"/>
          <w:shd w:fill="auto" w:val="clear"/>
        </w:rPr>
      </w:pPr>
      <w:r>
        <w:rPr>
          <w:shd w:fill="auto" w:val="clear"/>
        </w:rPr>
        <w:t>класс и уровень защищенности;</w:t>
      </w:r>
    </w:p>
    <w:p>
      <w:pPr>
        <w:pStyle w:val="ListParagraph"/>
        <w:numPr>
          <w:ilvl w:val="0"/>
          <w:numId w:val="12"/>
        </w:numPr>
        <w:jc w:val="both"/>
        <w:rPr>
          <w:highlight w:val="none"/>
          <w:shd w:fill="auto" w:val="clear"/>
        </w:rPr>
      </w:pPr>
      <w:r>
        <w:rPr>
          <w:shd w:fill="auto" w:val="clear"/>
        </w:rPr>
        <w:t>характеристики объекта информатизации;</w:t>
      </w:r>
    </w:p>
    <w:p>
      <w:pPr>
        <w:pStyle w:val="ListParagraph"/>
        <w:numPr>
          <w:ilvl w:val="0"/>
          <w:numId w:val="12"/>
        </w:numPr>
        <w:jc w:val="both"/>
        <w:rPr>
          <w:highlight w:val="none"/>
          <w:shd w:fill="auto" w:val="clear"/>
        </w:rPr>
      </w:pPr>
      <w:r>
        <w:rPr>
          <w:shd w:fill="auto" w:val="clear"/>
        </w:rPr>
        <w:t>требования к структуре и функционированию системы;</w:t>
      </w:r>
    </w:p>
    <w:p>
      <w:pPr>
        <w:pStyle w:val="ListParagraph"/>
        <w:numPr>
          <w:ilvl w:val="0"/>
          <w:numId w:val="12"/>
        </w:numPr>
        <w:jc w:val="both"/>
        <w:rPr>
          <w:highlight w:val="none"/>
          <w:shd w:fill="auto" w:val="clear"/>
        </w:rPr>
      </w:pPr>
      <w:r>
        <w:rPr>
          <w:shd w:fill="auto" w:val="clear"/>
        </w:rPr>
        <w:t>перечень подсистем, их назначение и основные характеристики, требования к числу уровней иерархии и степени централизации системы;</w:t>
      </w:r>
    </w:p>
    <w:p>
      <w:pPr>
        <w:pStyle w:val="ListParagraph"/>
        <w:numPr>
          <w:ilvl w:val="0"/>
          <w:numId w:val="12"/>
        </w:numPr>
        <w:jc w:val="both"/>
        <w:rPr>
          <w:highlight w:val="none"/>
          <w:shd w:fill="auto" w:val="clear"/>
        </w:rPr>
      </w:pPr>
      <w:r>
        <w:rPr>
          <w:shd w:fill="auto" w:val="clear"/>
        </w:rPr>
        <w:t>требования к способам и средствам связи для информационного обмена между компонентами системы;</w:t>
      </w:r>
    </w:p>
    <w:p>
      <w:pPr>
        <w:pStyle w:val="ListParagraph"/>
        <w:numPr>
          <w:ilvl w:val="0"/>
          <w:numId w:val="12"/>
        </w:numPr>
        <w:jc w:val="both"/>
        <w:rPr>
          <w:highlight w:val="none"/>
          <w:shd w:fill="auto" w:val="clear"/>
        </w:rPr>
      </w:pPr>
      <w:r>
        <w:rPr>
          <w:shd w:fill="auto" w:val="clear"/>
        </w:rPr>
        <w:t>требования к режимам функционирования системы;</w:t>
      </w:r>
    </w:p>
    <w:p>
      <w:pPr>
        <w:pStyle w:val="ListParagraph"/>
        <w:numPr>
          <w:ilvl w:val="0"/>
          <w:numId w:val="12"/>
        </w:numPr>
        <w:jc w:val="both"/>
        <w:rPr>
          <w:highlight w:val="none"/>
          <w:shd w:fill="auto" w:val="clear"/>
        </w:rPr>
      </w:pPr>
      <w:r>
        <w:rPr>
          <w:shd w:fill="auto" w:val="clear"/>
        </w:rPr>
        <w:t>требования по диагностированию системы;</w:t>
      </w:r>
    </w:p>
    <w:p>
      <w:pPr>
        <w:pStyle w:val="ListParagraph"/>
        <w:numPr>
          <w:ilvl w:val="0"/>
          <w:numId w:val="12"/>
        </w:numPr>
        <w:jc w:val="both"/>
        <w:rPr>
          <w:highlight w:val="none"/>
          <w:shd w:fill="auto" w:val="clear"/>
        </w:rPr>
      </w:pPr>
      <w:r>
        <w:rPr>
          <w:shd w:fill="auto" w:val="clear"/>
        </w:rPr>
        <w:t>перспективы развития, модернизации системы;</w:t>
      </w:r>
    </w:p>
    <w:p>
      <w:pPr>
        <w:pStyle w:val="ListParagraph"/>
        <w:numPr>
          <w:ilvl w:val="0"/>
          <w:numId w:val="12"/>
        </w:numPr>
        <w:jc w:val="both"/>
        <w:rPr>
          <w:highlight w:val="none"/>
          <w:shd w:fill="auto" w:val="clear"/>
        </w:rPr>
      </w:pPr>
      <w:r>
        <w:rPr>
          <w:shd w:fill="auto" w:val="clear"/>
        </w:rPr>
        <w:t>требования к численности и квалификации персонала системы и режиму его работы;</w:t>
      </w:r>
    </w:p>
    <w:p>
      <w:pPr>
        <w:pStyle w:val="ListParagraph"/>
        <w:numPr>
          <w:ilvl w:val="0"/>
          <w:numId w:val="12"/>
        </w:numPr>
        <w:jc w:val="both"/>
        <w:rPr>
          <w:highlight w:val="none"/>
          <w:shd w:fill="auto" w:val="clear"/>
        </w:rPr>
      </w:pPr>
      <w:r>
        <w:rPr>
          <w:shd w:fill="auto" w:val="clear"/>
        </w:rPr>
        <w:t>показатели назначения;</w:t>
      </w:r>
    </w:p>
    <w:p>
      <w:pPr>
        <w:pStyle w:val="ListParagraph"/>
        <w:numPr>
          <w:ilvl w:val="0"/>
          <w:numId w:val="12"/>
        </w:numPr>
        <w:jc w:val="both"/>
        <w:rPr>
          <w:highlight w:val="none"/>
          <w:shd w:fill="auto" w:val="clear"/>
        </w:rPr>
      </w:pPr>
      <w:r>
        <w:rPr>
          <w:shd w:fill="auto" w:val="clear"/>
        </w:rPr>
        <w:t>требования к надежности;</w:t>
      </w:r>
    </w:p>
    <w:p>
      <w:pPr>
        <w:pStyle w:val="ListParagraph"/>
        <w:numPr>
          <w:ilvl w:val="0"/>
          <w:numId w:val="12"/>
        </w:numPr>
        <w:jc w:val="both"/>
        <w:rPr>
          <w:highlight w:val="none"/>
          <w:shd w:fill="auto" w:val="clear"/>
        </w:rPr>
      </w:pPr>
      <w:r>
        <w:rPr>
          <w:shd w:fill="auto" w:val="clear"/>
        </w:rPr>
        <w:t>состав показателей надежности для системы в целом;</w:t>
      </w:r>
    </w:p>
    <w:p>
      <w:pPr>
        <w:pStyle w:val="ListParagraph"/>
        <w:numPr>
          <w:ilvl w:val="0"/>
          <w:numId w:val="12"/>
        </w:numPr>
        <w:jc w:val="both"/>
        <w:rPr>
          <w:highlight w:val="none"/>
          <w:shd w:fill="auto" w:val="clear"/>
        </w:rPr>
      </w:pPr>
      <w:r>
        <w:rPr>
          <w:shd w:fill="auto" w:val="clear"/>
        </w:rPr>
        <w:t>перечень аварийных ситуаций, по которым должны быть регламентированы требования к надежности;</w:t>
      </w:r>
    </w:p>
    <w:p>
      <w:pPr>
        <w:pStyle w:val="ListParagraph"/>
        <w:numPr>
          <w:ilvl w:val="0"/>
          <w:numId w:val="12"/>
        </w:numPr>
        <w:jc w:val="both"/>
        <w:rPr>
          <w:highlight w:val="none"/>
          <w:shd w:fill="auto" w:val="clear"/>
        </w:rPr>
      </w:pPr>
      <w:r>
        <w:rPr>
          <w:shd w:fill="auto" w:val="clear"/>
        </w:rPr>
        <w:t>требования к надежности технических средств и программного обеспечения;</w:t>
      </w:r>
    </w:p>
    <w:p>
      <w:pPr>
        <w:pStyle w:val="ListParagraph"/>
        <w:numPr>
          <w:ilvl w:val="0"/>
          <w:numId w:val="12"/>
        </w:numPr>
        <w:jc w:val="both"/>
        <w:rPr>
          <w:highlight w:val="none"/>
          <w:shd w:fill="auto" w:val="clear"/>
        </w:rPr>
      </w:pPr>
      <w:r>
        <w:rPr>
          <w:shd w:fill="auto" w:val="clear"/>
        </w:rPr>
        <w:t>требования к методам оценки и контроля показателей надежности на разных стадиях создания системы в соответствии с действующими нормативно-техническими документами;</w:t>
      </w:r>
    </w:p>
    <w:p>
      <w:pPr>
        <w:pStyle w:val="ListParagraph"/>
        <w:numPr>
          <w:ilvl w:val="0"/>
          <w:numId w:val="12"/>
        </w:numPr>
        <w:jc w:val="both"/>
        <w:rPr>
          <w:highlight w:val="none"/>
          <w:shd w:fill="auto" w:val="clear"/>
        </w:rPr>
      </w:pPr>
      <w:r>
        <w:rPr>
          <w:shd w:fill="auto" w:val="clear"/>
        </w:rPr>
        <w:t>требования к безопасности;</w:t>
      </w:r>
    </w:p>
    <w:p>
      <w:pPr>
        <w:pStyle w:val="ListParagraph"/>
        <w:numPr>
          <w:ilvl w:val="0"/>
          <w:numId w:val="12"/>
        </w:numPr>
        <w:jc w:val="both"/>
        <w:rPr>
          <w:highlight w:val="none"/>
          <w:shd w:fill="auto" w:val="clear"/>
        </w:rPr>
      </w:pPr>
      <w:r>
        <w:rPr>
          <w:shd w:fill="auto" w:val="clear"/>
        </w:rPr>
        <w:t>требования к эргономике и технической эстетике;</w:t>
      </w:r>
    </w:p>
    <w:p>
      <w:pPr>
        <w:pStyle w:val="ListParagraph"/>
        <w:numPr>
          <w:ilvl w:val="0"/>
          <w:numId w:val="12"/>
        </w:numPr>
        <w:jc w:val="both"/>
        <w:rPr>
          <w:highlight w:val="none"/>
          <w:shd w:fill="auto" w:val="clear"/>
        </w:rPr>
      </w:pPr>
      <w:r>
        <w:rPr>
          <w:shd w:fill="auto" w:val="clear"/>
        </w:rPr>
        <w:t>требования к эксплуатации, техническому обслуживанию, ремонту и хранению компонентов системы;</w:t>
      </w:r>
    </w:p>
    <w:p>
      <w:pPr>
        <w:pStyle w:val="ListParagraph"/>
        <w:numPr>
          <w:ilvl w:val="0"/>
          <w:numId w:val="12"/>
        </w:numPr>
        <w:jc w:val="both"/>
        <w:rPr>
          <w:highlight w:val="none"/>
          <w:shd w:fill="auto" w:val="clear"/>
        </w:rPr>
      </w:pPr>
      <w:r>
        <w:rPr>
          <w:shd w:fill="auto" w:val="clear"/>
        </w:rPr>
        <w:t>требования к защите информации от несанкционированного доступа;</w:t>
      </w:r>
    </w:p>
    <w:p>
      <w:pPr>
        <w:pStyle w:val="ListParagraph"/>
        <w:numPr>
          <w:ilvl w:val="0"/>
          <w:numId w:val="12"/>
        </w:numPr>
        <w:jc w:val="both"/>
        <w:rPr>
          <w:highlight w:val="none"/>
          <w:shd w:fill="auto" w:val="clear"/>
        </w:rPr>
      </w:pPr>
      <w:r>
        <w:rPr>
          <w:shd w:fill="auto" w:val="clear"/>
        </w:rPr>
        <w:t>определение базового набора мер защиты информации;</w:t>
      </w:r>
    </w:p>
    <w:p>
      <w:pPr>
        <w:pStyle w:val="ListParagraph"/>
        <w:numPr>
          <w:ilvl w:val="0"/>
          <w:numId w:val="12"/>
        </w:numPr>
        <w:jc w:val="both"/>
        <w:rPr>
          <w:highlight w:val="none"/>
          <w:shd w:fill="auto" w:val="clear"/>
        </w:rPr>
      </w:pPr>
      <w:r>
        <w:rPr>
          <w:shd w:fill="auto" w:val="clear"/>
        </w:rPr>
        <w:t>адаптация базового набора мер защиты информации;</w:t>
      </w:r>
    </w:p>
    <w:p>
      <w:pPr>
        <w:pStyle w:val="ListParagraph"/>
        <w:numPr>
          <w:ilvl w:val="0"/>
          <w:numId w:val="12"/>
        </w:numPr>
        <w:jc w:val="both"/>
        <w:rPr>
          <w:highlight w:val="none"/>
          <w:shd w:fill="auto" w:val="clear"/>
        </w:rPr>
      </w:pPr>
      <w:r>
        <w:rPr>
          <w:shd w:fill="auto" w:val="clear"/>
        </w:rPr>
        <w:t>уточнение адаптированного базового набора мер защиты информации;</w:t>
      </w:r>
    </w:p>
    <w:p>
      <w:pPr>
        <w:pStyle w:val="ListParagraph"/>
        <w:numPr>
          <w:ilvl w:val="0"/>
          <w:numId w:val="12"/>
        </w:numPr>
        <w:jc w:val="both"/>
        <w:rPr>
          <w:highlight w:val="none"/>
          <w:shd w:fill="auto" w:val="clear"/>
        </w:rPr>
      </w:pPr>
      <w:r>
        <w:rPr>
          <w:shd w:fill="auto" w:val="clear"/>
        </w:rPr>
        <w:t>дополнение уточненного адаптированного базового набора мер защиты информации;</w:t>
      </w:r>
    </w:p>
    <w:p>
      <w:pPr>
        <w:pStyle w:val="ListParagraph"/>
        <w:numPr>
          <w:ilvl w:val="0"/>
          <w:numId w:val="12"/>
        </w:numPr>
        <w:jc w:val="both"/>
        <w:rPr>
          <w:highlight w:val="none"/>
          <w:shd w:fill="auto" w:val="clear"/>
        </w:rPr>
      </w:pPr>
      <w:r>
        <w:rPr>
          <w:shd w:fill="auto" w:val="clear"/>
        </w:rPr>
        <w:t>требования по сохранности информации при авариях;</w:t>
      </w:r>
    </w:p>
    <w:p>
      <w:pPr>
        <w:pStyle w:val="ListParagraph"/>
        <w:numPr>
          <w:ilvl w:val="0"/>
          <w:numId w:val="12"/>
        </w:numPr>
        <w:jc w:val="both"/>
        <w:rPr>
          <w:highlight w:val="none"/>
          <w:shd w:fill="auto" w:val="clear"/>
        </w:rPr>
      </w:pPr>
      <w:r>
        <w:rPr>
          <w:shd w:fill="auto" w:val="clear"/>
        </w:rPr>
        <w:t>требования к защите от влияния внешних воздействий;</w:t>
      </w:r>
    </w:p>
    <w:p>
      <w:pPr>
        <w:pStyle w:val="ListParagraph"/>
        <w:numPr>
          <w:ilvl w:val="0"/>
          <w:numId w:val="12"/>
        </w:numPr>
        <w:jc w:val="both"/>
        <w:rPr>
          <w:highlight w:val="none"/>
          <w:shd w:fill="auto" w:val="clear"/>
        </w:rPr>
      </w:pPr>
      <w:r>
        <w:rPr>
          <w:shd w:fill="auto" w:val="clear"/>
        </w:rPr>
        <w:t>требования к патентной чистоте;</w:t>
      </w:r>
    </w:p>
    <w:p>
      <w:pPr>
        <w:pStyle w:val="ListParagraph"/>
        <w:numPr>
          <w:ilvl w:val="0"/>
          <w:numId w:val="12"/>
        </w:numPr>
        <w:jc w:val="both"/>
        <w:rPr>
          <w:highlight w:val="none"/>
          <w:shd w:fill="auto" w:val="clear"/>
        </w:rPr>
      </w:pPr>
      <w:r>
        <w:rPr>
          <w:shd w:fill="auto" w:val="clear"/>
        </w:rPr>
        <w:t>требования по стандартизации и унификации;</w:t>
      </w:r>
    </w:p>
    <w:p>
      <w:pPr>
        <w:pStyle w:val="ListParagraph"/>
        <w:numPr>
          <w:ilvl w:val="0"/>
          <w:numId w:val="12"/>
        </w:numPr>
        <w:jc w:val="both"/>
        <w:rPr>
          <w:highlight w:val="none"/>
          <w:shd w:fill="auto" w:val="clear"/>
        </w:rPr>
      </w:pPr>
      <w:r>
        <w:rPr>
          <w:shd w:fill="auto" w:val="clear"/>
        </w:rPr>
        <w:t>дополнительные требования;</w:t>
      </w:r>
    </w:p>
    <w:p>
      <w:pPr>
        <w:pStyle w:val="ListParagraph"/>
        <w:numPr>
          <w:ilvl w:val="0"/>
          <w:numId w:val="12"/>
        </w:numPr>
        <w:jc w:val="both"/>
        <w:rPr>
          <w:highlight w:val="none"/>
          <w:shd w:fill="auto" w:val="clear"/>
        </w:rPr>
      </w:pPr>
      <w:r>
        <w:rPr>
          <w:shd w:fill="auto" w:val="clear"/>
        </w:rPr>
        <w:t>требования к функциям (задачам), выполняемым системой;</w:t>
      </w:r>
    </w:p>
    <w:p>
      <w:pPr>
        <w:pStyle w:val="ListParagraph"/>
        <w:numPr>
          <w:ilvl w:val="0"/>
          <w:numId w:val="12"/>
        </w:numPr>
        <w:jc w:val="both"/>
        <w:rPr>
          <w:highlight w:val="none"/>
          <w:shd w:fill="auto" w:val="clear"/>
        </w:rPr>
      </w:pPr>
      <w:r>
        <w:rPr>
          <w:shd w:fill="auto" w:val="clear"/>
        </w:rPr>
        <w:t>требования к техническому обеспечению;</w:t>
      </w:r>
    </w:p>
    <w:p>
      <w:pPr>
        <w:pStyle w:val="ListParagraph"/>
        <w:numPr>
          <w:ilvl w:val="0"/>
          <w:numId w:val="12"/>
        </w:numPr>
        <w:jc w:val="both"/>
        <w:rPr>
          <w:highlight w:val="none"/>
          <w:shd w:fill="auto" w:val="clear"/>
        </w:rPr>
      </w:pPr>
      <w:r>
        <w:rPr>
          <w:shd w:fill="auto" w:val="clear"/>
        </w:rPr>
        <w:t>требования к программному обеспечению;</w:t>
      </w:r>
    </w:p>
    <w:p>
      <w:pPr>
        <w:pStyle w:val="ListParagraph"/>
        <w:numPr>
          <w:ilvl w:val="0"/>
          <w:numId w:val="12"/>
        </w:numPr>
        <w:jc w:val="both"/>
        <w:rPr>
          <w:highlight w:val="none"/>
          <w:shd w:fill="auto" w:val="clear"/>
        </w:rPr>
      </w:pPr>
      <w:r>
        <w:rPr>
          <w:shd w:fill="auto" w:val="clear"/>
        </w:rPr>
        <w:t>требования к методическому и организационному обеспечению;</w:t>
      </w:r>
    </w:p>
    <w:p>
      <w:pPr>
        <w:pStyle w:val="ListParagraph"/>
        <w:numPr>
          <w:ilvl w:val="0"/>
          <w:numId w:val="12"/>
        </w:numPr>
        <w:jc w:val="both"/>
        <w:rPr>
          <w:highlight w:val="none"/>
          <w:shd w:fill="auto" w:val="clear"/>
        </w:rPr>
      </w:pPr>
      <w:r>
        <w:rPr>
          <w:shd w:fill="auto" w:val="clear"/>
        </w:rPr>
        <w:t>функции заказчика и оператора по обеспечению защиты информации;</w:t>
      </w:r>
    </w:p>
    <w:p>
      <w:pPr>
        <w:pStyle w:val="ListParagraph"/>
        <w:numPr>
          <w:ilvl w:val="0"/>
          <w:numId w:val="12"/>
        </w:numPr>
        <w:jc w:val="both"/>
        <w:rPr>
          <w:highlight w:val="none"/>
          <w:shd w:fill="auto" w:val="clear"/>
        </w:rPr>
      </w:pPr>
      <w:r>
        <w:rPr>
          <w:shd w:fill="auto" w:val="clear"/>
        </w:rPr>
        <w:t>состав и содержание работ по созданию системы;</w:t>
      </w:r>
    </w:p>
    <w:p>
      <w:pPr>
        <w:pStyle w:val="ListParagraph"/>
        <w:numPr>
          <w:ilvl w:val="0"/>
          <w:numId w:val="12"/>
        </w:numPr>
        <w:jc w:val="both"/>
        <w:rPr>
          <w:highlight w:val="none"/>
          <w:shd w:fill="auto" w:val="clear"/>
        </w:rPr>
      </w:pPr>
      <w:r>
        <w:rPr>
          <w:shd w:fill="auto" w:val="clear"/>
        </w:rPr>
        <w:t>порядок контроля и приемки системы;</w:t>
      </w:r>
    </w:p>
    <w:p>
      <w:pPr>
        <w:pStyle w:val="ListParagraph"/>
        <w:numPr>
          <w:ilvl w:val="0"/>
          <w:numId w:val="12"/>
        </w:numPr>
        <w:jc w:val="both"/>
        <w:rPr>
          <w:highlight w:val="none"/>
          <w:shd w:fill="auto" w:val="clear"/>
        </w:rPr>
      </w:pPr>
      <w:r>
        <w:rPr>
          <w:shd w:fill="auto" w:val="clear"/>
        </w:rPr>
        <w:t>требования к документированию;</w:t>
      </w:r>
    </w:p>
    <w:p>
      <w:pPr>
        <w:pStyle w:val="ListParagraph"/>
        <w:numPr>
          <w:ilvl w:val="0"/>
          <w:numId w:val="12"/>
        </w:numPr>
        <w:jc w:val="both"/>
        <w:rPr>
          <w:highlight w:val="none"/>
          <w:shd w:fill="auto" w:val="clear"/>
        </w:rPr>
      </w:pPr>
      <w:r>
        <w:rPr>
          <w:shd w:fill="auto" w:val="clear"/>
        </w:rPr>
        <w:t>источники разработки.</w:t>
      </w:r>
    </w:p>
    <w:p>
      <w:pPr>
        <w:pStyle w:val="ListParagraph"/>
        <w:numPr>
          <w:ilvl w:val="1"/>
          <w:numId w:val="11"/>
        </w:numPr>
        <w:ind w:firstLine="426" w:start="0"/>
        <w:jc w:val="both"/>
        <w:rPr>
          <w:highlight w:val="none"/>
          <w:shd w:fill="auto" w:val="clear"/>
        </w:rPr>
      </w:pPr>
      <w:r>
        <w:rPr>
          <w:rFonts w:eastAsia="Calibri"/>
          <w:shd w:fill="auto" w:val="clear"/>
        </w:rPr>
        <w:t>Документ «Техническое задание на создание информационной системы» предоставляется Заказчику на бумажном носителе и в электронном виде в одном экземпляре.</w:t>
      </w:r>
    </w:p>
    <w:p>
      <w:pPr>
        <w:pStyle w:val="ListParagraph"/>
        <w:jc w:val="both"/>
        <w:rPr>
          <w:highlight w:val="none"/>
          <w:shd w:fill="auto" w:val="clear"/>
        </w:rPr>
      </w:pPr>
      <w:r>
        <w:rPr>
          <w:shd w:fill="auto" w:val="clear"/>
        </w:rPr>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оказанию услуг по корректировке документа «Эскизный (технический) проект системы защиты информации информационной системы» информационной системы «РСОН»</w:t>
      </w:r>
    </w:p>
    <w:p>
      <w:pPr>
        <w:pStyle w:val="ListParagraph"/>
        <w:numPr>
          <w:ilvl w:val="1"/>
          <w:numId w:val="11"/>
        </w:numPr>
        <w:ind w:firstLine="426" w:start="0"/>
        <w:jc w:val="both"/>
        <w:rPr>
          <w:highlight w:val="none"/>
          <w:shd w:fill="auto" w:val="clear"/>
        </w:rPr>
      </w:pPr>
      <w:r>
        <w:rPr>
          <w:rFonts w:eastAsia="Calibri"/>
          <w:shd w:fill="auto" w:val="clear"/>
        </w:rPr>
        <w:t xml:space="preserve">Исполнитель осуществляет корректировку предоставленного Заказчиком документа «Эскизный (технический) проект системы защиты информации» для информационной системы «РСОН» с учетом действующих нормативных правовых актов, методических документов ФСТЭК России, особенностей функционирования, фактической архитектуры и условий эксплуатации информационной системы, а также требований, определенных в документе «Техническое задание на создание системы защиты информации». </w:t>
      </w:r>
    </w:p>
    <w:p>
      <w:pPr>
        <w:pStyle w:val="Normal"/>
        <w:ind w:firstLine="360"/>
        <w:jc w:val="both"/>
        <w:rPr>
          <w:highlight w:val="none"/>
          <w:shd w:fill="auto" w:val="clear"/>
        </w:rPr>
      </w:pPr>
      <w:r>
        <w:rPr>
          <w:rFonts w:eastAsia="Calibri"/>
          <w:shd w:fill="auto" w:val="clear"/>
        </w:rPr>
        <w:t>Скорректированный документ должен содержать:</w:t>
      </w:r>
    </w:p>
    <w:p>
      <w:pPr>
        <w:pStyle w:val="ListParagraph"/>
        <w:numPr>
          <w:ilvl w:val="0"/>
          <w:numId w:val="12"/>
        </w:numPr>
        <w:jc w:val="both"/>
        <w:rPr>
          <w:highlight w:val="none"/>
          <w:shd w:fill="auto" w:val="clear"/>
        </w:rPr>
      </w:pPr>
      <w:r>
        <w:rPr>
          <w:shd w:fill="auto" w:val="clear"/>
        </w:rPr>
        <w:t>наименования документов, на основании которых ведется проектирование системы;</w:t>
      </w:r>
    </w:p>
    <w:p>
      <w:pPr>
        <w:pStyle w:val="ListParagraph"/>
        <w:numPr>
          <w:ilvl w:val="0"/>
          <w:numId w:val="12"/>
        </w:numPr>
        <w:jc w:val="both"/>
        <w:rPr>
          <w:highlight w:val="none"/>
          <w:shd w:fill="auto" w:val="clear"/>
        </w:rPr>
      </w:pPr>
      <w:r>
        <w:rPr>
          <w:shd w:fill="auto" w:val="clear"/>
        </w:rPr>
        <w:t>перечень организаций, участвующих в разработке системы;</w:t>
      </w:r>
    </w:p>
    <w:p>
      <w:pPr>
        <w:pStyle w:val="ListParagraph"/>
        <w:numPr>
          <w:ilvl w:val="0"/>
          <w:numId w:val="12"/>
        </w:numPr>
        <w:jc w:val="both"/>
        <w:rPr>
          <w:highlight w:val="none"/>
          <w:shd w:fill="auto" w:val="clear"/>
        </w:rPr>
      </w:pPr>
      <w:r>
        <w:rPr>
          <w:shd w:fill="auto" w:val="clear"/>
        </w:rPr>
        <w:t>сроки выполнения стадий проекта;</w:t>
      </w:r>
    </w:p>
    <w:p>
      <w:pPr>
        <w:pStyle w:val="ListParagraph"/>
        <w:numPr>
          <w:ilvl w:val="0"/>
          <w:numId w:val="12"/>
        </w:numPr>
        <w:jc w:val="both"/>
        <w:rPr>
          <w:highlight w:val="none"/>
          <w:shd w:fill="auto" w:val="clear"/>
        </w:rPr>
      </w:pPr>
      <w:r>
        <w:rPr>
          <w:shd w:fill="auto" w:val="clear"/>
        </w:rPr>
        <w:t>цели, назначение и области использования системы защиты информации информационной системы;</w:t>
      </w:r>
    </w:p>
    <w:p>
      <w:pPr>
        <w:pStyle w:val="ListParagraph"/>
        <w:numPr>
          <w:ilvl w:val="0"/>
          <w:numId w:val="12"/>
        </w:numPr>
        <w:jc w:val="both"/>
        <w:rPr>
          <w:highlight w:val="none"/>
          <w:shd w:fill="auto" w:val="clear"/>
        </w:rPr>
      </w:pPr>
      <w:r>
        <w:rPr>
          <w:shd w:fill="auto" w:val="clear"/>
        </w:rPr>
        <w:t>описание основных технических решений;</w:t>
      </w:r>
    </w:p>
    <w:p>
      <w:pPr>
        <w:pStyle w:val="ListParagraph"/>
        <w:numPr>
          <w:ilvl w:val="0"/>
          <w:numId w:val="12"/>
        </w:numPr>
        <w:jc w:val="both"/>
        <w:rPr>
          <w:highlight w:val="none"/>
          <w:shd w:fill="auto" w:val="clear"/>
        </w:rPr>
      </w:pPr>
      <w:r>
        <w:rPr>
          <w:shd w:fill="auto" w:val="clear"/>
        </w:rPr>
        <w:t xml:space="preserve">описание решений, направленных на выполнение мер по защите информации </w:t>
        <w:br/>
        <w:t>в информационной системе согласно итоговому списку мер, определенному в техническом задание на создание системы защиты информации;</w:t>
      </w:r>
    </w:p>
    <w:p>
      <w:pPr>
        <w:pStyle w:val="ListParagraph"/>
        <w:numPr>
          <w:ilvl w:val="0"/>
          <w:numId w:val="12"/>
        </w:numPr>
        <w:jc w:val="both"/>
        <w:rPr>
          <w:highlight w:val="none"/>
          <w:shd w:fill="auto" w:val="clear"/>
        </w:rPr>
      </w:pPr>
      <w:r>
        <w:rPr>
          <w:shd w:fill="auto" w:val="clear"/>
        </w:rPr>
        <w:t>требования к функциям (задачам), выполняемым системой;</w:t>
      </w:r>
    </w:p>
    <w:p>
      <w:pPr>
        <w:pStyle w:val="ListParagraph"/>
        <w:numPr>
          <w:ilvl w:val="0"/>
          <w:numId w:val="12"/>
        </w:numPr>
        <w:jc w:val="both"/>
        <w:rPr>
          <w:highlight w:val="none"/>
          <w:shd w:fill="auto" w:val="clear"/>
        </w:rPr>
      </w:pPr>
      <w:r>
        <w:rPr>
          <w:shd w:fill="auto" w:val="clear"/>
        </w:rPr>
        <w:t>требования к техническому обеспечению;</w:t>
      </w:r>
    </w:p>
    <w:p>
      <w:pPr>
        <w:pStyle w:val="ListParagraph"/>
        <w:numPr>
          <w:ilvl w:val="0"/>
          <w:numId w:val="12"/>
        </w:numPr>
        <w:jc w:val="both"/>
        <w:rPr>
          <w:highlight w:val="none"/>
          <w:shd w:fill="auto" w:val="clear"/>
        </w:rPr>
      </w:pPr>
      <w:r>
        <w:rPr>
          <w:shd w:fill="auto" w:val="clear"/>
        </w:rPr>
        <w:t>требования к программному обеспечению;</w:t>
      </w:r>
    </w:p>
    <w:p>
      <w:pPr>
        <w:pStyle w:val="ListParagraph"/>
        <w:numPr>
          <w:ilvl w:val="0"/>
          <w:numId w:val="12"/>
        </w:numPr>
        <w:jc w:val="both"/>
        <w:rPr>
          <w:highlight w:val="none"/>
          <w:shd w:fill="auto" w:val="clear"/>
        </w:rPr>
      </w:pPr>
      <w:r>
        <w:rPr>
          <w:shd w:fill="auto" w:val="clear"/>
        </w:rPr>
        <w:t>требования к методическому и организационному обеспечению;</w:t>
      </w:r>
    </w:p>
    <w:p>
      <w:pPr>
        <w:pStyle w:val="ListParagraph"/>
        <w:numPr>
          <w:ilvl w:val="0"/>
          <w:numId w:val="12"/>
        </w:numPr>
        <w:jc w:val="both"/>
        <w:rPr>
          <w:highlight w:val="none"/>
          <w:shd w:fill="auto" w:val="clear"/>
        </w:rPr>
      </w:pPr>
      <w:r>
        <w:rPr>
          <w:shd w:fill="auto" w:val="clear"/>
        </w:rPr>
        <w:t>требования к наличию описания: типов субъектов доступа и объектов доступа, являющихся объектами защиты;</w:t>
      </w:r>
    </w:p>
    <w:p>
      <w:pPr>
        <w:pStyle w:val="ListParagraph"/>
        <w:numPr>
          <w:ilvl w:val="0"/>
          <w:numId w:val="12"/>
        </w:numPr>
        <w:jc w:val="both"/>
        <w:rPr>
          <w:highlight w:val="none"/>
          <w:shd w:fill="auto" w:val="clear"/>
        </w:rPr>
      </w:pPr>
      <w:r>
        <w:rPr>
          <w:shd w:fill="auto" w:val="clear"/>
        </w:rPr>
        <w:t>описание мероприятий по подготовке системы к вводу в действие;</w:t>
      </w:r>
    </w:p>
    <w:p>
      <w:pPr>
        <w:pStyle w:val="ListParagraph"/>
        <w:numPr>
          <w:ilvl w:val="0"/>
          <w:numId w:val="12"/>
        </w:numPr>
        <w:jc w:val="both"/>
        <w:rPr>
          <w:highlight w:val="none"/>
          <w:shd w:fill="auto" w:val="clear"/>
        </w:rPr>
      </w:pPr>
      <w:r>
        <w:rPr>
          <w:shd w:fill="auto" w:val="clear"/>
        </w:rPr>
        <w:t>источники разработки;</w:t>
      </w:r>
    </w:p>
    <w:p>
      <w:pPr>
        <w:pStyle w:val="ListParagraph"/>
        <w:numPr>
          <w:ilvl w:val="0"/>
          <w:numId w:val="12"/>
        </w:numPr>
        <w:jc w:val="both"/>
        <w:rPr>
          <w:highlight w:val="none"/>
          <w:shd w:fill="auto" w:val="clear"/>
        </w:rPr>
      </w:pPr>
      <w:r>
        <w:rPr>
          <w:shd w:fill="auto" w:val="clear"/>
        </w:rPr>
        <w:t>схема функциональной структуры;</w:t>
      </w:r>
    </w:p>
    <w:p>
      <w:pPr>
        <w:pStyle w:val="ListParagraph"/>
        <w:numPr>
          <w:ilvl w:val="0"/>
          <w:numId w:val="12"/>
        </w:numPr>
        <w:jc w:val="both"/>
        <w:rPr>
          <w:highlight w:val="none"/>
          <w:shd w:fill="auto" w:val="clear"/>
        </w:rPr>
      </w:pPr>
      <w:r>
        <w:rPr>
          <w:shd w:fill="auto" w:val="clear"/>
        </w:rPr>
        <w:t>методы управления доступом, типы доступа и правила разграничения доступа субъектов доступа к объектам доступа, подлежащих реализации в информационной системе;</w:t>
      </w:r>
    </w:p>
    <w:p>
      <w:pPr>
        <w:pStyle w:val="ListParagraph"/>
        <w:numPr>
          <w:ilvl w:val="0"/>
          <w:numId w:val="12"/>
        </w:numPr>
        <w:jc w:val="both"/>
        <w:rPr>
          <w:highlight w:val="none"/>
          <w:shd w:fill="auto" w:val="clear"/>
        </w:rPr>
      </w:pPr>
      <w:r>
        <w:rPr>
          <w:shd w:fill="auto" w:val="clear"/>
        </w:rPr>
        <w:t>и другие описательные характеристики, согласно ГОСТ Р 59795-2021.</w:t>
      </w:r>
    </w:p>
    <w:p>
      <w:pPr>
        <w:pStyle w:val="ListParagraph"/>
        <w:numPr>
          <w:ilvl w:val="1"/>
          <w:numId w:val="11"/>
        </w:numPr>
        <w:ind w:firstLine="426" w:start="0"/>
        <w:jc w:val="both"/>
        <w:rPr>
          <w:highlight w:val="none"/>
          <w:shd w:fill="auto" w:val="clear"/>
        </w:rPr>
      </w:pPr>
      <w:r>
        <w:rPr>
          <w:rFonts w:eastAsia="Calibri"/>
          <w:shd w:fill="auto" w:val="clear"/>
        </w:rPr>
        <w:t>Документ «Эскизный проект</w:t>
      </w:r>
      <w:r>
        <w:rPr>
          <w:shd w:fill="auto" w:val="clear"/>
        </w:rPr>
        <w:t xml:space="preserve"> </w:t>
      </w:r>
      <w:r>
        <w:rPr>
          <w:rFonts w:eastAsia="Calibri"/>
          <w:shd w:fill="auto" w:val="clear"/>
        </w:rPr>
        <w:t>системы защиты информации информационной системы» предоставляется Заказчику на бумажном носителе и в электронном виде в одном экземпляре.</w:t>
      </w:r>
    </w:p>
    <w:p>
      <w:pPr>
        <w:pStyle w:val="ListParagraph"/>
        <w:spacing w:before="280" w:after="0"/>
        <w:ind w:start="360"/>
        <w:contextualSpacing/>
        <w:jc w:val="both"/>
        <w:rPr>
          <w:rFonts w:eastAsia="Calibri"/>
          <w:highlight w:val="none"/>
          <w:shd w:fill="auto" w:val="clear"/>
        </w:rPr>
      </w:pPr>
      <w:r>
        <w:rPr>
          <w:rFonts w:eastAsia="Calibri"/>
          <w:shd w:fill="auto" w:val="clear"/>
        </w:rPr>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 xml:space="preserve">Требования к оказанию услуг по установке и настройке поставляемого программного обеспечения и средств защиты информации, согласно требованиям защиты информации, предъявляемым к государственным информационным системам с установленным классом защищенности К2 </w:t>
      </w:r>
    </w:p>
    <w:p>
      <w:pPr>
        <w:pStyle w:val="ListParagraph"/>
        <w:numPr>
          <w:ilvl w:val="1"/>
          <w:numId w:val="11"/>
        </w:numPr>
        <w:ind w:firstLine="426" w:start="0"/>
        <w:jc w:val="both"/>
        <w:rPr>
          <w:highlight w:val="none"/>
          <w:shd w:fill="auto" w:val="clear"/>
        </w:rPr>
      </w:pPr>
      <w:r>
        <w:rPr>
          <w:rFonts w:eastAsia="Calibri"/>
          <w:shd w:fill="auto" w:val="clear"/>
        </w:rPr>
        <w:t>Услуги по установке и настройке выполняются Исполнителем в отношении программного обеспечения и средств защиты информации, указанных в позициях 27 – 36 раздела 3 настоящего технического задания.</w:t>
      </w:r>
    </w:p>
    <w:p>
      <w:pPr>
        <w:pStyle w:val="ListParagraph"/>
        <w:numPr>
          <w:ilvl w:val="1"/>
          <w:numId w:val="11"/>
        </w:numPr>
        <w:ind w:firstLine="426" w:start="0"/>
        <w:jc w:val="both"/>
        <w:rPr>
          <w:highlight w:val="none"/>
          <w:shd w:fill="auto" w:val="clear"/>
        </w:rPr>
      </w:pPr>
      <w:r>
        <w:rPr>
          <w:rFonts w:eastAsia="Calibri"/>
          <w:shd w:fill="auto" w:val="clear"/>
        </w:rPr>
        <w:t>В состав услуг входят:</w:t>
      </w:r>
    </w:p>
    <w:p>
      <w:pPr>
        <w:pStyle w:val="ListParagraph"/>
        <w:numPr>
          <w:ilvl w:val="0"/>
          <w:numId w:val="12"/>
        </w:numPr>
        <w:spacing w:before="0" w:after="200"/>
        <w:contextualSpacing/>
        <w:jc w:val="both"/>
        <w:rPr>
          <w:highlight w:val="none"/>
          <w:shd w:fill="auto" w:val="clear"/>
        </w:rPr>
      </w:pPr>
      <w:r>
        <w:rPr>
          <w:shd w:fill="auto" w:val="clear"/>
        </w:rPr>
        <w:t xml:space="preserve">установка программного обеспечения и средств защиты информации; </w:t>
      </w:r>
    </w:p>
    <w:p>
      <w:pPr>
        <w:pStyle w:val="ListParagraph"/>
        <w:numPr>
          <w:ilvl w:val="0"/>
          <w:numId w:val="12"/>
        </w:numPr>
        <w:spacing w:before="0" w:after="200"/>
        <w:contextualSpacing/>
        <w:rPr>
          <w:highlight w:val="none"/>
          <w:shd w:fill="auto" w:val="clear"/>
        </w:rPr>
      </w:pPr>
      <w:r>
        <w:rPr>
          <w:shd w:fill="auto" w:val="clear"/>
        </w:rPr>
        <w:t xml:space="preserve">обновление поставляемого программного обеспечения и средств защиты информации до актуальной сертифицированной версии на момент проведения работ (в случае наличия подобной необходимости); </w:t>
      </w:r>
    </w:p>
    <w:p>
      <w:pPr>
        <w:pStyle w:val="ListParagraph"/>
        <w:numPr>
          <w:ilvl w:val="0"/>
          <w:numId w:val="12"/>
        </w:numPr>
        <w:spacing w:before="0" w:after="200"/>
        <w:contextualSpacing/>
        <w:jc w:val="both"/>
        <w:rPr>
          <w:highlight w:val="none"/>
          <w:shd w:fill="auto" w:val="clear"/>
        </w:rPr>
      </w:pPr>
      <w:r>
        <w:rPr>
          <w:shd w:fill="auto" w:val="clear"/>
        </w:rPr>
        <w:t xml:space="preserve">настройка программного обеспечения и средств защиты информации в соответствии с эксплуатационной документацией производителей; </w:t>
      </w:r>
    </w:p>
    <w:p>
      <w:pPr>
        <w:pStyle w:val="ListParagraph"/>
        <w:numPr>
          <w:ilvl w:val="0"/>
          <w:numId w:val="12"/>
        </w:numPr>
        <w:spacing w:before="0" w:after="200"/>
        <w:contextualSpacing/>
        <w:jc w:val="both"/>
        <w:rPr>
          <w:highlight w:val="none"/>
          <w:shd w:fill="auto" w:val="clear"/>
        </w:rPr>
      </w:pPr>
      <w:r>
        <w:rPr>
          <w:shd w:fill="auto" w:val="clear"/>
        </w:rPr>
        <w:t xml:space="preserve">конфигурирование параметров безопасности в соответствии с требованиями класса защищённости К2, а также с утверждённой рабочей, проектной и организационно-распорядительной документацией на систему защиты ИС «РСОН»; </w:t>
      </w:r>
    </w:p>
    <w:p>
      <w:pPr>
        <w:pStyle w:val="ListParagraph"/>
        <w:numPr>
          <w:ilvl w:val="0"/>
          <w:numId w:val="12"/>
        </w:numPr>
        <w:spacing w:before="0" w:after="200"/>
        <w:contextualSpacing/>
        <w:jc w:val="both"/>
        <w:rPr>
          <w:highlight w:val="none"/>
          <w:shd w:fill="auto" w:val="clear"/>
        </w:rPr>
      </w:pPr>
      <w:r>
        <w:rPr>
          <w:shd w:fill="auto" w:val="clear"/>
        </w:rPr>
        <w:t>проверка корректности функционирования установленных и настроенных средств защиты информации.</w:t>
      </w:r>
    </w:p>
    <w:p>
      <w:pPr>
        <w:pStyle w:val="ListParagraph"/>
        <w:numPr>
          <w:ilvl w:val="1"/>
          <w:numId w:val="11"/>
        </w:numPr>
        <w:ind w:firstLine="426" w:start="0"/>
        <w:jc w:val="both"/>
        <w:rPr>
          <w:highlight w:val="none"/>
          <w:shd w:fill="auto" w:val="clear"/>
        </w:rPr>
      </w:pPr>
      <w:r>
        <w:rPr>
          <w:rFonts w:eastAsia="Calibri"/>
          <w:shd w:fill="auto" w:val="clear"/>
        </w:rPr>
        <w:t>Работы выполняются на инфраструктуре Заказчика с учетом архитектуры информационной системы «РСОН», предоставленных исходных данных и требований к системе защиты информации.</w:t>
      </w:r>
    </w:p>
    <w:p>
      <w:pPr>
        <w:pStyle w:val="ListParagraph"/>
        <w:numPr>
          <w:ilvl w:val="1"/>
          <w:numId w:val="11"/>
        </w:numPr>
        <w:ind w:firstLine="426" w:start="0"/>
        <w:jc w:val="both"/>
        <w:rPr>
          <w:highlight w:val="none"/>
          <w:shd w:fill="auto" w:val="clear"/>
        </w:rPr>
      </w:pPr>
      <w:r>
        <w:rPr>
          <w:rFonts w:eastAsia="Calibri"/>
          <w:shd w:fill="auto" w:val="clear"/>
        </w:rPr>
        <w:t>При выполнении работ по установке и настройке поставляемого программного обеспечения и средств защиты информации, Исполнитель должен производить отключение учетных записей, используемых по умолчанию, и смену аутентификационной информации производителя, установленной по умолчанию, если подобная возможность технически предусмотрена производителем ПО и(или) СЗИ.</w:t>
      </w:r>
    </w:p>
    <w:p>
      <w:pPr>
        <w:pStyle w:val="Normal"/>
        <w:ind w:firstLine="448"/>
        <w:jc w:val="both"/>
        <w:rPr>
          <w:highlight w:val="none"/>
          <w:shd w:fill="auto" w:val="clear"/>
        </w:rPr>
      </w:pPr>
      <w:r>
        <w:rPr>
          <w:rFonts w:eastAsia="Calibri"/>
          <w:shd w:fill="auto" w:val="clear"/>
        </w:rPr>
        <w:t>При смене аутентификационной информации Исполнитель должен соблюдать требования Заказчика к составу, сложности и длине парольной информации.</w:t>
      </w:r>
    </w:p>
    <w:p>
      <w:pPr>
        <w:pStyle w:val="ListParagraph"/>
        <w:numPr>
          <w:ilvl w:val="1"/>
          <w:numId w:val="11"/>
        </w:numPr>
        <w:ind w:firstLine="426" w:start="0"/>
        <w:jc w:val="both"/>
        <w:rPr>
          <w:highlight w:val="none"/>
          <w:shd w:fill="auto" w:val="clear"/>
        </w:rPr>
      </w:pPr>
      <w:r>
        <w:rPr>
          <w:rFonts w:eastAsia="Calibri"/>
          <w:shd w:fill="auto" w:val="clear"/>
        </w:rPr>
        <w:t>Исполнитель оказывает услуги дистанционной помощи (сопровождения) в части выполнения работ по установке и настройке программного средства криптографической защиты информации для ОС Linux в муниципальных системах оповещения населения (далее - МСОН), включая:</w:t>
      </w:r>
    </w:p>
    <w:p>
      <w:pPr>
        <w:pStyle w:val="ListParagraph"/>
        <w:numPr>
          <w:ilvl w:val="0"/>
          <w:numId w:val="12"/>
        </w:numPr>
        <w:spacing w:before="0" w:after="200"/>
        <w:contextualSpacing/>
        <w:jc w:val="both"/>
        <w:rPr>
          <w:highlight w:val="none"/>
          <w:shd w:fill="auto" w:val="clear"/>
        </w:rPr>
      </w:pPr>
      <w:r>
        <w:rPr>
          <w:shd w:fill="auto" w:val="clear"/>
        </w:rPr>
        <w:t xml:space="preserve">консультационную поддержку по установке и инициализации; </w:t>
      </w:r>
    </w:p>
    <w:p>
      <w:pPr>
        <w:pStyle w:val="ListParagraph"/>
        <w:numPr>
          <w:ilvl w:val="0"/>
          <w:numId w:val="12"/>
        </w:numPr>
        <w:spacing w:before="0" w:after="200"/>
        <w:contextualSpacing/>
        <w:jc w:val="both"/>
        <w:rPr>
          <w:highlight w:val="none"/>
          <w:shd w:fill="auto" w:val="clear"/>
        </w:rPr>
      </w:pPr>
      <w:r>
        <w:rPr>
          <w:shd w:fill="auto" w:val="clear"/>
        </w:rPr>
        <w:t>техническую помощь в выдаче справочной и ключевой информации, необходимой для инициализации средств криптографической защиты информации;</w:t>
      </w:r>
    </w:p>
    <w:p>
      <w:pPr>
        <w:pStyle w:val="ListParagraph"/>
        <w:numPr>
          <w:ilvl w:val="0"/>
          <w:numId w:val="12"/>
        </w:numPr>
        <w:jc w:val="both"/>
        <w:rPr>
          <w:highlight w:val="none"/>
          <w:shd w:fill="auto" w:val="clear"/>
        </w:rPr>
      </w:pPr>
      <w:r>
        <w:rPr>
          <w:shd w:fill="auto" w:val="clear"/>
        </w:rPr>
        <w:t xml:space="preserve">сопровождение установки в муниципальных системах оповещения населения (МСОН) после их инициализации. </w:t>
      </w:r>
    </w:p>
    <w:p>
      <w:pPr>
        <w:pStyle w:val="Normal"/>
        <w:ind w:firstLine="360"/>
        <w:jc w:val="both"/>
        <w:rPr>
          <w:highlight w:val="none"/>
          <w:shd w:fill="auto" w:val="clear"/>
        </w:rPr>
      </w:pPr>
      <w:r>
        <w:rPr>
          <w:rFonts w:eastAsia="Calibri"/>
          <w:shd w:fill="auto" w:val="clear"/>
        </w:rPr>
        <w:t xml:space="preserve">В ходе работ, Заказчик осуществляет учет и передачу ключевой информации (в т.ч. носителей ключевой информации) в соответствии с внутренними регламентами. </w:t>
      </w:r>
    </w:p>
    <w:p>
      <w:pPr>
        <w:pStyle w:val="Normal"/>
        <w:ind w:firstLine="360"/>
        <w:jc w:val="both"/>
        <w:rPr>
          <w:highlight w:val="none"/>
          <w:shd w:fill="auto" w:val="clear"/>
        </w:rPr>
      </w:pPr>
      <w:r>
        <w:rPr>
          <w:rFonts w:eastAsia="Calibri"/>
          <w:shd w:fill="auto" w:val="clear"/>
        </w:rPr>
        <w:t xml:space="preserve">Все действия Исполнителя в рамках оказания технической помощи с использованием ключевой информации производятся исключительно под надзором представителя Заказчика. </w:t>
      </w:r>
    </w:p>
    <w:p>
      <w:pPr>
        <w:pStyle w:val="Normal"/>
        <w:ind w:firstLine="360"/>
        <w:jc w:val="both"/>
        <w:rPr>
          <w:highlight w:val="none"/>
          <w:shd w:fill="auto" w:val="clear"/>
        </w:rPr>
      </w:pPr>
      <w:r>
        <w:rPr>
          <w:rFonts w:eastAsia="Calibri"/>
          <w:shd w:fill="auto" w:val="clear"/>
        </w:rPr>
        <w:t>При выполнении работ, Исполнитель обязуется использовать полученную ключевую информацию исключительно в целях выполнения работ, предусмотренных настоящим Техническим заданием.</w:t>
      </w:r>
    </w:p>
    <w:p>
      <w:pPr>
        <w:pStyle w:val="Normal"/>
        <w:ind w:firstLine="360"/>
        <w:jc w:val="both"/>
        <w:rPr>
          <w:highlight w:val="none"/>
          <w:shd w:fill="auto" w:val="clear"/>
        </w:rPr>
      </w:pPr>
      <w:r>
        <w:rPr>
          <w:rFonts w:eastAsia="Calibri"/>
          <w:shd w:fill="auto" w:val="clear"/>
        </w:rPr>
        <w:t>По завершении работ, Исполнитель осуществляет возврат всех полученных им носители ключевой информации Заказчику.</w:t>
      </w:r>
    </w:p>
    <w:p>
      <w:pPr>
        <w:pStyle w:val="Normal"/>
        <w:ind w:firstLine="360"/>
        <w:jc w:val="both"/>
        <w:rPr>
          <w:highlight w:val="none"/>
          <w:shd w:fill="auto" w:val="clear"/>
        </w:rPr>
      </w:pPr>
      <w:r>
        <w:rPr>
          <w:rFonts w:eastAsia="Calibri"/>
          <w:shd w:fill="auto" w:val="clear"/>
        </w:rPr>
        <w:t>Объем оказания дистанционной помощи – не более 35 (тридцати пяти) сетевых узлов.</w:t>
      </w:r>
    </w:p>
    <w:p>
      <w:pPr>
        <w:pStyle w:val="Normal"/>
        <w:ind w:firstLine="360"/>
        <w:jc w:val="both"/>
        <w:rPr>
          <w:rFonts w:eastAsia="Calibri"/>
          <w:highlight w:val="none"/>
          <w:shd w:fill="auto" w:val="clear"/>
        </w:rPr>
      </w:pPr>
      <w:r>
        <w:rPr>
          <w:rFonts w:eastAsia="Calibri"/>
          <w:shd w:fill="auto" w:val="clear"/>
        </w:rPr>
      </w:r>
    </w:p>
    <w:p>
      <w:pPr>
        <w:pStyle w:val="ListParagraph"/>
        <w:numPr>
          <w:ilvl w:val="1"/>
          <w:numId w:val="11"/>
        </w:numPr>
        <w:ind w:firstLine="426" w:start="0"/>
        <w:jc w:val="both"/>
        <w:rPr>
          <w:highlight w:val="none"/>
          <w:shd w:fill="auto" w:val="clear"/>
        </w:rPr>
      </w:pPr>
      <w:r>
        <w:rPr>
          <w:rFonts w:eastAsia="Calibri"/>
          <w:shd w:fill="auto" w:val="clear"/>
        </w:rPr>
        <w:t>Ключи активации программного средства антивирусной защиты предоставляются Заказчиком до начала выполнения работ.</w:t>
      </w:r>
    </w:p>
    <w:p>
      <w:pPr>
        <w:pStyle w:val="ListParagraph"/>
        <w:numPr>
          <w:ilvl w:val="1"/>
          <w:numId w:val="11"/>
        </w:numPr>
        <w:ind w:firstLine="426" w:start="0"/>
        <w:jc w:val="both"/>
        <w:rPr>
          <w:highlight w:val="none"/>
          <w:shd w:fill="auto" w:val="clear"/>
        </w:rPr>
      </w:pPr>
      <w:r>
        <w:rPr>
          <w:rFonts w:eastAsia="Calibri"/>
          <w:shd w:fill="auto" w:val="clear"/>
        </w:rPr>
        <w:t>В ходе оказания услуг Исполнитель передает Заказчику идентификаторы и аутентификационные данные, созданные и используемые при настройке программного обеспечения и средств защиты информации.</w:t>
      </w:r>
    </w:p>
    <w:p>
      <w:pPr>
        <w:pStyle w:val="ListParagraph"/>
        <w:numPr>
          <w:ilvl w:val="1"/>
          <w:numId w:val="11"/>
        </w:numPr>
        <w:ind w:firstLine="426" w:start="0"/>
        <w:jc w:val="both"/>
        <w:rPr>
          <w:highlight w:val="none"/>
          <w:shd w:fill="auto" w:val="clear"/>
        </w:rPr>
      </w:pPr>
      <w:r>
        <w:rPr>
          <w:rFonts w:eastAsia="Calibri"/>
          <w:shd w:fill="auto" w:val="clear"/>
        </w:rPr>
        <w:t>Все производимые настройки должны обеспечивать реализацию мер защиты информации, предусмотренных для государственных информационных систем второго класса защищенности и автоматизированных систем управления технологическими процессами второго класса защищенности, в пределах функциональных возможностей поставляемых средств защиты информации.</w:t>
      </w:r>
    </w:p>
    <w:p>
      <w:pPr>
        <w:pStyle w:val="ListParagraph"/>
        <w:numPr>
          <w:ilvl w:val="1"/>
          <w:numId w:val="11"/>
        </w:numPr>
        <w:spacing w:before="0" w:after="200"/>
        <w:ind w:firstLine="426" w:start="0"/>
        <w:contextualSpacing/>
        <w:jc w:val="both"/>
        <w:rPr>
          <w:highlight w:val="none"/>
          <w:shd w:fill="auto" w:val="clear"/>
        </w:rPr>
      </w:pPr>
      <w:r>
        <w:rPr>
          <w:rFonts w:eastAsia="Calibri"/>
          <w:shd w:fill="auto" w:val="clear"/>
        </w:rPr>
        <w:t>Настройка программного комплекса управления VPN-сетью осуществляется с учётом разграничения зон ответственности между Заказчиком и Исполнителем при работе с ключевой и справочной информацией в соответствии с Инструкцией, утверждённой приказом ФАПСИ России от 13.06.2001 № 152.</w:t>
      </w:r>
    </w:p>
    <w:p>
      <w:pPr>
        <w:pStyle w:val="ListParagraph"/>
        <w:ind w:start="426"/>
        <w:jc w:val="both"/>
        <w:rPr>
          <w:rFonts w:eastAsia="Calibri"/>
          <w:highlight w:val="none"/>
          <w:shd w:fill="auto" w:val="clear"/>
        </w:rPr>
      </w:pPr>
      <w:r>
        <w:rPr>
          <w:rFonts w:eastAsia="Calibri"/>
          <w:shd w:fill="auto" w:val="clear"/>
        </w:rPr>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оказанию услуг по оценке информационной системы «РСОН» на предмет соответствия установленным требованиям по безопасности информации для государственных информационных систем в рамках Приказа ФСТЭК России от 11.04.2025 № 117 по классу К2 и Приказа ФСТЭК России № 31 по классу К2 с оформлением заключения</w:t>
      </w:r>
    </w:p>
    <w:p>
      <w:pPr>
        <w:pStyle w:val="Normal"/>
        <w:ind w:firstLine="360"/>
        <w:jc w:val="both"/>
        <w:rPr>
          <w:highlight w:val="none"/>
          <w:shd w:fill="auto" w:val="clear"/>
        </w:rPr>
      </w:pPr>
      <w:r>
        <w:rPr>
          <w:rFonts w:eastAsia="Calibri"/>
          <w:shd w:fill="auto" w:val="clear"/>
        </w:rPr>
        <w:t>Целью проведения анализа является выявление степени соответствия информационной системы «РСОН» (далее – ИС</w:t>
      </w:r>
      <w:r>
        <w:rPr>
          <w:shd w:fill="auto" w:val="clear"/>
        </w:rPr>
        <w:t xml:space="preserve"> «РСОН»</w:t>
      </w:r>
      <w:r>
        <w:rPr>
          <w:rFonts w:eastAsia="Calibri"/>
          <w:shd w:fill="auto" w:val="clear"/>
        </w:rPr>
        <w:t>) Заказчика установленным требованиям, предъявляемым к информационным системам с установленным классом защищенности К2 и формирование заключения о соответствии (несоответствии).</w:t>
      </w:r>
    </w:p>
    <w:p>
      <w:pPr>
        <w:pStyle w:val="ListParagraph"/>
        <w:numPr>
          <w:ilvl w:val="1"/>
          <w:numId w:val="11"/>
        </w:numPr>
        <w:ind w:firstLine="426" w:start="0"/>
        <w:jc w:val="both"/>
        <w:rPr>
          <w:highlight w:val="none"/>
          <w:shd w:fill="auto" w:val="clear"/>
        </w:rPr>
      </w:pPr>
      <w:r>
        <w:rPr>
          <w:rFonts w:eastAsia="Calibri"/>
          <w:shd w:fill="auto" w:val="clear"/>
        </w:rPr>
        <w:t>Назначение экспертов Исполнителя, участвовавших в разработке и/или внедрении системы защиты информации объекта информатизации, не допускается.</w:t>
      </w:r>
    </w:p>
    <w:p>
      <w:pPr>
        <w:pStyle w:val="ListParagraph"/>
        <w:numPr>
          <w:ilvl w:val="1"/>
          <w:numId w:val="11"/>
        </w:numPr>
        <w:ind w:firstLine="426" w:start="0"/>
        <w:jc w:val="both"/>
        <w:rPr>
          <w:highlight w:val="none"/>
          <w:shd w:fill="auto" w:val="clear"/>
        </w:rPr>
      </w:pPr>
      <w:r>
        <w:rPr>
          <w:rFonts w:eastAsia="Calibri"/>
          <w:shd w:fill="auto" w:val="clear"/>
        </w:rPr>
        <w:t>Разработка документа «Программа и методики испытаний информационной системы».</w:t>
      </w:r>
    </w:p>
    <w:p>
      <w:pPr>
        <w:pStyle w:val="Normal"/>
        <w:ind w:firstLine="360"/>
        <w:jc w:val="both"/>
        <w:rPr>
          <w:highlight w:val="none"/>
          <w:shd w:fill="auto" w:val="clear"/>
        </w:rPr>
      </w:pPr>
      <w:r>
        <w:rPr>
          <w:rFonts w:eastAsia="Calibri"/>
          <w:shd w:fill="auto" w:val="clear"/>
        </w:rPr>
        <w:t>Документ «Программа и методики испытаний информационной системы» должен содержать:</w:t>
      </w:r>
    </w:p>
    <w:p>
      <w:pPr>
        <w:pStyle w:val="ListParagraph"/>
        <w:numPr>
          <w:ilvl w:val="0"/>
          <w:numId w:val="12"/>
        </w:numPr>
        <w:jc w:val="both"/>
        <w:rPr>
          <w:highlight w:val="none"/>
          <w:shd w:fill="auto" w:val="clear"/>
        </w:rPr>
      </w:pPr>
      <w:r>
        <w:rPr>
          <w:shd w:fill="auto" w:val="clear"/>
        </w:rPr>
        <w:t>общие положения;</w:t>
      </w:r>
    </w:p>
    <w:p>
      <w:pPr>
        <w:pStyle w:val="ListParagraph"/>
        <w:numPr>
          <w:ilvl w:val="0"/>
          <w:numId w:val="12"/>
        </w:numPr>
        <w:jc w:val="both"/>
        <w:rPr>
          <w:highlight w:val="none"/>
          <w:shd w:fill="auto" w:val="clear"/>
        </w:rPr>
      </w:pPr>
      <w:r>
        <w:rPr>
          <w:shd w:fill="auto" w:val="clear"/>
        </w:rPr>
        <w:t>наименование и краткое описание архитектуры информационной системы, класс защищенности информационной системы;</w:t>
      </w:r>
    </w:p>
    <w:p>
      <w:pPr>
        <w:pStyle w:val="ListParagraph"/>
        <w:numPr>
          <w:ilvl w:val="0"/>
          <w:numId w:val="12"/>
        </w:numPr>
        <w:jc w:val="both"/>
        <w:rPr>
          <w:highlight w:val="none"/>
          <w:shd w:fill="auto" w:val="clear"/>
        </w:rPr>
      </w:pPr>
      <w:r>
        <w:rPr>
          <w:shd w:fill="auto" w:val="clear"/>
        </w:rPr>
        <w:t>фамилии, имена, отчества (при наличии), должности экспертов Исполнителя, назначенных для проведения испытаний информационной системы;</w:t>
      </w:r>
    </w:p>
    <w:p>
      <w:pPr>
        <w:pStyle w:val="ListParagraph"/>
        <w:numPr>
          <w:ilvl w:val="0"/>
          <w:numId w:val="12"/>
        </w:numPr>
        <w:jc w:val="both"/>
        <w:rPr>
          <w:highlight w:val="none"/>
          <w:shd w:fill="auto" w:val="clear"/>
        </w:rPr>
      </w:pPr>
      <w:r>
        <w:rPr>
          <w:shd w:fill="auto" w:val="clear"/>
        </w:rPr>
        <w:t>наименование и реквизиты документов ФСТЭК России, устанавливающих требования по защите информации, на соответствие которым проводится испытания информационной системы;</w:t>
      </w:r>
    </w:p>
    <w:p>
      <w:pPr>
        <w:pStyle w:val="ListParagraph"/>
        <w:numPr>
          <w:ilvl w:val="0"/>
          <w:numId w:val="12"/>
        </w:numPr>
        <w:jc w:val="both"/>
        <w:rPr>
          <w:highlight w:val="none"/>
          <w:shd w:fill="auto" w:val="clear"/>
        </w:rPr>
      </w:pPr>
      <w:r>
        <w:rPr>
          <w:shd w:fill="auto" w:val="clear"/>
        </w:rPr>
        <w:t>угрозы безопасности информации, актуальные для информационной системы, или сведения о модели угроз безопасности информации в случае ее разработки в соответствии с требованиями по защите информации;</w:t>
      </w:r>
    </w:p>
    <w:p>
      <w:pPr>
        <w:pStyle w:val="ListParagraph"/>
        <w:numPr>
          <w:ilvl w:val="0"/>
          <w:numId w:val="12"/>
        </w:numPr>
        <w:jc w:val="both"/>
        <w:rPr>
          <w:highlight w:val="none"/>
          <w:shd w:fill="auto" w:val="clear"/>
        </w:rPr>
      </w:pPr>
      <w:r>
        <w:rPr>
          <w:shd w:fill="auto" w:val="clear"/>
        </w:rPr>
        <w:t>программа испытаний информационной системы;</w:t>
      </w:r>
    </w:p>
    <w:p>
      <w:pPr>
        <w:pStyle w:val="ListParagraph"/>
        <w:numPr>
          <w:ilvl w:val="0"/>
          <w:numId w:val="12"/>
        </w:numPr>
        <w:jc w:val="both"/>
        <w:rPr>
          <w:highlight w:val="none"/>
          <w:shd w:fill="auto" w:val="clear"/>
        </w:rPr>
      </w:pPr>
      <w:r>
        <w:rPr>
          <w:shd w:fill="auto" w:val="clear"/>
        </w:rPr>
        <w:t>перечень работ по оценке соответствия информационной системы, в том числе работы по обследованию информационной системы в условиях его эксплуатации, проведению испытаний в соответствии с разрабатываемыми методиками испытаний, оформлению результатов испытаний, а также срок проведения оценки соответствия</w:t>
      </w:r>
      <w:r>
        <w:rPr>
          <w:color w:val="FF0000"/>
          <w:shd w:fill="auto" w:val="clear"/>
        </w:rPr>
        <w:t xml:space="preserve"> </w:t>
      </w:r>
      <w:r>
        <w:rPr>
          <w:shd w:fill="auto" w:val="clear"/>
        </w:rPr>
        <w:t>информационной системы, фамилию и инициалы эксперта Исполнителя, ответственного за проведение работ;</w:t>
      </w:r>
    </w:p>
    <w:p>
      <w:pPr>
        <w:pStyle w:val="ListParagraph"/>
        <w:numPr>
          <w:ilvl w:val="0"/>
          <w:numId w:val="12"/>
        </w:numPr>
        <w:jc w:val="both"/>
        <w:rPr>
          <w:highlight w:val="none"/>
          <w:shd w:fill="auto" w:val="clear"/>
        </w:rPr>
      </w:pPr>
      <w:r>
        <w:rPr>
          <w:shd w:fill="auto" w:val="clear"/>
        </w:rPr>
        <w:t>методики испытаний информационной системы на соответствие требованиям по защите информации;</w:t>
      </w:r>
    </w:p>
    <w:p>
      <w:pPr>
        <w:pStyle w:val="ListParagraph"/>
        <w:numPr>
          <w:ilvl w:val="0"/>
          <w:numId w:val="12"/>
        </w:numPr>
        <w:jc w:val="both"/>
        <w:rPr>
          <w:highlight w:val="none"/>
          <w:shd w:fill="auto" w:val="clear"/>
        </w:rPr>
      </w:pPr>
      <w:r>
        <w:rPr>
          <w:shd w:fill="auto" w:val="clear"/>
        </w:rPr>
        <w:t>для каждого испытания порядок, условия, исходные данные и методы испытаний, применяемые при проведении испытаний средства контроля эффективности защиты информации от несанкционированного доступа, а также контрольно-измерительное и испытательное оборудование.</w:t>
      </w:r>
    </w:p>
    <w:p>
      <w:pPr>
        <w:pStyle w:val="Normal"/>
        <w:ind w:firstLine="360"/>
        <w:jc w:val="both"/>
        <w:rPr>
          <w:highlight w:val="none"/>
          <w:shd w:fill="auto" w:val="clear"/>
        </w:rPr>
      </w:pPr>
      <w:r>
        <w:rPr>
          <w:rFonts w:eastAsia="Calibri"/>
          <w:shd w:fill="auto" w:val="clear"/>
        </w:rPr>
        <w:t>Документ «Программа и методики испытаний информационной системы» должен быть согласован с Заказчиком до начала проведения испытаний.</w:t>
      </w:r>
    </w:p>
    <w:p>
      <w:pPr>
        <w:pStyle w:val="ListParagraph"/>
        <w:numPr>
          <w:ilvl w:val="1"/>
          <w:numId w:val="11"/>
        </w:numPr>
        <w:spacing w:before="240" w:after="0"/>
        <w:ind w:firstLine="426" w:start="0"/>
        <w:contextualSpacing/>
        <w:jc w:val="both"/>
        <w:rPr>
          <w:highlight w:val="none"/>
          <w:shd w:fill="auto" w:val="clear"/>
        </w:rPr>
      </w:pPr>
      <w:r>
        <w:rPr>
          <w:rFonts w:eastAsia="Calibri"/>
          <w:shd w:fill="auto" w:val="clear"/>
        </w:rPr>
        <w:t>Проведение оценки защищенности информационной системы «РСОН»</w:t>
      </w:r>
    </w:p>
    <w:p>
      <w:pPr>
        <w:pStyle w:val="Normal"/>
        <w:ind w:firstLine="426"/>
        <w:jc w:val="both"/>
        <w:rPr>
          <w:highlight w:val="none"/>
          <w:shd w:fill="auto" w:val="clear"/>
        </w:rPr>
      </w:pPr>
      <w:r>
        <w:rPr>
          <w:rFonts w:eastAsia="Calibri"/>
          <w:shd w:fill="auto" w:val="clear"/>
        </w:rPr>
        <w:t xml:space="preserve">В рамках оказания услуг Исполнитель проводит анализ защищенности информационной системы Заказчика по ранее разработанной и согласованной программой и методикой испытаний информационной системы. </w:t>
      </w:r>
    </w:p>
    <w:p>
      <w:pPr>
        <w:pStyle w:val="ListParagraph"/>
        <w:numPr>
          <w:ilvl w:val="2"/>
          <w:numId w:val="11"/>
        </w:numPr>
        <w:ind w:firstLine="555" w:start="0"/>
        <w:jc w:val="both"/>
        <w:rPr>
          <w:highlight w:val="none"/>
          <w:shd w:fill="auto" w:val="clear"/>
        </w:rPr>
      </w:pPr>
      <w:r>
        <w:rPr>
          <w:rFonts w:eastAsia="Calibri"/>
          <w:shd w:fill="auto" w:val="clear"/>
        </w:rPr>
        <w:t>Анализ защищенности информационной системы «РСОН» включает в себя следующие этапы:</w:t>
      </w:r>
    </w:p>
    <w:p>
      <w:pPr>
        <w:pStyle w:val="ListParagraph"/>
        <w:numPr>
          <w:ilvl w:val="0"/>
          <w:numId w:val="12"/>
        </w:numPr>
        <w:jc w:val="both"/>
        <w:rPr>
          <w:highlight w:val="none"/>
          <w:shd w:fill="auto" w:val="clear"/>
        </w:rPr>
      </w:pPr>
      <w:r>
        <w:rPr>
          <w:shd w:fill="auto" w:val="clear"/>
        </w:rPr>
        <w:t>анализ документации, регламентирующей защиту информации;</w:t>
      </w:r>
    </w:p>
    <w:p>
      <w:pPr>
        <w:pStyle w:val="ListParagraph"/>
        <w:numPr>
          <w:ilvl w:val="0"/>
          <w:numId w:val="12"/>
        </w:numPr>
        <w:jc w:val="both"/>
        <w:rPr>
          <w:highlight w:val="none"/>
          <w:shd w:fill="auto" w:val="clear"/>
        </w:rPr>
      </w:pPr>
      <w:r>
        <w:rPr>
          <w:shd w:fill="auto" w:val="clear"/>
        </w:rPr>
        <w:t>проверку соответствия системы защиты информации установленным требованиям;</w:t>
      </w:r>
    </w:p>
    <w:p>
      <w:pPr>
        <w:pStyle w:val="ListParagraph"/>
        <w:numPr>
          <w:ilvl w:val="0"/>
          <w:numId w:val="12"/>
        </w:numPr>
        <w:jc w:val="both"/>
        <w:rPr>
          <w:highlight w:val="none"/>
          <w:shd w:fill="auto" w:val="clear"/>
        </w:rPr>
      </w:pPr>
      <w:r>
        <w:rPr>
          <w:shd w:fill="auto" w:val="clear"/>
        </w:rPr>
        <w:t>анализ уязвимостей информационной системы;</w:t>
      </w:r>
    </w:p>
    <w:p>
      <w:pPr>
        <w:pStyle w:val="ListParagraph"/>
        <w:numPr>
          <w:ilvl w:val="0"/>
          <w:numId w:val="12"/>
        </w:numPr>
        <w:jc w:val="both"/>
        <w:rPr>
          <w:highlight w:val="none"/>
          <w:shd w:fill="auto" w:val="clear"/>
        </w:rPr>
      </w:pPr>
      <w:r>
        <w:rPr>
          <w:shd w:fill="auto" w:val="clear"/>
        </w:rPr>
        <w:t>оформление заключения по результатам анализа.</w:t>
      </w:r>
    </w:p>
    <w:p>
      <w:pPr>
        <w:pStyle w:val="ListParagraph"/>
        <w:numPr>
          <w:ilvl w:val="2"/>
          <w:numId w:val="11"/>
        </w:numPr>
        <w:ind w:firstLine="555" w:start="0"/>
        <w:jc w:val="both"/>
        <w:rPr>
          <w:highlight w:val="none"/>
          <w:shd w:fill="auto" w:val="clear"/>
        </w:rPr>
      </w:pPr>
      <w:r>
        <w:rPr>
          <w:rFonts w:eastAsia="Calibri"/>
          <w:shd w:fill="auto" w:val="clear"/>
        </w:rPr>
        <w:t>Анализ документации</w:t>
      </w:r>
    </w:p>
    <w:p>
      <w:pPr>
        <w:pStyle w:val="Normal"/>
        <w:ind w:firstLine="426"/>
        <w:jc w:val="both"/>
        <w:rPr>
          <w:highlight w:val="none"/>
          <w:shd w:fill="auto" w:val="clear"/>
        </w:rPr>
      </w:pPr>
      <w:r>
        <w:rPr>
          <w:rFonts w:eastAsia="Calibri"/>
          <w:shd w:fill="auto" w:val="clear"/>
        </w:rPr>
        <w:t>В процессе анализа документации Исполнитель осуществляет:</w:t>
      </w:r>
    </w:p>
    <w:p>
      <w:pPr>
        <w:pStyle w:val="ListParagraph"/>
        <w:numPr>
          <w:ilvl w:val="0"/>
          <w:numId w:val="12"/>
        </w:numPr>
        <w:jc w:val="both"/>
        <w:rPr>
          <w:highlight w:val="none"/>
          <w:shd w:fill="auto" w:val="clear"/>
        </w:rPr>
      </w:pPr>
      <w:r>
        <w:rPr>
          <w:shd w:fill="auto" w:val="clear"/>
        </w:rPr>
        <w:t xml:space="preserve">изучение технологического процесса обработки и хранения защищаемой информации; </w:t>
      </w:r>
    </w:p>
    <w:p>
      <w:pPr>
        <w:pStyle w:val="ListParagraph"/>
        <w:numPr>
          <w:ilvl w:val="0"/>
          <w:numId w:val="12"/>
        </w:numPr>
        <w:jc w:val="both"/>
        <w:rPr>
          <w:highlight w:val="none"/>
          <w:shd w:fill="auto" w:val="clear"/>
        </w:rPr>
      </w:pPr>
      <w:r>
        <w:rPr>
          <w:shd w:fill="auto" w:val="clear"/>
        </w:rPr>
        <w:t xml:space="preserve">определение состава используемых программно-технических средств; </w:t>
      </w:r>
    </w:p>
    <w:p>
      <w:pPr>
        <w:pStyle w:val="ListParagraph"/>
        <w:numPr>
          <w:ilvl w:val="0"/>
          <w:numId w:val="12"/>
        </w:numPr>
        <w:jc w:val="both"/>
        <w:rPr>
          <w:highlight w:val="none"/>
          <w:shd w:fill="auto" w:val="clear"/>
        </w:rPr>
      </w:pPr>
      <w:r>
        <w:rPr>
          <w:shd w:fill="auto" w:val="clear"/>
        </w:rPr>
        <w:t xml:space="preserve">проверку достаточности представленных документов; </w:t>
      </w:r>
    </w:p>
    <w:p>
      <w:pPr>
        <w:pStyle w:val="ListParagraph"/>
        <w:numPr>
          <w:ilvl w:val="0"/>
          <w:numId w:val="12"/>
        </w:numPr>
        <w:jc w:val="both"/>
        <w:rPr>
          <w:highlight w:val="none"/>
          <w:shd w:fill="auto" w:val="clear"/>
        </w:rPr>
      </w:pPr>
      <w:r>
        <w:rPr>
          <w:shd w:fill="auto" w:val="clear"/>
        </w:rPr>
        <w:t xml:space="preserve">проверку соответствия содержания документов требованиям по защите информации; </w:t>
      </w:r>
    </w:p>
    <w:p>
      <w:pPr>
        <w:pStyle w:val="ListParagraph"/>
        <w:numPr>
          <w:ilvl w:val="0"/>
          <w:numId w:val="12"/>
        </w:numPr>
        <w:jc w:val="both"/>
        <w:rPr>
          <w:highlight w:val="none"/>
          <w:shd w:fill="auto" w:val="clear"/>
        </w:rPr>
      </w:pPr>
      <w:r>
        <w:rPr>
          <w:shd w:fill="auto" w:val="clear"/>
        </w:rPr>
        <w:t xml:space="preserve">проверку соответствия документации фактическим условиям эксплуатации информационной системы; </w:t>
      </w:r>
    </w:p>
    <w:p>
      <w:pPr>
        <w:pStyle w:val="ListParagraph"/>
        <w:numPr>
          <w:ilvl w:val="0"/>
          <w:numId w:val="12"/>
        </w:numPr>
        <w:jc w:val="both"/>
        <w:rPr>
          <w:highlight w:val="none"/>
          <w:shd w:fill="auto" w:val="clear"/>
        </w:rPr>
      </w:pPr>
      <w:r>
        <w:rPr>
          <w:shd w:fill="auto" w:val="clear"/>
        </w:rPr>
        <w:t xml:space="preserve">проверку соответствия состава и структуры информационной системы представленным документам; </w:t>
      </w:r>
    </w:p>
    <w:p>
      <w:pPr>
        <w:pStyle w:val="ListParagraph"/>
        <w:numPr>
          <w:ilvl w:val="0"/>
          <w:numId w:val="12"/>
        </w:numPr>
        <w:jc w:val="both"/>
        <w:rPr>
          <w:highlight w:val="none"/>
          <w:shd w:fill="auto" w:val="clear"/>
        </w:rPr>
      </w:pPr>
      <w:r>
        <w:rPr>
          <w:shd w:fill="auto" w:val="clear"/>
        </w:rPr>
        <w:t xml:space="preserve">проверку правильности классификации информационной системы; </w:t>
      </w:r>
    </w:p>
    <w:p>
      <w:pPr>
        <w:pStyle w:val="ListParagraph"/>
        <w:numPr>
          <w:ilvl w:val="0"/>
          <w:numId w:val="12"/>
        </w:numPr>
        <w:jc w:val="both"/>
        <w:rPr>
          <w:highlight w:val="none"/>
          <w:shd w:fill="auto" w:val="clear"/>
        </w:rPr>
      </w:pPr>
      <w:r>
        <w:rPr>
          <w:shd w:fill="auto" w:val="clear"/>
        </w:rPr>
        <w:t xml:space="preserve">оценку уровня подготовки персонала и распределения ответственности; </w:t>
      </w:r>
    </w:p>
    <w:p>
      <w:pPr>
        <w:pStyle w:val="ListParagraph"/>
        <w:numPr>
          <w:ilvl w:val="0"/>
          <w:numId w:val="12"/>
        </w:numPr>
        <w:jc w:val="both"/>
        <w:rPr>
          <w:highlight w:val="none"/>
          <w:shd w:fill="auto" w:val="clear"/>
        </w:rPr>
      </w:pPr>
      <w:r>
        <w:rPr>
          <w:shd w:fill="auto" w:val="clear"/>
        </w:rPr>
        <w:t>проверку выполнения требований к помещениям.</w:t>
      </w:r>
    </w:p>
    <w:p>
      <w:pPr>
        <w:pStyle w:val="ListParagraph"/>
        <w:numPr>
          <w:ilvl w:val="2"/>
          <w:numId w:val="11"/>
        </w:numPr>
        <w:ind w:firstLine="555" w:start="0"/>
        <w:jc w:val="both"/>
        <w:rPr>
          <w:highlight w:val="none"/>
          <w:shd w:fill="auto" w:val="clear"/>
        </w:rPr>
      </w:pPr>
      <w:r>
        <w:rPr>
          <w:rFonts w:eastAsia="Calibri"/>
          <w:shd w:fill="auto" w:val="clear"/>
        </w:rPr>
        <w:t>Проверка соответствия и анализ защищенности:</w:t>
      </w:r>
    </w:p>
    <w:p>
      <w:pPr>
        <w:pStyle w:val="Normal"/>
        <w:ind w:firstLine="426"/>
        <w:jc w:val="both"/>
        <w:rPr>
          <w:highlight w:val="none"/>
          <w:shd w:fill="auto" w:val="clear"/>
        </w:rPr>
      </w:pPr>
      <w:r>
        <w:rPr>
          <w:rFonts w:eastAsia="Calibri"/>
          <w:shd w:fill="auto" w:val="clear"/>
        </w:rPr>
        <w:t>В ходе анализа защищенности Исполнителем выполняются:</w:t>
      </w:r>
    </w:p>
    <w:p>
      <w:pPr>
        <w:pStyle w:val="ListParagraph"/>
        <w:numPr>
          <w:ilvl w:val="0"/>
          <w:numId w:val="12"/>
        </w:numPr>
        <w:jc w:val="both"/>
        <w:rPr>
          <w:highlight w:val="none"/>
          <w:shd w:fill="auto" w:val="clear"/>
        </w:rPr>
      </w:pPr>
      <w:r>
        <w:rPr>
          <w:shd w:fill="auto" w:val="clear"/>
        </w:rPr>
        <w:t>проверка наличия сведений о средствах защиты информации, установленных на объекте информатизации, в реестре сертифицированных средств защиты информации;</w:t>
      </w:r>
    </w:p>
    <w:p>
      <w:pPr>
        <w:pStyle w:val="ListParagraph"/>
        <w:numPr>
          <w:ilvl w:val="0"/>
          <w:numId w:val="12"/>
        </w:numPr>
        <w:jc w:val="both"/>
        <w:rPr>
          <w:highlight w:val="none"/>
          <w:shd w:fill="auto" w:val="clear"/>
        </w:rPr>
      </w:pPr>
      <w:r>
        <w:rPr>
          <w:shd w:fill="auto" w:val="clear"/>
        </w:rPr>
        <w:t xml:space="preserve">анализ совместимости средств защиты информации с программно-аппаратной инфраструктурой; </w:t>
      </w:r>
    </w:p>
    <w:p>
      <w:pPr>
        <w:pStyle w:val="ListParagraph"/>
        <w:numPr>
          <w:ilvl w:val="0"/>
          <w:numId w:val="12"/>
        </w:numPr>
        <w:jc w:val="both"/>
        <w:rPr>
          <w:highlight w:val="none"/>
          <w:shd w:fill="auto" w:val="clear"/>
        </w:rPr>
      </w:pPr>
      <w:r>
        <w:rPr>
          <w:shd w:fill="auto" w:val="clear"/>
        </w:rPr>
        <w:t xml:space="preserve">проверка соответствия технологических процессов фактической эксплуатации; </w:t>
      </w:r>
    </w:p>
    <w:p>
      <w:pPr>
        <w:pStyle w:val="ListParagraph"/>
        <w:numPr>
          <w:ilvl w:val="0"/>
          <w:numId w:val="12"/>
        </w:numPr>
        <w:jc w:val="both"/>
        <w:rPr>
          <w:highlight w:val="none"/>
          <w:shd w:fill="auto" w:val="clear"/>
        </w:rPr>
      </w:pPr>
      <w:r>
        <w:rPr>
          <w:shd w:fill="auto" w:val="clear"/>
        </w:rPr>
        <w:t xml:space="preserve">анализ корректности настроек средств защиты информации; </w:t>
      </w:r>
    </w:p>
    <w:p>
      <w:pPr>
        <w:pStyle w:val="ListParagraph"/>
        <w:numPr>
          <w:ilvl w:val="0"/>
          <w:numId w:val="12"/>
        </w:numPr>
        <w:jc w:val="both"/>
        <w:rPr>
          <w:highlight w:val="none"/>
          <w:shd w:fill="auto" w:val="clear"/>
        </w:rPr>
      </w:pPr>
      <w:r>
        <w:rPr>
          <w:shd w:fill="auto" w:val="clear"/>
        </w:rPr>
        <w:t xml:space="preserve">проверка соответствия настроек требованиям организационно-распорядительной документации; </w:t>
      </w:r>
    </w:p>
    <w:p>
      <w:pPr>
        <w:pStyle w:val="ListParagraph"/>
        <w:numPr>
          <w:ilvl w:val="0"/>
          <w:numId w:val="12"/>
        </w:numPr>
        <w:jc w:val="both"/>
        <w:rPr>
          <w:highlight w:val="none"/>
          <w:shd w:fill="auto" w:val="clear"/>
        </w:rPr>
      </w:pPr>
      <w:r>
        <w:rPr>
          <w:shd w:fill="auto" w:val="clear"/>
        </w:rPr>
        <w:t xml:space="preserve">проверка корректности разграничения прав доступа; </w:t>
      </w:r>
    </w:p>
    <w:p>
      <w:pPr>
        <w:pStyle w:val="ListParagraph"/>
        <w:numPr>
          <w:ilvl w:val="0"/>
          <w:numId w:val="12"/>
        </w:numPr>
        <w:jc w:val="both"/>
        <w:rPr>
          <w:highlight w:val="none"/>
          <w:shd w:fill="auto" w:val="clear"/>
        </w:rPr>
      </w:pPr>
      <w:r>
        <w:rPr>
          <w:shd w:fill="auto" w:val="clear"/>
        </w:rPr>
        <w:t xml:space="preserve">анализ механизмов идентификации и аутентификации; </w:t>
      </w:r>
    </w:p>
    <w:p>
      <w:pPr>
        <w:pStyle w:val="ListParagraph"/>
        <w:numPr>
          <w:ilvl w:val="0"/>
          <w:numId w:val="12"/>
        </w:numPr>
        <w:jc w:val="both"/>
        <w:rPr>
          <w:highlight w:val="none"/>
          <w:shd w:fill="auto" w:val="clear"/>
        </w:rPr>
      </w:pPr>
      <w:r>
        <w:rPr>
          <w:shd w:fill="auto" w:val="clear"/>
        </w:rPr>
        <w:t xml:space="preserve">анализ подсистем: </w:t>
      </w:r>
    </w:p>
    <w:p>
      <w:pPr>
        <w:pStyle w:val="Style94"/>
        <w:rPr>
          <w:highlight w:val="none"/>
          <w:shd w:fill="auto" w:val="clear"/>
        </w:rPr>
      </w:pPr>
      <w:r>
        <w:rPr>
          <w:shd w:fill="auto" w:val="clear"/>
        </w:rPr>
        <w:t xml:space="preserve">межсетевого экранирования; </w:t>
      </w:r>
    </w:p>
    <w:p>
      <w:pPr>
        <w:pStyle w:val="Style94"/>
        <w:rPr>
          <w:highlight w:val="none"/>
          <w:shd w:fill="auto" w:val="clear"/>
        </w:rPr>
      </w:pPr>
      <w:r>
        <w:rPr>
          <w:shd w:fill="auto" w:val="clear"/>
        </w:rPr>
        <w:t xml:space="preserve">антивирусной защиты; </w:t>
      </w:r>
    </w:p>
    <w:p>
      <w:pPr>
        <w:pStyle w:val="Style94"/>
        <w:rPr>
          <w:highlight w:val="none"/>
          <w:shd w:fill="auto" w:val="clear"/>
        </w:rPr>
      </w:pPr>
      <w:r>
        <w:rPr>
          <w:shd w:fill="auto" w:val="clear"/>
        </w:rPr>
        <w:t xml:space="preserve">криптографической защиты информации; </w:t>
      </w:r>
    </w:p>
    <w:p>
      <w:pPr>
        <w:pStyle w:val="Style94"/>
        <w:rPr>
          <w:highlight w:val="none"/>
          <w:shd w:fill="auto" w:val="clear"/>
        </w:rPr>
      </w:pPr>
      <w:r>
        <w:rPr>
          <w:shd w:fill="auto" w:val="clear"/>
        </w:rPr>
        <w:t xml:space="preserve">защиты от несанкционированного доступа; </w:t>
      </w:r>
    </w:p>
    <w:p>
      <w:pPr>
        <w:pStyle w:val="Style94"/>
        <w:rPr>
          <w:highlight w:val="none"/>
          <w:shd w:fill="auto" w:val="clear"/>
        </w:rPr>
      </w:pPr>
      <w:r>
        <w:rPr>
          <w:shd w:fill="auto" w:val="clear"/>
        </w:rPr>
        <w:t xml:space="preserve">регистрации и учета событий безопасности; </w:t>
      </w:r>
    </w:p>
    <w:p>
      <w:pPr>
        <w:pStyle w:val="Style94"/>
        <w:rPr>
          <w:highlight w:val="none"/>
          <w:shd w:fill="auto" w:val="clear"/>
        </w:rPr>
      </w:pPr>
      <w:r>
        <w:rPr>
          <w:shd w:fill="auto" w:val="clear"/>
        </w:rPr>
        <w:t xml:space="preserve">обеспечения целостности; </w:t>
      </w:r>
    </w:p>
    <w:p>
      <w:pPr>
        <w:pStyle w:val="Style94"/>
        <w:rPr>
          <w:highlight w:val="none"/>
          <w:shd w:fill="auto" w:val="clear"/>
        </w:rPr>
      </w:pPr>
      <w:r>
        <w:rPr>
          <w:shd w:fill="auto" w:val="clear"/>
        </w:rPr>
        <w:t xml:space="preserve">обнаружения вторжений; </w:t>
      </w:r>
    </w:p>
    <w:p>
      <w:pPr>
        <w:pStyle w:val="ListParagraph"/>
        <w:numPr>
          <w:ilvl w:val="0"/>
          <w:numId w:val="12"/>
        </w:numPr>
        <w:jc w:val="both"/>
        <w:rPr>
          <w:highlight w:val="none"/>
          <w:shd w:fill="auto" w:val="clear"/>
        </w:rPr>
      </w:pPr>
      <w:r>
        <w:rPr>
          <w:shd w:fill="auto" w:val="clear"/>
        </w:rPr>
        <w:t>проверка системы защиты путем осуществления попыток несанкционированного доступа (воздействия) в обход системы защиты информации с использованием средств тестирования;</w:t>
      </w:r>
    </w:p>
    <w:p>
      <w:pPr>
        <w:pStyle w:val="ListParagraph"/>
        <w:numPr>
          <w:ilvl w:val="0"/>
          <w:numId w:val="12"/>
        </w:numPr>
        <w:jc w:val="both"/>
        <w:rPr>
          <w:highlight w:val="none"/>
          <w:shd w:fill="auto" w:val="clear"/>
        </w:rPr>
      </w:pPr>
      <w:r>
        <w:rPr>
          <w:shd w:fill="auto" w:val="clear"/>
        </w:rPr>
        <w:t>анализ журналирования событий безопасности;</w:t>
      </w:r>
    </w:p>
    <w:p>
      <w:pPr>
        <w:pStyle w:val="ListParagraph"/>
        <w:numPr>
          <w:ilvl w:val="0"/>
          <w:numId w:val="12"/>
        </w:numPr>
        <w:jc w:val="both"/>
        <w:rPr>
          <w:highlight w:val="none"/>
          <w:shd w:fill="auto" w:val="clear"/>
        </w:rPr>
      </w:pPr>
      <w:r>
        <w:rPr>
          <w:shd w:fill="auto" w:val="clear"/>
        </w:rPr>
        <w:t>оценка уровня знаний и умений работников Заказчика, ответственных за обеспечение защиты информации.</w:t>
      </w:r>
    </w:p>
    <w:p>
      <w:pPr>
        <w:pStyle w:val="ListParagraph"/>
        <w:numPr>
          <w:ilvl w:val="2"/>
          <w:numId w:val="11"/>
        </w:numPr>
        <w:ind w:firstLine="555" w:start="0"/>
        <w:jc w:val="both"/>
        <w:rPr>
          <w:highlight w:val="none"/>
          <w:shd w:fill="auto" w:val="clear"/>
        </w:rPr>
      </w:pPr>
      <w:r>
        <w:rPr>
          <w:rFonts w:eastAsia="Calibri"/>
          <w:shd w:fill="auto" w:val="clear"/>
        </w:rPr>
        <w:t>Анализ уязвимостей</w:t>
      </w:r>
    </w:p>
    <w:p>
      <w:pPr>
        <w:pStyle w:val="Normal"/>
        <w:ind w:firstLine="426"/>
        <w:jc w:val="both"/>
        <w:rPr>
          <w:highlight w:val="none"/>
          <w:shd w:fill="auto" w:val="clear"/>
        </w:rPr>
      </w:pPr>
      <w:r>
        <w:rPr>
          <w:rFonts w:eastAsia="Calibri"/>
          <w:shd w:fill="auto" w:val="clear"/>
        </w:rPr>
        <w:t>В рамках анализа уязвимостей выполняются:</w:t>
      </w:r>
    </w:p>
    <w:p>
      <w:pPr>
        <w:pStyle w:val="ListParagraph"/>
        <w:numPr>
          <w:ilvl w:val="0"/>
          <w:numId w:val="12"/>
        </w:numPr>
        <w:jc w:val="both"/>
        <w:rPr>
          <w:highlight w:val="none"/>
          <w:shd w:fill="auto" w:val="clear"/>
        </w:rPr>
      </w:pPr>
      <w:r>
        <w:rPr>
          <w:shd w:fill="auto" w:val="clear"/>
        </w:rPr>
        <w:t>проведение сканирования компонентов информационной системы с использованием сертифицированного средства анализа защищенности в соответствии с</w:t>
      </w:r>
      <w:r>
        <w:rPr>
          <w:rFonts w:eastAsia="Calibri"/>
          <w:shd w:fill="auto" w:val="clear"/>
        </w:rPr>
        <w:t xml:space="preserve"> методическим документом «Методика анализа защищенности информационных систем», утвержденным ФСТЭК России 25 ноября 2025 г. с использованием средств анализа защищённости, допущенных к применению ФСТЭК России</w:t>
      </w:r>
      <w:r>
        <w:rPr>
          <w:shd w:fill="auto" w:val="clear"/>
        </w:rPr>
        <w:t xml:space="preserve">; </w:t>
      </w:r>
    </w:p>
    <w:p>
      <w:pPr>
        <w:pStyle w:val="ListParagraph"/>
        <w:numPr>
          <w:ilvl w:val="0"/>
          <w:numId w:val="12"/>
        </w:numPr>
        <w:jc w:val="both"/>
        <w:rPr>
          <w:highlight w:val="none"/>
          <w:shd w:fill="auto" w:val="clear"/>
        </w:rPr>
      </w:pPr>
      <w:r>
        <w:rPr>
          <w:shd w:fill="auto" w:val="clear"/>
        </w:rPr>
        <w:t xml:space="preserve">выявление уязвимостей, связанных с: </w:t>
      </w:r>
    </w:p>
    <w:p>
      <w:pPr>
        <w:pStyle w:val="Style94"/>
        <w:rPr>
          <w:highlight w:val="none"/>
          <w:shd w:fill="auto" w:val="clear"/>
        </w:rPr>
      </w:pPr>
      <w:r>
        <w:rPr>
          <w:shd w:fill="auto" w:val="clear"/>
        </w:rPr>
        <w:t xml:space="preserve">ошибками программного обеспечения; </w:t>
      </w:r>
    </w:p>
    <w:p>
      <w:pPr>
        <w:pStyle w:val="Style94"/>
        <w:rPr>
          <w:highlight w:val="none"/>
          <w:shd w:fill="auto" w:val="clear"/>
        </w:rPr>
      </w:pPr>
      <w:r>
        <w:rPr>
          <w:shd w:fill="auto" w:val="clear"/>
        </w:rPr>
        <w:t xml:space="preserve">некорректной настройкой средств защиты информации; </w:t>
      </w:r>
    </w:p>
    <w:p>
      <w:pPr>
        <w:pStyle w:val="Style94"/>
        <w:rPr>
          <w:highlight w:val="none"/>
          <w:shd w:fill="auto" w:val="clear"/>
        </w:rPr>
      </w:pPr>
      <w:r>
        <w:rPr>
          <w:shd w:fill="auto" w:val="clear"/>
        </w:rPr>
        <w:t xml:space="preserve">ошибками конфигурации программно-технических средств; </w:t>
      </w:r>
    </w:p>
    <w:p>
      <w:pPr>
        <w:pStyle w:val="Style94"/>
        <w:rPr>
          <w:highlight w:val="none"/>
          <w:shd w:fill="auto" w:val="clear"/>
        </w:rPr>
      </w:pPr>
      <w:r>
        <w:rPr>
          <w:shd w:fill="auto" w:val="clear"/>
        </w:rPr>
        <w:t xml:space="preserve">недостатками взаимодействия компонентов системы; </w:t>
      </w:r>
    </w:p>
    <w:p>
      <w:pPr>
        <w:pStyle w:val="ListParagraph"/>
        <w:numPr>
          <w:ilvl w:val="0"/>
          <w:numId w:val="12"/>
        </w:numPr>
        <w:jc w:val="both"/>
        <w:rPr>
          <w:highlight w:val="none"/>
          <w:shd w:fill="auto" w:val="clear"/>
        </w:rPr>
      </w:pPr>
      <w:r>
        <w:rPr>
          <w:shd w:fill="auto" w:val="clear"/>
        </w:rPr>
        <w:t xml:space="preserve">анализ результатов сканирования и оценка достаточности реализованных мер защиты информации; </w:t>
      </w:r>
    </w:p>
    <w:p>
      <w:pPr>
        <w:pStyle w:val="ListParagraph"/>
        <w:numPr>
          <w:ilvl w:val="0"/>
          <w:numId w:val="12"/>
        </w:numPr>
        <w:jc w:val="both"/>
        <w:rPr>
          <w:highlight w:val="none"/>
          <w:shd w:fill="auto" w:val="clear"/>
        </w:rPr>
      </w:pPr>
      <w:r>
        <w:rPr>
          <w:shd w:fill="auto" w:val="clear"/>
        </w:rPr>
        <w:t>проведение функционального тестирования (тестирования на проникновение) функций безопасности системы защиты информации в соответствии с Методикой испытаний систем защиты информации информационных систем методами тестирования на проникновение, утверждённой ФСТЭК России 25.06.2025;</w:t>
      </w:r>
    </w:p>
    <w:p>
      <w:pPr>
        <w:pStyle w:val="ListParagraph"/>
        <w:numPr>
          <w:ilvl w:val="0"/>
          <w:numId w:val="12"/>
        </w:numPr>
        <w:jc w:val="both"/>
        <w:rPr>
          <w:highlight w:val="none"/>
          <w:shd w:fill="auto" w:val="clear"/>
        </w:rPr>
      </w:pPr>
      <w:r>
        <w:rPr>
          <w:shd w:fill="auto" w:val="clear"/>
        </w:rPr>
        <w:t>использование актуальных источников данных об уязвимостях (включая базы данных уязвимостей и информацию разработчиков).</w:t>
      </w:r>
    </w:p>
    <w:p>
      <w:pPr>
        <w:pStyle w:val="ListParagraph"/>
        <w:numPr>
          <w:ilvl w:val="2"/>
          <w:numId w:val="11"/>
        </w:numPr>
        <w:ind w:firstLine="555" w:start="0"/>
        <w:jc w:val="both"/>
        <w:rPr>
          <w:highlight w:val="none"/>
          <w:shd w:fill="auto" w:val="clear"/>
        </w:rPr>
      </w:pPr>
      <w:r>
        <w:rPr>
          <w:rFonts w:eastAsia="Calibri"/>
          <w:shd w:fill="auto" w:val="clear"/>
        </w:rPr>
        <w:t>Результаты оказания услуг</w:t>
      </w:r>
    </w:p>
    <w:p>
      <w:pPr>
        <w:pStyle w:val="Normal"/>
        <w:ind w:firstLine="426"/>
        <w:jc w:val="both"/>
        <w:rPr>
          <w:highlight w:val="none"/>
          <w:shd w:fill="auto" w:val="clear"/>
        </w:rPr>
      </w:pPr>
      <w:r>
        <w:rPr>
          <w:rFonts w:eastAsia="Calibri"/>
          <w:shd w:fill="auto" w:val="clear"/>
        </w:rPr>
        <w:t>По результатам проведения анализа защищенности Исполнитель формирует и передает Заказчику следующие документы:</w:t>
      </w:r>
    </w:p>
    <w:p>
      <w:pPr>
        <w:pStyle w:val="ListParagraph"/>
        <w:numPr>
          <w:ilvl w:val="0"/>
          <w:numId w:val="12"/>
        </w:numPr>
        <w:jc w:val="both"/>
        <w:rPr>
          <w:highlight w:val="none"/>
          <w:shd w:fill="auto" w:val="clear"/>
        </w:rPr>
      </w:pPr>
      <w:r>
        <w:rPr>
          <w:shd w:fill="auto" w:val="clear"/>
        </w:rPr>
        <w:t xml:space="preserve">отчет об анализе защищенности информационной системы; </w:t>
      </w:r>
    </w:p>
    <w:p>
      <w:pPr>
        <w:pStyle w:val="ListParagraph"/>
        <w:numPr>
          <w:ilvl w:val="0"/>
          <w:numId w:val="12"/>
        </w:numPr>
        <w:jc w:val="both"/>
        <w:rPr>
          <w:highlight w:val="none"/>
          <w:shd w:fill="auto" w:val="clear"/>
        </w:rPr>
      </w:pPr>
      <w:r>
        <w:rPr>
          <w:shd w:fill="auto" w:val="clear"/>
        </w:rPr>
        <w:t>перечень выявленных несоответствий требованиям по защите информации;</w:t>
      </w:r>
    </w:p>
    <w:p>
      <w:pPr>
        <w:pStyle w:val="ListParagraph"/>
        <w:numPr>
          <w:ilvl w:val="0"/>
          <w:numId w:val="12"/>
        </w:numPr>
        <w:jc w:val="both"/>
        <w:rPr>
          <w:highlight w:val="none"/>
          <w:shd w:fill="auto" w:val="clear"/>
        </w:rPr>
      </w:pPr>
      <w:r>
        <w:rPr>
          <w:shd w:fill="auto" w:val="clear"/>
        </w:rPr>
        <w:t xml:space="preserve">рекомендации по устранению выявленных несоответствий; </w:t>
      </w:r>
    </w:p>
    <w:p>
      <w:pPr>
        <w:pStyle w:val="ListParagraph"/>
        <w:numPr>
          <w:ilvl w:val="0"/>
          <w:numId w:val="12"/>
        </w:numPr>
        <w:jc w:val="both"/>
        <w:rPr>
          <w:highlight w:val="none"/>
          <w:shd w:fill="auto" w:val="clear"/>
        </w:rPr>
      </w:pPr>
      <w:r>
        <w:rPr>
          <w:shd w:fill="auto" w:val="clear"/>
        </w:rPr>
        <w:t>заключение о соответствии (или несоответствии) информационной системы установленным требованиям по защите информации Приказа ФСТЭК России № 117 и Приказа ФСТЭК России № 31 для информационных систем класса защищенности К2.</w:t>
      </w:r>
    </w:p>
    <w:p>
      <w:pPr>
        <w:pStyle w:val="Normal"/>
        <w:ind w:firstLine="426"/>
        <w:jc w:val="both"/>
        <w:rPr>
          <w:highlight w:val="none"/>
          <w:shd w:fill="auto" w:val="clear"/>
        </w:rPr>
      </w:pPr>
      <w:r>
        <w:rPr>
          <w:rFonts w:eastAsia="Calibri"/>
          <w:shd w:fill="auto" w:val="clear"/>
        </w:rPr>
        <w:t>Заключение должно содержать:</w:t>
      </w:r>
    </w:p>
    <w:p>
      <w:pPr>
        <w:pStyle w:val="ListParagraph"/>
        <w:numPr>
          <w:ilvl w:val="0"/>
          <w:numId w:val="12"/>
        </w:numPr>
        <w:jc w:val="both"/>
        <w:rPr>
          <w:highlight w:val="none"/>
          <w:shd w:fill="auto" w:val="clear"/>
        </w:rPr>
      </w:pPr>
      <w:r>
        <w:rPr>
          <w:shd w:fill="auto" w:val="clear"/>
        </w:rPr>
        <w:t>наименование ИС и её назначение;</w:t>
      </w:r>
    </w:p>
    <w:p>
      <w:pPr>
        <w:pStyle w:val="ListParagraph"/>
        <w:numPr>
          <w:ilvl w:val="0"/>
          <w:numId w:val="12"/>
        </w:numPr>
        <w:jc w:val="both"/>
        <w:rPr>
          <w:highlight w:val="none"/>
          <w:shd w:fill="auto" w:val="clear"/>
        </w:rPr>
      </w:pPr>
      <w:r>
        <w:rPr>
          <w:shd w:fill="auto" w:val="clear"/>
        </w:rPr>
        <w:t>состав программно-технических средств и СЗИ;</w:t>
      </w:r>
    </w:p>
    <w:p>
      <w:pPr>
        <w:pStyle w:val="ListParagraph"/>
        <w:numPr>
          <w:ilvl w:val="0"/>
          <w:numId w:val="12"/>
        </w:numPr>
        <w:jc w:val="both"/>
        <w:rPr>
          <w:highlight w:val="none"/>
          <w:shd w:fill="auto" w:val="clear"/>
        </w:rPr>
      </w:pPr>
      <w:r>
        <w:rPr>
          <w:shd w:fill="auto" w:val="clear"/>
        </w:rPr>
        <w:t>классы защищённости;</w:t>
      </w:r>
    </w:p>
    <w:p>
      <w:pPr>
        <w:pStyle w:val="ListParagraph"/>
        <w:numPr>
          <w:ilvl w:val="0"/>
          <w:numId w:val="12"/>
        </w:numPr>
        <w:jc w:val="both"/>
        <w:rPr>
          <w:highlight w:val="none"/>
          <w:shd w:fill="auto" w:val="clear"/>
        </w:rPr>
      </w:pPr>
      <w:r>
        <w:rPr>
          <w:shd w:fill="auto" w:val="clear"/>
        </w:rPr>
        <w:t>ФИО, должности экспертов Исполнителя;</w:t>
      </w:r>
    </w:p>
    <w:p>
      <w:pPr>
        <w:pStyle w:val="ListParagraph"/>
        <w:numPr>
          <w:ilvl w:val="0"/>
          <w:numId w:val="12"/>
        </w:numPr>
        <w:jc w:val="both"/>
        <w:rPr>
          <w:highlight w:val="none"/>
          <w:shd w:fill="auto" w:val="clear"/>
        </w:rPr>
      </w:pPr>
      <w:r>
        <w:rPr>
          <w:shd w:fill="auto" w:val="clear"/>
        </w:rPr>
        <w:t>дату утверждения Программы и методик;</w:t>
      </w:r>
    </w:p>
    <w:p>
      <w:pPr>
        <w:pStyle w:val="ListParagraph"/>
        <w:numPr>
          <w:ilvl w:val="0"/>
          <w:numId w:val="12"/>
        </w:numPr>
        <w:jc w:val="both"/>
        <w:rPr>
          <w:highlight w:val="none"/>
          <w:shd w:fill="auto" w:val="clear"/>
        </w:rPr>
      </w:pPr>
      <w:r>
        <w:rPr>
          <w:shd w:fill="auto" w:val="clear"/>
        </w:rPr>
        <w:t>сроки проведения оценки;</w:t>
      </w:r>
    </w:p>
    <w:p>
      <w:pPr>
        <w:pStyle w:val="ListParagraph"/>
        <w:numPr>
          <w:ilvl w:val="0"/>
          <w:numId w:val="12"/>
        </w:numPr>
        <w:jc w:val="both"/>
        <w:rPr>
          <w:highlight w:val="none"/>
          <w:shd w:fill="auto" w:val="clear"/>
        </w:rPr>
      </w:pPr>
      <w:r>
        <w:rPr>
          <w:shd w:fill="auto" w:val="clear"/>
        </w:rPr>
        <w:t>реквизиты нормативных документов ФСТЭК;</w:t>
      </w:r>
    </w:p>
    <w:p>
      <w:pPr>
        <w:pStyle w:val="ListParagraph"/>
        <w:numPr>
          <w:ilvl w:val="0"/>
          <w:numId w:val="12"/>
        </w:numPr>
        <w:jc w:val="both"/>
        <w:rPr>
          <w:highlight w:val="none"/>
          <w:shd w:fill="auto" w:val="clear"/>
        </w:rPr>
      </w:pPr>
      <w:r>
        <w:rPr>
          <w:shd w:fill="auto" w:val="clear"/>
        </w:rPr>
        <w:t>результаты испытаний с указанием состава выполненных работ и проведенных испытаний в соответствии с программой и методикой испытаний, сроков их выполнения, ответственных экспертов и используемых средств, а также заключений о соответствии (несоответствии) требованиям по защите информации по каждому виду работ и испытаний</w:t>
      </w:r>
    </w:p>
    <w:p>
      <w:pPr>
        <w:pStyle w:val="ListParagraph"/>
        <w:numPr>
          <w:ilvl w:val="0"/>
          <w:numId w:val="12"/>
        </w:numPr>
        <w:jc w:val="both"/>
        <w:rPr>
          <w:highlight w:val="none"/>
          <w:shd w:fill="auto" w:val="clear"/>
        </w:rPr>
      </w:pPr>
      <w:r>
        <w:rPr>
          <w:shd w:fill="auto" w:val="clear"/>
        </w:rPr>
        <w:t>перечень выявленных несоответствий и рекомендации по их устранению;</w:t>
      </w:r>
    </w:p>
    <w:p>
      <w:pPr>
        <w:pStyle w:val="ListParagraph"/>
        <w:numPr>
          <w:ilvl w:val="0"/>
          <w:numId w:val="12"/>
        </w:numPr>
        <w:jc w:val="both"/>
        <w:rPr>
          <w:highlight w:val="none"/>
          <w:shd w:fill="auto" w:val="clear"/>
        </w:rPr>
      </w:pPr>
      <w:r>
        <w:rPr>
          <w:shd w:fill="auto" w:val="clear"/>
        </w:rPr>
        <w:t>итоговый вывод о соответствии (несоответствии) требованиям Приказов ФСТЭК № 117 и № 31 для класса К2.</w:t>
      </w:r>
    </w:p>
    <w:p>
      <w:pPr>
        <w:pStyle w:val="Normal"/>
        <w:ind w:firstLine="426"/>
        <w:jc w:val="both"/>
        <w:rPr>
          <w:highlight w:val="none"/>
          <w:shd w:fill="auto" w:val="clear"/>
        </w:rPr>
      </w:pPr>
      <w:r>
        <w:rPr>
          <w:rFonts w:eastAsia="Calibri"/>
          <w:shd w:fill="auto" w:val="clear"/>
        </w:rPr>
        <w:t>Заключение подписывается экспертами и утверждается руководителем организации Исполнителя.</w:t>
      </w:r>
    </w:p>
    <w:p>
      <w:pPr>
        <w:pStyle w:val="ListParagraph"/>
        <w:numPr>
          <w:ilvl w:val="0"/>
          <w:numId w:val="11"/>
        </w:numPr>
        <w:spacing w:before="280" w:after="0"/>
        <w:ind w:hanging="360" w:start="720"/>
        <w:contextualSpacing/>
        <w:jc w:val="both"/>
        <w:rPr>
          <w:highlight w:val="none"/>
          <w:shd w:fill="auto" w:val="clear"/>
        </w:rPr>
      </w:pPr>
      <w:r>
        <w:rPr>
          <w:rFonts w:eastAsia="Calibri"/>
          <w:b/>
          <w:shd w:fill="auto" w:val="clear"/>
        </w:rPr>
        <w:t>Общие требования к Исполнителю</w:t>
      </w:r>
    </w:p>
    <w:p>
      <w:pPr>
        <w:pStyle w:val="ListParagraph"/>
        <w:numPr>
          <w:ilvl w:val="1"/>
          <w:numId w:val="11"/>
        </w:numPr>
        <w:jc w:val="both"/>
        <w:rPr>
          <w:highlight w:val="none"/>
          <w:shd w:fill="auto" w:val="clear"/>
        </w:rPr>
      </w:pPr>
      <w:r>
        <w:rPr>
          <w:rFonts w:eastAsia="Calibri"/>
          <w:b/>
          <w:i/>
          <w:shd w:fill="auto" w:val="clear"/>
        </w:rPr>
        <w:t xml:space="preserve">Копия лицензии или выписка из реестра лицензий ФСБ России на осуществление деятельности по разработке, производству, распространению </w:t>
      </w:r>
      <w:r>
        <w:rPr>
          <w:rFonts w:eastAsia="Calibri"/>
          <w:i/>
          <w:shd w:fill="auto" w:val="clear"/>
        </w:rPr>
        <w:t xml:space="preserve">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со следующим перечнем выполняемых работ и оказываемых услуг, составляющих лицензируемую деятельность, в отношении шифровальных (криптографических) средств со следующим перечнем оказываемых услуг: </w:t>
      </w:r>
    </w:p>
    <w:p>
      <w:pPr>
        <w:pStyle w:val="Normal"/>
        <w:ind w:firstLine="142" w:start="567"/>
        <w:jc w:val="both"/>
        <w:rPr>
          <w:highlight w:val="none"/>
          <w:shd w:fill="auto" w:val="clear"/>
        </w:rPr>
      </w:pPr>
      <w:r>
        <w:rPr>
          <w:rFonts w:eastAsia="Calibri"/>
          <w:i/>
          <w:shd w:fill="auto" w:val="clear"/>
        </w:rPr>
        <w:t xml:space="preserve">- Монтаж, установка (инсталляция), наладка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 и шифровальных (криптографических) средств, разработанных для применения в составе технологии, реализуемой промежуточными элементами интеллектуальной системы учета электрической энергии (мощности) и приборами учета электрической энергии, сертифицированных Федеральной службой безопасности Российской Федерации. </w:t>
      </w:r>
    </w:p>
    <w:p>
      <w:pPr>
        <w:pStyle w:val="Normal"/>
        <w:ind w:firstLine="425" w:start="426"/>
        <w:jc w:val="both"/>
        <w:rPr>
          <w:highlight w:val="none"/>
          <w:shd w:fill="auto" w:val="clear"/>
        </w:rPr>
      </w:pPr>
      <w:r>
        <w:rPr>
          <w:rFonts w:eastAsia="Calibri"/>
          <w:b/>
          <w:i/>
          <w:shd w:fill="auto" w:val="clear"/>
        </w:rPr>
        <w:t>П. 1 ч. 1 ст. 12 Федерального закона от 04 мая 2011 года 99</w:t>
      </w:r>
      <w:r>
        <w:rPr>
          <w:rFonts w:eastAsia="Calibri"/>
          <w:i/>
          <w:shd w:fill="auto" w:val="clear"/>
        </w:rPr>
        <w:t xml:space="preserve"> </w:t>
      </w:r>
      <w:r>
        <w:rPr>
          <w:rFonts w:eastAsia="Calibri"/>
          <w:b/>
          <w:i/>
          <w:shd w:fill="auto" w:val="clear"/>
        </w:rPr>
        <w:t>«О лицензировании отдельных видов деятельности»</w:t>
      </w:r>
      <w:r>
        <w:rPr>
          <w:rFonts w:eastAsia="Calibri"/>
          <w:shd w:fill="auto" w:val="clear"/>
        </w:rPr>
        <w:t xml:space="preserve"> </w:t>
      </w:r>
      <w:r>
        <w:rPr>
          <w:rFonts w:eastAsia="Calibri"/>
          <w:i/>
          <w:shd w:fill="auto" w:val="clear"/>
        </w:rPr>
        <w:t>и Постановления Правительства РФ от 16 апреля 2012 года 313 «Об утверждении 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w:t>
      </w:r>
      <w:r>
        <w:rPr>
          <w:rFonts w:eastAsia="Calibri"/>
          <w:shd w:fill="auto" w:val="clear"/>
        </w:rPr>
        <w:t>криптографических</w:t>
      </w:r>
      <w:r>
        <w:rPr>
          <w:rFonts w:eastAsia="Calibri"/>
          <w:i/>
          <w:shd w:fill="auto" w:val="clear"/>
        </w:rPr>
        <w:t>)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pPr>
        <w:pStyle w:val="Normal"/>
        <w:ind w:firstLine="142" w:start="567"/>
        <w:jc w:val="both"/>
        <w:rPr>
          <w:highlight w:val="none"/>
          <w:shd w:fill="auto" w:val="clear"/>
        </w:rPr>
      </w:pPr>
      <w:r>
        <w:rPr>
          <w:rFonts w:eastAsia="Calibri"/>
          <w:i/>
          <w:shd w:fill="auto" w:val="clear"/>
        </w:rPr>
        <w:t>- Передача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 и шифровальных (криптографических) средств, разработанных для применения в составе технологии, реализуемой промежуточными элементами интеллектуальной системы учета электрической энергии (мощности) и приборами учета электрической энергии, сертифицированных Федеральной службой безопасности Российской Федерации.</w:t>
      </w:r>
    </w:p>
    <w:p>
      <w:pPr>
        <w:pStyle w:val="ListParagraph"/>
        <w:numPr>
          <w:ilvl w:val="1"/>
          <w:numId w:val="11"/>
        </w:numPr>
        <w:jc w:val="both"/>
        <w:rPr>
          <w:highlight w:val="none"/>
          <w:shd w:fill="auto" w:val="clear"/>
        </w:rPr>
      </w:pPr>
      <w:r>
        <w:rPr>
          <w:rFonts w:eastAsia="Calibri"/>
          <w:b/>
          <w:i/>
          <w:shd w:fill="auto" w:val="clear"/>
        </w:rPr>
        <w:t>Копия лицензии, или выписка из реестра лицензий ФСТЭК России на осуществление деятельности по технической защите конфиденциальной информации со следующим перечнем работ и услуг:</w:t>
      </w:r>
    </w:p>
    <w:p>
      <w:pPr>
        <w:pStyle w:val="Normal"/>
        <w:ind w:hanging="567" w:start="1701"/>
        <w:jc w:val="both"/>
        <w:rPr>
          <w:highlight w:val="none"/>
          <w:shd w:fill="auto" w:val="clear"/>
        </w:rPr>
      </w:pPr>
      <w:r>
        <w:rPr>
          <w:rFonts w:eastAsia="Calibri"/>
          <w:shd w:fill="auto" w:val="clear"/>
        </w:rPr>
        <w:t>- услуги по контролю защищенности конфиденциальной информации от утечки по техническим каналам:</w:t>
      </w:r>
    </w:p>
    <w:p>
      <w:pPr>
        <w:pStyle w:val="Normal"/>
        <w:ind w:hanging="567" w:start="1701"/>
        <w:jc w:val="both"/>
        <w:rPr>
          <w:highlight w:val="none"/>
          <w:shd w:fill="auto" w:val="clear"/>
        </w:rPr>
      </w:pPr>
      <w:r>
        <w:rPr>
          <w:rFonts w:eastAsia="Calibri"/>
          <w:shd w:fill="auto" w:val="clear"/>
        </w:rPr>
        <w:t xml:space="preserve"> </w:t>
      </w:r>
      <w:r>
        <w:rPr>
          <w:rFonts w:eastAsia="Calibri"/>
          <w:shd w:fill="auto" w:val="clear"/>
        </w:rPr>
        <w:t>в средствах и системах информатизации;</w:t>
      </w:r>
    </w:p>
    <w:p>
      <w:pPr>
        <w:pStyle w:val="Normal"/>
        <w:ind w:hanging="567" w:start="1701"/>
        <w:jc w:val="both"/>
        <w:rPr>
          <w:highlight w:val="none"/>
          <w:shd w:fill="auto" w:val="clear"/>
        </w:rPr>
      </w:pPr>
      <w:r>
        <w:rPr>
          <w:rFonts w:eastAsia="Calibri"/>
          <w:shd w:fill="auto" w:val="clear"/>
        </w:rPr>
        <w:t xml:space="preserve"> </w:t>
      </w:r>
      <w:r>
        <w:rPr>
          <w:rFonts w:eastAsia="Calibri"/>
          <w:shd w:fill="auto" w:val="clear"/>
        </w:rPr>
        <w:t>в технических средствах (системах), не обрабатывающих конфиденциальную информацию, но размещенных в помещениях, где она обрабатывается;</w:t>
      </w:r>
    </w:p>
    <w:p>
      <w:pPr>
        <w:pStyle w:val="Normal"/>
        <w:ind w:hanging="567" w:start="1701"/>
        <w:jc w:val="both"/>
        <w:rPr>
          <w:highlight w:val="none"/>
          <w:shd w:fill="auto" w:val="clear"/>
        </w:rPr>
      </w:pPr>
      <w:r>
        <w:rPr>
          <w:rFonts w:eastAsia="Calibri"/>
          <w:shd w:fill="auto" w:val="clear"/>
        </w:rPr>
        <w:t xml:space="preserve"> </w:t>
      </w:r>
      <w:r>
        <w:rPr>
          <w:rFonts w:eastAsia="Calibri"/>
          <w:shd w:fill="auto" w:val="clear"/>
        </w:rPr>
        <w:t xml:space="preserve">в помещениях со средствами (системами), подлежащими защите; </w:t>
      </w:r>
    </w:p>
    <w:p>
      <w:pPr>
        <w:pStyle w:val="Normal"/>
        <w:ind w:hanging="567" w:start="1701"/>
        <w:jc w:val="both"/>
        <w:rPr>
          <w:highlight w:val="none"/>
          <w:shd w:fill="auto" w:val="clear"/>
        </w:rPr>
      </w:pPr>
      <w:r>
        <w:rPr>
          <w:rFonts w:eastAsia="Calibri"/>
          <w:shd w:fill="auto" w:val="clear"/>
        </w:rPr>
        <w:t xml:space="preserve"> </w:t>
      </w:r>
      <w:r>
        <w:rPr>
          <w:rFonts w:eastAsia="Calibri"/>
          <w:shd w:fill="auto" w:val="clear"/>
        </w:rPr>
        <w:t>в помещениях, предназначенных для ведения конфиденциальных переговоров (далее - защищаемые помещения);</w:t>
      </w:r>
    </w:p>
    <w:p>
      <w:pPr>
        <w:pStyle w:val="Normal"/>
        <w:ind w:hanging="567" w:start="1701"/>
        <w:jc w:val="both"/>
        <w:rPr>
          <w:highlight w:val="none"/>
          <w:shd w:fill="auto" w:val="clear"/>
        </w:rPr>
      </w:pPr>
      <w:r>
        <w:rPr>
          <w:rFonts w:eastAsia="Calibri"/>
          <w:shd w:fill="auto" w:val="clear"/>
        </w:rPr>
        <w:t>- услуги по контролю защищенности конфиденциальной информации от несанкционированного доступа и ее модификации в средствах и системах информатизации;</w:t>
      </w:r>
    </w:p>
    <w:p>
      <w:pPr>
        <w:pStyle w:val="Normal"/>
        <w:ind w:hanging="567" w:start="1701"/>
        <w:jc w:val="both"/>
        <w:rPr>
          <w:highlight w:val="none"/>
          <w:shd w:fill="auto" w:val="clear"/>
        </w:rPr>
      </w:pPr>
      <w:r>
        <w:rPr>
          <w:rFonts w:eastAsia="Calibri"/>
          <w:shd w:fill="auto" w:val="clear"/>
        </w:rPr>
        <w:t>- услуги по мониторингу информационной безопасности средств и систем информатизации;</w:t>
      </w:r>
    </w:p>
    <w:p>
      <w:pPr>
        <w:pStyle w:val="Normal"/>
        <w:ind w:hanging="567" w:start="1701"/>
        <w:jc w:val="both"/>
        <w:rPr>
          <w:highlight w:val="none"/>
          <w:shd w:fill="auto" w:val="clear"/>
        </w:rPr>
      </w:pPr>
      <w:r>
        <w:rPr>
          <w:rFonts w:eastAsia="Calibri"/>
          <w:shd w:fill="auto" w:val="clear"/>
        </w:rPr>
        <w:t>- работы и услуги по аттестационным испытаниям и аттестации на соответствие требованиям по защите информации:</w:t>
      </w:r>
    </w:p>
    <w:p>
      <w:pPr>
        <w:pStyle w:val="Normal"/>
        <w:ind w:hanging="567" w:start="1701"/>
        <w:jc w:val="both"/>
        <w:rPr>
          <w:highlight w:val="none"/>
          <w:shd w:fill="auto" w:val="clear"/>
        </w:rPr>
      </w:pPr>
      <w:r>
        <w:rPr>
          <w:rFonts w:eastAsia="Calibri"/>
          <w:shd w:fill="auto" w:val="clear"/>
        </w:rPr>
        <w:t xml:space="preserve"> </w:t>
      </w:r>
      <w:r>
        <w:rPr>
          <w:rFonts w:eastAsia="Calibri"/>
          <w:shd w:fill="auto" w:val="clear"/>
        </w:rPr>
        <w:t>средств и систем информатизации;</w:t>
      </w:r>
    </w:p>
    <w:p>
      <w:pPr>
        <w:pStyle w:val="Normal"/>
        <w:ind w:hanging="567" w:start="1701"/>
        <w:jc w:val="both"/>
        <w:rPr>
          <w:highlight w:val="none"/>
          <w:shd w:fill="auto" w:val="clear"/>
        </w:rPr>
      </w:pPr>
      <w:r>
        <w:rPr>
          <w:rFonts w:eastAsia="Calibri"/>
          <w:shd w:fill="auto" w:val="clear"/>
        </w:rPr>
        <w:t xml:space="preserve"> </w:t>
      </w:r>
      <w:r>
        <w:rPr>
          <w:rFonts w:eastAsia="Calibri"/>
          <w:shd w:fill="auto" w:val="clear"/>
        </w:rPr>
        <w:t>помещений со средствами (системами) информатизации, подлежащими защите;</w:t>
      </w:r>
    </w:p>
    <w:p>
      <w:pPr>
        <w:pStyle w:val="Normal"/>
        <w:ind w:hanging="567" w:start="1701"/>
        <w:jc w:val="both"/>
        <w:rPr>
          <w:highlight w:val="none"/>
          <w:shd w:fill="auto" w:val="clear"/>
        </w:rPr>
      </w:pPr>
      <w:r>
        <w:rPr>
          <w:rFonts w:eastAsia="Calibri"/>
          <w:shd w:fill="auto" w:val="clear"/>
        </w:rPr>
        <w:t xml:space="preserve"> </w:t>
      </w:r>
      <w:r>
        <w:rPr>
          <w:rFonts w:eastAsia="Calibri"/>
          <w:shd w:fill="auto" w:val="clear"/>
        </w:rPr>
        <w:t>защищаемых помещений;</w:t>
      </w:r>
    </w:p>
    <w:p>
      <w:pPr>
        <w:pStyle w:val="Normal"/>
        <w:ind w:hanging="567" w:start="1701"/>
        <w:jc w:val="both"/>
        <w:rPr>
          <w:highlight w:val="none"/>
          <w:shd w:fill="auto" w:val="clear"/>
        </w:rPr>
      </w:pPr>
      <w:r>
        <w:rPr>
          <w:rFonts w:eastAsia="Calibri"/>
          <w:shd w:fill="auto" w:val="clear"/>
        </w:rPr>
        <w:t>- работы и услуги по проектированию в защищенном исполнении:</w:t>
      </w:r>
    </w:p>
    <w:p>
      <w:pPr>
        <w:pStyle w:val="Normal"/>
        <w:ind w:hanging="567" w:start="1701"/>
        <w:jc w:val="both"/>
        <w:rPr>
          <w:highlight w:val="none"/>
          <w:shd w:fill="auto" w:val="clear"/>
        </w:rPr>
      </w:pPr>
      <w:r>
        <w:rPr>
          <w:rFonts w:eastAsia="Calibri"/>
          <w:shd w:fill="auto" w:val="clear"/>
        </w:rPr>
        <w:t xml:space="preserve"> </w:t>
      </w:r>
      <w:r>
        <w:rPr>
          <w:rFonts w:eastAsia="Calibri"/>
          <w:shd w:fill="auto" w:val="clear"/>
        </w:rPr>
        <w:t>средств и систем информатизации;</w:t>
      </w:r>
    </w:p>
    <w:p>
      <w:pPr>
        <w:pStyle w:val="Normal"/>
        <w:ind w:hanging="567" w:start="1701"/>
        <w:jc w:val="both"/>
        <w:rPr>
          <w:highlight w:val="none"/>
          <w:shd w:fill="auto" w:val="clear"/>
        </w:rPr>
      </w:pPr>
      <w:r>
        <w:rPr>
          <w:rFonts w:eastAsia="Calibri"/>
          <w:shd w:fill="auto" w:val="clear"/>
        </w:rPr>
        <w:t xml:space="preserve"> </w:t>
      </w:r>
      <w:r>
        <w:rPr>
          <w:rFonts w:eastAsia="Calibri"/>
          <w:shd w:fill="auto" w:val="clear"/>
        </w:rPr>
        <w:t>помещений со средствами (системами) информатизации, подлежащими защите;</w:t>
      </w:r>
    </w:p>
    <w:p>
      <w:pPr>
        <w:pStyle w:val="Normal"/>
        <w:ind w:hanging="567" w:start="1701"/>
        <w:jc w:val="both"/>
        <w:rPr>
          <w:highlight w:val="none"/>
          <w:shd w:fill="auto" w:val="clear"/>
        </w:rPr>
      </w:pPr>
      <w:r>
        <w:rPr>
          <w:rFonts w:eastAsia="Calibri"/>
          <w:shd w:fill="auto" w:val="clear"/>
        </w:rPr>
        <w:t xml:space="preserve"> </w:t>
      </w:r>
      <w:r>
        <w:rPr>
          <w:rFonts w:eastAsia="Calibri"/>
          <w:shd w:fill="auto" w:val="clear"/>
        </w:rPr>
        <w:t>защищаемых помещений;</w:t>
      </w:r>
    </w:p>
    <w:p>
      <w:pPr>
        <w:pStyle w:val="Normal"/>
        <w:ind w:firstLine="284" w:start="567"/>
        <w:jc w:val="both"/>
        <w:rPr>
          <w:highlight w:val="none"/>
          <w:shd w:fill="auto" w:val="clear"/>
        </w:rPr>
      </w:pPr>
      <w:r>
        <w:rPr>
          <w:rFonts w:eastAsia="Calibri"/>
          <w:shd w:fill="auto" w:val="clear"/>
        </w:rPr>
        <w:t>- услуги по установке, монтажу, наладке, испытаниям, ремонту средств защиты информации (технических средств защиты информации, защищенных технических средств обработки информации, технических средств контроля эффективности мер защиты информации, программных (программно-технических) средств защиты информации, защищенных программных (программно-технических) средств обработки информации, программных (программно-технических) средств контроля эффективности защиты информации)</w:t>
      </w:r>
    </w:p>
    <w:p>
      <w:pPr>
        <w:pStyle w:val="ListParagraph"/>
        <w:numPr>
          <w:ilvl w:val="1"/>
          <w:numId w:val="11"/>
        </w:numPr>
        <w:ind w:firstLine="426" w:start="0"/>
        <w:jc w:val="both"/>
        <w:rPr>
          <w:highlight w:val="none"/>
          <w:shd w:fill="auto" w:val="clear"/>
        </w:rPr>
      </w:pPr>
      <w:r>
        <w:rPr>
          <w:rFonts w:eastAsia="Calibri"/>
          <w:shd w:fill="auto" w:val="clear"/>
        </w:rPr>
        <w:t xml:space="preserve">Проведение необходимого обследования методом удаленного опроса и удаленного анкетирования не допускается. Обследование, анализ и сбор исходных данных должны осуществляется специалистами Исполнителя непосредственно по местам физического нахождения объектов Заказчика. Собранные исходные данные должны быть завизированы должностным лицом, уполномоченным на сопровождение услуг согласно </w:t>
      </w:r>
      <w:r>
        <w:rPr>
          <w:rFonts w:eastAsia="Calibri"/>
          <w:shd w:fill="auto" w:val="clear"/>
        </w:rPr>
        <w:t>Техническому заданию</w:t>
      </w:r>
      <w:r>
        <w:rPr>
          <w:rFonts w:eastAsia="Calibri"/>
          <w:shd w:fill="auto" w:val="clear"/>
        </w:rPr>
        <w:t>, по месту непосредственного сбора информации.</w:t>
      </w:r>
    </w:p>
    <w:p>
      <w:pPr>
        <w:pStyle w:val="ListParagraph"/>
        <w:numPr>
          <w:ilvl w:val="1"/>
          <w:numId w:val="11"/>
        </w:numPr>
        <w:ind w:firstLine="426" w:start="0"/>
        <w:jc w:val="both"/>
        <w:rPr>
          <w:highlight w:val="none"/>
          <w:shd w:fill="auto" w:val="clear"/>
        </w:rPr>
      </w:pPr>
      <w:r>
        <w:rPr>
          <w:rFonts w:eastAsia="Calibri"/>
          <w:shd w:fill="auto" w:val="clear"/>
        </w:rPr>
        <w:t xml:space="preserve"> </w:t>
      </w:r>
      <w:r>
        <w:rPr>
          <w:rFonts w:eastAsia="Calibri"/>
          <w:shd w:fill="auto" w:val="clear"/>
        </w:rPr>
        <w:t>В случае необходимости использования средств автоматизированного сбора информации (программного обеспечения для инвентаризации по сети и иных средств), а также специализированных программ тестирования подсистем защиты информации, не входящих в комплект поставки, Исполнителем должно быть согласовано с Заказчиком использование таких средств, предоставлен перечень таких средств, а также необходимые требования для возможности их использования (установка на выделенном рабочем месте, временное подключение мобильного рабочего места к локальной сети, предоставление необходимых учетных данных для возможности сбора информации и т.п.).</w:t>
      </w:r>
    </w:p>
    <w:p>
      <w:pPr>
        <w:pStyle w:val="ListParagraph"/>
        <w:numPr>
          <w:ilvl w:val="1"/>
          <w:numId w:val="11"/>
        </w:numPr>
        <w:spacing w:before="0" w:after="200"/>
        <w:ind w:firstLine="426" w:start="0"/>
        <w:contextualSpacing/>
        <w:jc w:val="both"/>
        <w:rPr>
          <w:highlight w:val="none"/>
          <w:shd w:fill="auto" w:val="clear"/>
        </w:rPr>
      </w:pPr>
      <w:r>
        <w:rPr>
          <w:rFonts w:eastAsia="Calibri"/>
          <w:shd w:fill="auto" w:val="clear"/>
        </w:rPr>
        <w:t xml:space="preserve"> </w:t>
      </w:r>
      <w:r>
        <w:rPr>
          <w:rFonts w:eastAsia="Calibri"/>
          <w:shd w:fill="auto" w:val="clear"/>
        </w:rPr>
        <w:t>Доступ сотрудников Исполнителя на объекты Заказчика предоставляется по предварительному согласованию списка сотрудников с ответственным лицом, а также на основании удостоверений, подтверждающих личность сотрудников и их принадлежность к Исполнителю.</w:t>
      </w:r>
    </w:p>
    <w:p>
      <w:pPr>
        <w:pStyle w:val="ListParagraph"/>
        <w:ind w:start="426"/>
        <w:jc w:val="both"/>
        <w:rPr>
          <w:rFonts w:eastAsia="Calibri"/>
          <w:highlight w:val="none"/>
          <w:shd w:fill="auto" w:val="clear"/>
        </w:rPr>
      </w:pPr>
      <w:r>
        <w:rPr>
          <w:rFonts w:eastAsia="Calibri"/>
          <w:shd w:fill="auto" w:val="clear"/>
        </w:rPr>
      </w:r>
    </w:p>
    <w:p>
      <w:pPr>
        <w:pStyle w:val="ListParagraph"/>
        <w:numPr>
          <w:ilvl w:val="0"/>
          <w:numId w:val="11"/>
        </w:numPr>
        <w:ind w:hanging="360" w:start="720"/>
        <w:jc w:val="both"/>
        <w:rPr>
          <w:highlight w:val="none"/>
          <w:shd w:fill="auto" w:val="clear"/>
        </w:rPr>
      </w:pPr>
      <w:r>
        <w:rPr>
          <w:rFonts w:eastAsia="Calibri"/>
          <w:b/>
          <w:shd w:fill="auto" w:val="clear"/>
        </w:rPr>
        <w:t>Требования к качеству оказываемых услуг, к гарантийному сроку услуги и (или) объему предоставления гарантий ее качества, иные гарантийные обязательства</w:t>
      </w:r>
    </w:p>
    <w:p>
      <w:pPr>
        <w:pStyle w:val="ListParagraph"/>
        <w:numPr>
          <w:ilvl w:val="1"/>
          <w:numId w:val="11"/>
        </w:numPr>
        <w:ind w:firstLine="426" w:start="0"/>
        <w:jc w:val="both"/>
        <w:rPr>
          <w:highlight w:val="none"/>
          <w:shd w:fill="auto" w:val="clear"/>
        </w:rPr>
      </w:pPr>
      <w:r>
        <w:rPr>
          <w:rFonts w:eastAsia="Calibri"/>
          <w:shd w:fill="auto" w:val="clear"/>
        </w:rPr>
        <w:t>Исполнитель гарантирует качество услуг в соответствии с требованиями действующего законодательства Российской Федерации, положениями действующих стандартов, утвержденных в отношении данного вида услуг.</w:t>
      </w:r>
    </w:p>
    <w:p>
      <w:pPr>
        <w:pStyle w:val="ListParagraph"/>
        <w:numPr>
          <w:ilvl w:val="1"/>
          <w:numId w:val="11"/>
        </w:numPr>
        <w:ind w:firstLine="426" w:start="0"/>
        <w:jc w:val="both"/>
        <w:rPr>
          <w:highlight w:val="none"/>
          <w:shd w:fill="auto" w:val="clear"/>
        </w:rPr>
      </w:pPr>
      <w:r>
        <w:rPr>
          <w:rFonts w:eastAsia="Calibri"/>
          <w:shd w:fill="auto" w:val="clear"/>
        </w:rPr>
        <w:t>Гарантия на услуги – 12 месяцев с даты подписания Заказчиком документа о приемке.</w:t>
      </w:r>
    </w:p>
    <w:p>
      <w:pPr>
        <w:pStyle w:val="ListParagraph"/>
        <w:numPr>
          <w:ilvl w:val="1"/>
          <w:numId w:val="11"/>
        </w:numPr>
        <w:ind w:firstLine="426" w:start="0"/>
        <w:jc w:val="both"/>
        <w:rPr>
          <w:highlight w:val="none"/>
          <w:shd w:fill="auto" w:val="clear"/>
        </w:rPr>
      </w:pPr>
      <w:r>
        <w:rPr>
          <w:rFonts w:eastAsia="Calibri"/>
          <w:shd w:fill="auto" w:val="clear"/>
        </w:rPr>
        <w:t>Участник закупки должен обладать исключительным правом на программное обеспечение, либо иметь полномочия от правообладателя на передачу права использования программного обеспечения (письменное согласие лицензиара).</w:t>
      </w:r>
    </w:p>
    <w:p>
      <w:pPr>
        <w:pStyle w:val="ListParagraph"/>
        <w:numPr>
          <w:ilvl w:val="1"/>
          <w:numId w:val="11"/>
        </w:numPr>
        <w:ind w:firstLine="426" w:start="0"/>
        <w:jc w:val="both"/>
        <w:rPr>
          <w:highlight w:val="none"/>
          <w:shd w:fill="auto" w:val="clear"/>
        </w:rPr>
      </w:pPr>
      <w:r>
        <w:rPr>
          <w:rFonts w:eastAsia="Calibri"/>
          <w:shd w:fill="auto" w:val="clear"/>
        </w:rPr>
        <w:t>Если в течение гарантийного срока выявится, что услуга (отдельные виды услуги) имеют недостатки и дефекты, которые являются следствием ненадлежащего исполнения Исполнителем принятых им на себя обязательств, то Заказчик совместно с Исполнителем составляют акт о недостатках (дефектах) со сроками устранения недостатков (дефектов).</w:t>
      </w:r>
    </w:p>
    <w:p>
      <w:pPr>
        <w:pStyle w:val="ListParagraph"/>
        <w:numPr>
          <w:ilvl w:val="1"/>
          <w:numId w:val="11"/>
        </w:numPr>
        <w:ind w:firstLine="426" w:start="0"/>
        <w:jc w:val="both"/>
        <w:rPr>
          <w:highlight w:val="none"/>
          <w:shd w:fill="auto" w:val="clear"/>
        </w:rPr>
      </w:pPr>
      <w:r>
        <w:rPr>
          <w:rFonts w:eastAsia="Calibri"/>
          <w:shd w:fill="auto" w:val="clear"/>
        </w:rPr>
        <w:t>Исполнитель обязуется за свой счет устранить все недостатки (дефекты), указанные в акте о недостатках (дефектах) в установленные в акте сроки. Ущерб, нанесенный по вине Исполнителя в период оказания услуги и/или гарантийного срока, возмещается за счет Исполнителя в полном объеме.</w:t>
      </w:r>
    </w:p>
    <w:p>
      <w:pPr>
        <w:pStyle w:val="Normal"/>
        <w:shd w:val="clear" w:color="auto" w:fill="FFFFFF"/>
        <w:ind w:firstLine="567"/>
        <w:jc w:val="both"/>
        <w:rPr>
          <w:b/>
          <w:highlight w:val="none"/>
          <w:shd w:fill="auto" w:val="clear"/>
        </w:rPr>
      </w:pPr>
      <w:r>
        <w:rPr>
          <w:b/>
          <w:shd w:fill="auto" w:val="clear"/>
        </w:rPr>
      </w:r>
    </w:p>
    <w:p>
      <w:pPr>
        <w:pStyle w:val="ListParagraph"/>
        <w:numPr>
          <w:ilvl w:val="0"/>
          <w:numId w:val="11"/>
        </w:numPr>
        <w:ind w:hanging="360" w:start="720"/>
        <w:jc w:val="both"/>
        <w:rPr>
          <w:highlight w:val="none"/>
          <w:shd w:fill="auto" w:val="clear"/>
        </w:rPr>
      </w:pPr>
      <w:r>
        <w:rPr>
          <w:rFonts w:eastAsia="Calibri"/>
          <w:b/>
          <w:shd w:fill="auto" w:val="clear"/>
        </w:rPr>
        <w:t>Место оказания услуг</w:t>
      </w:r>
    </w:p>
    <w:p>
      <w:pPr>
        <w:pStyle w:val="Normal"/>
        <w:ind w:firstLine="426"/>
        <w:jc w:val="both"/>
        <w:rPr>
          <w:highlight w:val="none"/>
          <w:shd w:fill="auto" w:val="clear"/>
        </w:rPr>
      </w:pPr>
      <w:r>
        <w:rPr>
          <w:rFonts w:eastAsia="Calibri"/>
          <w:shd w:fill="auto" w:val="clear"/>
        </w:rPr>
        <w:t>690091, Приморский край, г. Владивосток, Семеновская ул., д. 36.</w:t>
      </w:r>
    </w:p>
    <w:p>
      <w:pPr>
        <w:pStyle w:val="Normal"/>
        <w:shd w:val="clear" w:color="auto" w:fill="FFFFFF"/>
        <w:ind w:firstLine="567"/>
        <w:jc w:val="both"/>
        <w:rPr>
          <w:highlight w:val="none"/>
          <w:shd w:fill="auto" w:val="clear"/>
        </w:rPr>
      </w:pPr>
      <w:r>
        <w:rPr>
          <w:shd w:fill="auto" w:val="clear"/>
        </w:rPr>
      </w:r>
    </w:p>
    <w:p>
      <w:pPr>
        <w:pStyle w:val="ListParagraph"/>
        <w:numPr>
          <w:ilvl w:val="0"/>
          <w:numId w:val="11"/>
        </w:numPr>
        <w:ind w:hanging="360" w:start="720"/>
        <w:jc w:val="both"/>
        <w:rPr>
          <w:highlight w:val="none"/>
          <w:shd w:fill="auto" w:val="clear"/>
        </w:rPr>
      </w:pPr>
      <w:r>
        <w:rPr>
          <w:rFonts w:eastAsia="Calibri"/>
          <w:b/>
          <w:shd w:fill="auto" w:val="clear"/>
        </w:rPr>
        <w:t>Срок и план-график оказания услуг</w:t>
      </w:r>
    </w:p>
    <w:p>
      <w:pPr>
        <w:pStyle w:val="ListParagraph"/>
        <w:numPr>
          <w:ilvl w:val="1"/>
          <w:numId w:val="11"/>
        </w:numPr>
        <w:ind w:firstLine="426" w:start="0"/>
        <w:jc w:val="both"/>
        <w:rPr>
          <w:highlight w:val="none"/>
          <w:shd w:fill="auto" w:val="clear"/>
        </w:rPr>
      </w:pPr>
      <w:r>
        <w:rPr>
          <w:rFonts w:eastAsia="Calibri"/>
          <w:shd w:fill="auto" w:val="clear"/>
        </w:rPr>
        <w:t xml:space="preserve">Общий срок оказания услуг по Договору составляет </w:t>
      </w:r>
      <w:r>
        <w:rPr>
          <w:rFonts w:eastAsia="Calibri"/>
          <w:b/>
          <w:bCs/>
          <w:shd w:fill="auto" w:val="clear"/>
        </w:rPr>
        <w:t>не более 55 (пятидесяти пяти) рабочих дней</w:t>
      </w:r>
      <w:r>
        <w:rPr>
          <w:rFonts w:eastAsia="Calibri"/>
          <w:shd w:fill="auto" w:val="clear"/>
        </w:rPr>
        <w:t xml:space="preserve"> с даты заключения Договора. Этапность выполнения работ в рамках Договора приведена в Таблице №2.</w:t>
      </w:r>
    </w:p>
    <w:p>
      <w:pPr>
        <w:pStyle w:val="ListParagraph"/>
        <w:numPr>
          <w:ilvl w:val="1"/>
          <w:numId w:val="11"/>
        </w:numPr>
        <w:ind w:firstLine="426" w:start="0"/>
        <w:jc w:val="both"/>
        <w:rPr>
          <w:highlight w:val="none"/>
          <w:shd w:fill="auto" w:val="clear"/>
        </w:rPr>
      </w:pPr>
      <w:r>
        <w:rPr>
          <w:rFonts w:eastAsia="Calibri"/>
          <w:shd w:fill="auto" w:val="clear"/>
        </w:rPr>
        <w:t xml:space="preserve">Исполнитель осуществляет поставку товара, включая программное обеспечение, сертификаты технической поддержки и дистрибутивы в срок не более </w:t>
      </w:r>
      <w:r>
        <w:rPr>
          <w:rFonts w:eastAsia="Calibri"/>
          <w:b/>
          <w:shd w:fill="auto" w:val="clear"/>
        </w:rPr>
        <w:t>20 (двадцати)</w:t>
      </w:r>
      <w:r>
        <w:rPr>
          <w:rFonts w:eastAsia="Calibri"/>
          <w:shd w:fill="auto" w:val="clear"/>
        </w:rPr>
        <w:t xml:space="preserve"> </w:t>
      </w:r>
      <w:r>
        <w:rPr>
          <w:rFonts w:eastAsia="Calibri"/>
          <w:b/>
          <w:bCs/>
          <w:shd w:fill="auto" w:val="clear"/>
        </w:rPr>
        <w:t>рабочих дней</w:t>
      </w:r>
      <w:r>
        <w:rPr>
          <w:rFonts w:eastAsia="Calibri"/>
          <w:shd w:fill="auto" w:val="clear"/>
        </w:rPr>
        <w:t xml:space="preserve"> с даты заключения Договора.</w:t>
      </w:r>
    </w:p>
    <w:p>
      <w:pPr>
        <w:pStyle w:val="ListParagraph"/>
        <w:numPr>
          <w:ilvl w:val="1"/>
          <w:numId w:val="11"/>
        </w:numPr>
        <w:ind w:firstLine="426" w:start="0"/>
        <w:jc w:val="both"/>
        <w:rPr>
          <w:highlight w:val="none"/>
          <w:shd w:fill="auto" w:val="clear"/>
        </w:rPr>
      </w:pPr>
      <w:r>
        <w:rPr>
          <w:rFonts w:eastAsia="Calibri"/>
          <w:shd w:fill="auto" w:val="clear"/>
        </w:rPr>
        <w:t xml:space="preserve">Этапы оказания услуг приведены в Таблице №2. </w:t>
      </w:r>
    </w:p>
    <w:p>
      <w:pPr>
        <w:pStyle w:val="Normal"/>
        <w:ind w:firstLine="708" w:start="7080"/>
        <w:jc w:val="center"/>
        <w:rPr>
          <w:highlight w:val="none"/>
          <w:shd w:fill="auto" w:val="clear"/>
        </w:rPr>
      </w:pPr>
      <w:r>
        <w:rPr>
          <w:rFonts w:eastAsia="Calibri"/>
          <w:shd w:fill="auto" w:val="clear"/>
        </w:rPr>
        <w:t xml:space="preserve">                                                                                      </w:t>
      </w:r>
      <w:r>
        <w:rPr>
          <w:rFonts w:eastAsia="Calibri"/>
          <w:shd w:fill="auto" w:val="clear"/>
        </w:rPr>
        <w:t>Таблица № 2</w:t>
      </w:r>
    </w:p>
    <w:tbl>
      <w:tblPr>
        <w:tblW w:w="15026" w:type="dxa"/>
        <w:jc w:val="start"/>
        <w:tblInd w:w="-5" w:type="dxa"/>
        <w:tblLayout w:type="fixed"/>
        <w:tblCellMar>
          <w:top w:w="0" w:type="dxa"/>
          <w:start w:w="108" w:type="dxa"/>
          <w:bottom w:w="0" w:type="dxa"/>
          <w:end w:w="108" w:type="dxa"/>
        </w:tblCellMar>
        <w:tblLook w:val="04a0" w:noHBand="0" w:noVBand="1" w:firstColumn="1" w:lastRow="0" w:lastColumn="0" w:firstRow="1"/>
      </w:tblPr>
      <w:tblGrid>
        <w:gridCol w:w="850"/>
        <w:gridCol w:w="4535"/>
        <w:gridCol w:w="4111"/>
        <w:gridCol w:w="5530"/>
      </w:tblGrid>
      <w:tr>
        <w:trPr>
          <w:tblHeader w:val="true"/>
          <w:cantSplit w:val="true"/>
        </w:trPr>
        <w:tc>
          <w:tcPr>
            <w:tcW w:w="8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b/>
                <w:bCs/>
                <w:shd w:fill="auto" w:val="clear"/>
              </w:rPr>
              <w:t>№</w:t>
            </w:r>
          </w:p>
          <w:p>
            <w:pPr>
              <w:pStyle w:val="Normal"/>
              <w:jc w:val="center"/>
              <w:rPr>
                <w:highlight w:val="none"/>
                <w:shd w:fill="auto" w:val="clear"/>
              </w:rPr>
            </w:pPr>
            <w:r>
              <w:rPr>
                <w:b/>
                <w:bCs/>
                <w:shd w:fill="auto" w:val="clear"/>
              </w:rPr>
              <w:t>этапа</w:t>
            </w:r>
          </w:p>
        </w:tc>
        <w:tc>
          <w:tcPr>
            <w:tcW w:w="45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b/>
                <w:bCs/>
                <w:shd w:fill="auto" w:val="clear"/>
              </w:rPr>
              <w:t>Содержание этапа</w:t>
            </w:r>
          </w:p>
        </w:tc>
        <w:tc>
          <w:tcPr>
            <w:tcW w:w="41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b/>
                <w:bCs/>
                <w:shd w:fill="auto" w:val="clear"/>
              </w:rPr>
              <w:t>Срок выполнения</w:t>
            </w:r>
          </w:p>
        </w:tc>
        <w:tc>
          <w:tcPr>
            <w:tcW w:w="55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b/>
                <w:bCs/>
                <w:shd w:fill="auto" w:val="clear"/>
              </w:rPr>
              <w:t>Отчетная документация</w:t>
            </w:r>
          </w:p>
        </w:tc>
      </w:tr>
      <w:tr>
        <w:trPr>
          <w:cantSplit w:val="true"/>
        </w:trPr>
        <w:tc>
          <w:tcPr>
            <w:tcW w:w="8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shd w:fill="auto" w:val="clear"/>
              </w:rPr>
              <w:t>1</w:t>
            </w:r>
          </w:p>
        </w:tc>
        <w:tc>
          <w:tcPr>
            <w:tcW w:w="4535" w:type="dxa"/>
            <w:tcBorders>
              <w:top w:val="single" w:sz="4" w:space="0" w:color="000000"/>
              <w:start w:val="single" w:sz="4" w:space="0" w:color="000000"/>
              <w:bottom w:val="single" w:sz="4" w:space="0" w:color="000000"/>
              <w:end w:val="single" w:sz="4" w:space="0" w:color="000000"/>
            </w:tcBorders>
            <w:vAlign w:val="center"/>
          </w:tcPr>
          <w:p>
            <w:pPr>
              <w:pStyle w:val="Normal"/>
              <w:rPr>
                <w:highlight w:val="none"/>
                <w:shd w:fill="auto" w:val="clear"/>
              </w:rPr>
            </w:pPr>
            <w:r>
              <w:rPr>
                <w:shd w:fill="auto" w:val="clear"/>
              </w:rPr>
              <w:t>Изучение объекта и ознакомление с предоставленной документацией</w:t>
            </w:r>
          </w:p>
        </w:tc>
        <w:tc>
          <w:tcPr>
            <w:tcW w:w="41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bCs/>
                <w:shd w:fill="auto" w:val="clear"/>
              </w:rPr>
              <w:t>Не более 3 рабочих дней с момента предоставления документации</w:t>
            </w:r>
          </w:p>
          <w:p>
            <w:pPr>
              <w:pStyle w:val="Normal"/>
              <w:jc w:val="center"/>
              <w:rPr>
                <w:bCs/>
                <w:highlight w:val="none"/>
                <w:shd w:fill="auto" w:val="clear"/>
              </w:rPr>
            </w:pPr>
            <w:r>
              <w:rPr>
                <w:bCs/>
                <w:shd w:fill="auto" w:val="clear"/>
              </w:rPr>
            </w:r>
          </w:p>
        </w:tc>
        <w:tc>
          <w:tcPr>
            <w:tcW w:w="55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b/>
                <w:bCs/>
                <w:shd w:fill="auto" w:val="clear"/>
                <w:lang w:val="en-US"/>
              </w:rPr>
              <w:t>_</w:t>
            </w:r>
          </w:p>
        </w:tc>
      </w:tr>
      <w:tr>
        <w:trPr>
          <w:trHeight w:val="194" w:hRule="atLeast"/>
          <w:cantSplit w:val="true"/>
        </w:trPr>
        <w:tc>
          <w:tcPr>
            <w:tcW w:w="8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shd w:fill="auto" w:val="clear"/>
              </w:rPr>
              <w:t>2</w:t>
            </w:r>
          </w:p>
        </w:tc>
        <w:tc>
          <w:tcPr>
            <w:tcW w:w="4535" w:type="dxa"/>
            <w:tcBorders>
              <w:top w:val="single" w:sz="4" w:space="0" w:color="000000"/>
              <w:start w:val="single" w:sz="4" w:space="0" w:color="000000"/>
              <w:bottom w:val="single" w:sz="4" w:space="0" w:color="000000"/>
              <w:end w:val="single" w:sz="4" w:space="0" w:color="000000"/>
            </w:tcBorders>
            <w:vAlign w:val="center"/>
          </w:tcPr>
          <w:p>
            <w:pPr>
              <w:pStyle w:val="Normal"/>
              <w:rPr>
                <w:highlight w:val="none"/>
                <w:shd w:fill="auto" w:val="clear"/>
              </w:rPr>
            </w:pPr>
            <w:r>
              <w:rPr>
                <w:shd w:fill="auto" w:val="clear"/>
              </w:rPr>
              <w:t>Оказание услуг по корректировке документов Модель угроз, Техническое задание, Эскизный (технический) проект на создание системы защиты ИС «РСОН»</w:t>
            </w:r>
          </w:p>
        </w:tc>
        <w:tc>
          <w:tcPr>
            <w:tcW w:w="41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bCs/>
                <w:shd w:fill="auto" w:val="clear"/>
              </w:rPr>
              <w:t xml:space="preserve">Не более </w:t>
            </w:r>
            <w:r>
              <w:rPr>
                <w:shd w:fill="auto" w:val="clear"/>
              </w:rPr>
              <w:t xml:space="preserve">7 рабочих дней с момента окончания этапа </w:t>
            </w:r>
            <w:r>
              <w:rPr>
                <w:b/>
                <w:bCs/>
                <w:shd w:fill="auto" w:val="clear"/>
              </w:rPr>
              <w:t>№</w:t>
            </w:r>
            <w:r>
              <w:rPr>
                <w:shd w:fill="auto" w:val="clear"/>
              </w:rPr>
              <w:t xml:space="preserve"> 1</w:t>
            </w:r>
          </w:p>
          <w:p>
            <w:pPr>
              <w:pStyle w:val="Normal"/>
              <w:jc w:val="center"/>
              <w:rPr>
                <w:b/>
                <w:bCs/>
                <w:highlight w:val="none"/>
                <w:shd w:fill="auto" w:val="clear"/>
              </w:rPr>
            </w:pPr>
            <w:r>
              <w:rPr>
                <w:b/>
                <w:bCs/>
                <w:shd w:fill="auto" w:val="clear"/>
              </w:rPr>
            </w:r>
          </w:p>
        </w:tc>
        <w:tc>
          <w:tcPr>
            <w:tcW w:w="5530" w:type="dxa"/>
            <w:tcBorders>
              <w:top w:val="single" w:sz="4" w:space="0" w:color="000000"/>
              <w:start w:val="single" w:sz="4" w:space="0" w:color="000000"/>
              <w:bottom w:val="single" w:sz="4" w:space="0" w:color="000000"/>
              <w:end w:val="single" w:sz="4" w:space="0" w:color="000000"/>
            </w:tcBorders>
            <w:vAlign w:val="center"/>
          </w:tcPr>
          <w:p>
            <w:pPr>
              <w:pStyle w:val="Normal"/>
              <w:rPr>
                <w:highlight w:val="none"/>
                <w:shd w:fill="auto" w:val="clear"/>
              </w:rPr>
            </w:pPr>
            <w:r>
              <w:rPr>
                <w:rFonts w:eastAsia="Calibri"/>
                <w:shd w:fill="auto" w:val="clear"/>
              </w:rPr>
              <w:t>Утвержденные документы Модель угроз безопасности информации при ее обработке в информационной «РСОН»; Техническое задание на создание системы защиты информации для информационной системы «РСОН»; Эскизный (технический) проект системы защиты информации информационной системы «РСОН»</w:t>
              <w:br/>
            </w:r>
            <w:r>
              <w:rPr>
                <w:shd w:fill="auto" w:val="clear"/>
              </w:rPr>
              <w:t>(бумажные экземпляры)</w:t>
            </w:r>
          </w:p>
        </w:tc>
      </w:tr>
      <w:tr>
        <w:trPr>
          <w:trHeight w:val="327" w:hRule="atLeast"/>
          <w:cantSplit w:val="true"/>
        </w:trPr>
        <w:tc>
          <w:tcPr>
            <w:tcW w:w="8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shd w:fill="auto" w:val="clear"/>
              </w:rPr>
              <w:t>3</w:t>
            </w:r>
          </w:p>
        </w:tc>
        <w:tc>
          <w:tcPr>
            <w:tcW w:w="4535" w:type="dxa"/>
            <w:tcBorders>
              <w:top w:val="single" w:sz="4" w:space="0" w:color="000000"/>
              <w:start w:val="single" w:sz="4" w:space="0" w:color="000000"/>
              <w:bottom w:val="single" w:sz="4" w:space="0" w:color="000000"/>
              <w:end w:val="single" w:sz="4" w:space="0" w:color="000000"/>
            </w:tcBorders>
            <w:vAlign w:val="center"/>
          </w:tcPr>
          <w:p>
            <w:pPr>
              <w:pStyle w:val="Normal"/>
              <w:rPr>
                <w:highlight w:val="none"/>
                <w:shd w:fill="auto" w:val="clear"/>
              </w:rPr>
            </w:pPr>
            <w:r>
              <w:rPr>
                <w:shd w:fill="auto" w:val="clear"/>
              </w:rPr>
              <w:t>Разработка и согласование комплекта организационно-распорядительной и рабочей документации на систему защиты ИС «РСОН»</w:t>
            </w:r>
          </w:p>
        </w:tc>
        <w:tc>
          <w:tcPr>
            <w:tcW w:w="41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bCs/>
                <w:shd w:fill="auto" w:val="clear"/>
              </w:rPr>
              <w:t xml:space="preserve">Не более </w:t>
            </w:r>
            <w:r>
              <w:rPr>
                <w:shd w:fill="auto" w:val="clear"/>
              </w:rPr>
              <w:t xml:space="preserve">20 </w:t>
            </w:r>
            <w:r>
              <w:rPr>
                <w:bCs/>
                <w:shd w:fill="auto" w:val="clear"/>
              </w:rPr>
              <w:t>рабочих</w:t>
            </w:r>
            <w:r>
              <w:rPr>
                <w:shd w:fill="auto" w:val="clear"/>
              </w:rPr>
              <w:t xml:space="preserve"> дней с момента окончания этапа </w:t>
            </w:r>
            <w:r>
              <w:rPr>
                <w:b/>
                <w:bCs/>
                <w:shd w:fill="auto" w:val="clear"/>
              </w:rPr>
              <w:t>№</w:t>
            </w:r>
            <w:r>
              <w:rPr>
                <w:shd w:fill="auto" w:val="clear"/>
              </w:rPr>
              <w:t xml:space="preserve"> 2</w:t>
            </w:r>
          </w:p>
        </w:tc>
        <w:tc>
          <w:tcPr>
            <w:tcW w:w="5530" w:type="dxa"/>
            <w:tcBorders>
              <w:top w:val="single" w:sz="4" w:space="0" w:color="000000"/>
              <w:start w:val="single" w:sz="4" w:space="0" w:color="000000"/>
              <w:bottom w:val="single" w:sz="4" w:space="0" w:color="000000"/>
              <w:end w:val="single" w:sz="4" w:space="0" w:color="000000"/>
            </w:tcBorders>
            <w:vAlign w:val="center"/>
          </w:tcPr>
          <w:p>
            <w:pPr>
              <w:pStyle w:val="Normal"/>
              <w:rPr>
                <w:highlight w:val="none"/>
                <w:shd w:fill="auto" w:val="clear"/>
              </w:rPr>
            </w:pPr>
            <w:r>
              <w:rPr>
                <w:shd w:fill="auto" w:val="clear"/>
              </w:rPr>
              <w:t>Комплект согласованной документации, в соответствии с пунктами ТЗ 24 и 25</w:t>
            </w:r>
          </w:p>
          <w:p>
            <w:pPr>
              <w:pStyle w:val="Normal"/>
              <w:rPr>
                <w:highlight w:val="none"/>
                <w:shd w:fill="auto" w:val="clear"/>
              </w:rPr>
            </w:pPr>
            <w:r>
              <w:rPr>
                <w:shd w:fill="auto" w:val="clear"/>
              </w:rPr>
              <w:t>(электронные версии)</w:t>
            </w:r>
          </w:p>
        </w:tc>
      </w:tr>
      <w:tr>
        <w:trPr>
          <w:trHeight w:val="327" w:hRule="atLeast"/>
          <w:cantSplit w:val="true"/>
        </w:trPr>
        <w:tc>
          <w:tcPr>
            <w:tcW w:w="8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shd w:fill="auto" w:val="clear"/>
              </w:rPr>
              <w:t>4</w:t>
            </w:r>
          </w:p>
        </w:tc>
        <w:tc>
          <w:tcPr>
            <w:tcW w:w="4535" w:type="dxa"/>
            <w:tcBorders>
              <w:top w:val="single" w:sz="4" w:space="0" w:color="000000"/>
              <w:start w:val="single" w:sz="4" w:space="0" w:color="000000"/>
              <w:bottom w:val="single" w:sz="4" w:space="0" w:color="000000"/>
              <w:end w:val="single" w:sz="4" w:space="0" w:color="000000"/>
            </w:tcBorders>
            <w:vAlign w:val="center"/>
          </w:tcPr>
          <w:p>
            <w:pPr>
              <w:pStyle w:val="Normal"/>
              <w:rPr>
                <w:highlight w:val="none"/>
                <w:shd w:fill="auto" w:val="clear"/>
              </w:rPr>
            </w:pPr>
            <w:r>
              <w:rPr>
                <w:shd w:fill="auto" w:val="clear"/>
              </w:rPr>
              <w:t>Проведение пусконаладочных работ средств защиты информации в соответствии с утверждённой проектной документацией</w:t>
            </w:r>
          </w:p>
        </w:tc>
        <w:tc>
          <w:tcPr>
            <w:tcW w:w="41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bCs/>
                <w:shd w:fill="auto" w:val="clear"/>
              </w:rPr>
              <w:t xml:space="preserve">Не более </w:t>
            </w:r>
            <w:r>
              <w:rPr>
                <w:shd w:fill="auto" w:val="clear"/>
              </w:rPr>
              <w:t xml:space="preserve">10 </w:t>
            </w:r>
            <w:r>
              <w:rPr>
                <w:bCs/>
                <w:shd w:fill="auto" w:val="clear"/>
              </w:rPr>
              <w:t>рабочих</w:t>
            </w:r>
            <w:r>
              <w:rPr>
                <w:shd w:fill="auto" w:val="clear"/>
              </w:rPr>
              <w:t xml:space="preserve"> дней с момента окончания этапа </w:t>
            </w:r>
            <w:r>
              <w:rPr>
                <w:b/>
                <w:bCs/>
                <w:shd w:fill="auto" w:val="clear"/>
              </w:rPr>
              <w:t>№</w:t>
            </w:r>
            <w:r>
              <w:rPr>
                <w:shd w:fill="auto" w:val="clear"/>
              </w:rPr>
              <w:t xml:space="preserve"> 3</w:t>
            </w:r>
          </w:p>
        </w:tc>
        <w:tc>
          <w:tcPr>
            <w:tcW w:w="5530" w:type="dxa"/>
            <w:tcBorders>
              <w:top w:val="single" w:sz="4" w:space="0" w:color="000000"/>
              <w:start w:val="single" w:sz="4" w:space="0" w:color="000000"/>
              <w:bottom w:val="single" w:sz="4" w:space="0" w:color="000000"/>
              <w:end w:val="single" w:sz="4" w:space="0" w:color="000000"/>
            </w:tcBorders>
            <w:vAlign w:val="center"/>
          </w:tcPr>
          <w:p>
            <w:pPr>
              <w:pStyle w:val="Normal"/>
              <w:rPr>
                <w:highlight w:val="none"/>
                <w:shd w:fill="auto" w:val="clear"/>
              </w:rPr>
            </w:pPr>
            <w:r>
              <w:rPr>
                <w:shd w:fill="auto" w:val="clear"/>
              </w:rPr>
              <w:t>Акт об установке и настройке средств защиты информации ИС «РСОН»</w:t>
            </w:r>
          </w:p>
          <w:p>
            <w:pPr>
              <w:pStyle w:val="Normal"/>
              <w:rPr>
                <w:highlight w:val="none"/>
                <w:shd w:fill="auto" w:val="clear"/>
              </w:rPr>
            </w:pPr>
            <w:r>
              <w:rPr>
                <w:shd w:fill="auto" w:val="clear"/>
              </w:rPr>
              <w:t>(бумажный экземпляр)</w:t>
            </w:r>
          </w:p>
        </w:tc>
      </w:tr>
      <w:tr>
        <w:trPr>
          <w:trHeight w:val="327" w:hRule="atLeast"/>
          <w:cantSplit w:val="true"/>
        </w:trPr>
        <w:tc>
          <w:tcPr>
            <w:tcW w:w="8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shd w:fill="auto" w:val="clear"/>
              </w:rPr>
              <w:t>5</w:t>
            </w:r>
          </w:p>
        </w:tc>
        <w:tc>
          <w:tcPr>
            <w:tcW w:w="4535" w:type="dxa"/>
            <w:tcBorders>
              <w:top w:val="single" w:sz="4" w:space="0" w:color="000000"/>
              <w:start w:val="single" w:sz="4" w:space="0" w:color="000000"/>
              <w:bottom w:val="single" w:sz="4" w:space="0" w:color="000000"/>
              <w:end w:val="single" w:sz="4" w:space="0" w:color="000000"/>
            </w:tcBorders>
            <w:vAlign w:val="center"/>
          </w:tcPr>
          <w:p>
            <w:pPr>
              <w:pStyle w:val="Normal"/>
              <w:rPr>
                <w:highlight w:val="none"/>
                <w:shd w:fill="auto" w:val="clear"/>
              </w:rPr>
            </w:pPr>
            <w:r>
              <w:rPr>
                <w:shd w:fill="auto" w:val="clear"/>
              </w:rPr>
              <w:t>Разработка и согласование программы и методики испытаний информационной системы</w:t>
            </w:r>
          </w:p>
        </w:tc>
        <w:tc>
          <w:tcPr>
            <w:tcW w:w="41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bCs/>
                <w:shd w:fill="auto" w:val="clear"/>
              </w:rPr>
              <w:t xml:space="preserve">Не более </w:t>
            </w:r>
            <w:r>
              <w:rPr>
                <w:shd w:fill="auto" w:val="clear"/>
              </w:rPr>
              <w:t xml:space="preserve">5 </w:t>
            </w:r>
            <w:r>
              <w:rPr>
                <w:bCs/>
                <w:shd w:fill="auto" w:val="clear"/>
              </w:rPr>
              <w:t>рабочих</w:t>
            </w:r>
            <w:r>
              <w:rPr>
                <w:shd w:fill="auto" w:val="clear"/>
              </w:rPr>
              <w:t xml:space="preserve"> дней с момента окончания этапа </w:t>
            </w:r>
            <w:r>
              <w:rPr>
                <w:b/>
                <w:bCs/>
                <w:shd w:fill="auto" w:val="clear"/>
              </w:rPr>
              <w:t>№</w:t>
            </w:r>
            <w:r>
              <w:rPr>
                <w:shd w:fill="auto" w:val="clear"/>
              </w:rPr>
              <w:t xml:space="preserve"> 4</w:t>
            </w:r>
          </w:p>
        </w:tc>
        <w:tc>
          <w:tcPr>
            <w:tcW w:w="5530" w:type="dxa"/>
            <w:tcBorders>
              <w:top w:val="single" w:sz="4" w:space="0" w:color="000000"/>
              <w:start w:val="single" w:sz="4" w:space="0" w:color="000000"/>
              <w:bottom w:val="single" w:sz="4" w:space="0" w:color="000000"/>
              <w:end w:val="single" w:sz="4" w:space="0" w:color="000000"/>
            </w:tcBorders>
            <w:vAlign w:val="center"/>
          </w:tcPr>
          <w:p>
            <w:pPr>
              <w:pStyle w:val="Normal"/>
              <w:rPr>
                <w:highlight w:val="none"/>
                <w:shd w:fill="auto" w:val="clear"/>
              </w:rPr>
            </w:pPr>
            <w:r>
              <w:rPr>
                <w:shd w:fill="auto" w:val="clear"/>
              </w:rPr>
              <w:t>Утвержденный документ</w:t>
            </w:r>
          </w:p>
          <w:p>
            <w:pPr>
              <w:pStyle w:val="Normal"/>
              <w:rPr>
                <w:highlight w:val="none"/>
                <w:shd w:fill="auto" w:val="clear"/>
              </w:rPr>
            </w:pPr>
            <w:r>
              <w:rPr>
                <w:shd w:fill="auto" w:val="clear"/>
              </w:rPr>
              <w:t>«Программа и методики испытаний информационной системы»</w:t>
            </w:r>
          </w:p>
          <w:p>
            <w:pPr>
              <w:pStyle w:val="Normal"/>
              <w:rPr>
                <w:highlight w:val="none"/>
                <w:shd w:fill="auto" w:val="clear"/>
              </w:rPr>
            </w:pPr>
            <w:r>
              <w:rPr>
                <w:shd w:fill="auto" w:val="clear"/>
              </w:rPr>
              <w:t>(бумажный экземпляр)</w:t>
            </w:r>
          </w:p>
        </w:tc>
      </w:tr>
      <w:tr>
        <w:trPr>
          <w:trHeight w:val="327" w:hRule="atLeast"/>
          <w:cantSplit w:val="true"/>
        </w:trPr>
        <w:tc>
          <w:tcPr>
            <w:tcW w:w="8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shd w:fill="auto" w:val="clear"/>
                <w:lang w:val="en-US"/>
              </w:rPr>
              <w:t>6</w:t>
            </w:r>
          </w:p>
        </w:tc>
        <w:tc>
          <w:tcPr>
            <w:tcW w:w="4535" w:type="dxa"/>
            <w:tcBorders>
              <w:top w:val="single" w:sz="4" w:space="0" w:color="000000"/>
              <w:start w:val="single" w:sz="4" w:space="0" w:color="000000"/>
              <w:bottom w:val="single" w:sz="4" w:space="0" w:color="000000"/>
              <w:end w:val="single" w:sz="4" w:space="0" w:color="000000"/>
            </w:tcBorders>
            <w:vAlign w:val="center"/>
          </w:tcPr>
          <w:p>
            <w:pPr>
              <w:pStyle w:val="Normal"/>
              <w:rPr>
                <w:highlight w:val="none"/>
                <w:shd w:fill="auto" w:val="clear"/>
              </w:rPr>
            </w:pPr>
            <w:r>
              <w:rPr>
                <w:shd w:fill="auto" w:val="clear"/>
              </w:rPr>
              <w:t>Проведение оценки ИС «РСОН» на предмет соответствия Требованиям</w:t>
            </w:r>
          </w:p>
          <w:p>
            <w:pPr>
              <w:pStyle w:val="Normal"/>
              <w:rPr>
                <w:highlight w:val="none"/>
                <w:shd w:fill="auto" w:val="clear"/>
              </w:rPr>
            </w:pPr>
            <w:r>
              <w:rPr>
                <w:shd w:fill="auto" w:val="clear"/>
              </w:rPr>
              <w:t>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 утвержденных приказом ФСТЭК России от 11 апреля 2025 г. N 117</w:t>
            </w:r>
          </w:p>
        </w:tc>
        <w:tc>
          <w:tcPr>
            <w:tcW w:w="41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bCs/>
                <w:shd w:fill="auto" w:val="clear"/>
              </w:rPr>
              <w:t xml:space="preserve">Не более </w:t>
            </w:r>
            <w:r>
              <w:rPr>
                <w:shd w:fill="auto" w:val="clear"/>
              </w:rPr>
              <w:t xml:space="preserve">10 </w:t>
            </w:r>
            <w:r>
              <w:rPr>
                <w:bCs/>
                <w:shd w:fill="auto" w:val="clear"/>
              </w:rPr>
              <w:t>рабочих</w:t>
            </w:r>
            <w:r>
              <w:rPr>
                <w:shd w:fill="auto" w:val="clear"/>
              </w:rPr>
              <w:t xml:space="preserve"> дней с момента окончания этапа </w:t>
            </w:r>
            <w:r>
              <w:rPr>
                <w:b/>
                <w:bCs/>
                <w:shd w:fill="auto" w:val="clear"/>
              </w:rPr>
              <w:t>№</w:t>
            </w:r>
            <w:r>
              <w:rPr>
                <w:shd w:fill="auto" w:val="clear"/>
              </w:rPr>
              <w:t xml:space="preserve"> 5</w:t>
            </w:r>
          </w:p>
        </w:tc>
        <w:tc>
          <w:tcPr>
            <w:tcW w:w="5530" w:type="dxa"/>
            <w:tcBorders>
              <w:top w:val="single" w:sz="4" w:space="0" w:color="000000"/>
              <w:start w:val="single" w:sz="4" w:space="0" w:color="000000"/>
              <w:bottom w:val="single" w:sz="4" w:space="0" w:color="000000"/>
              <w:end w:val="single" w:sz="4" w:space="0" w:color="000000"/>
            </w:tcBorders>
            <w:vAlign w:val="center"/>
          </w:tcPr>
          <w:p>
            <w:pPr>
              <w:pStyle w:val="Normal"/>
              <w:rPr>
                <w:highlight w:val="none"/>
                <w:shd w:fill="auto" w:val="clear"/>
              </w:rPr>
            </w:pPr>
            <w:r>
              <w:rPr>
                <w:shd w:fill="auto" w:val="clear"/>
              </w:rPr>
              <w:t>Отчет об анализе защищенности информационной системы; Перечень выявленных несоответствий требованиям по защите информации; Рекомендации по устранению выявленных несоответствий; Заключение о соответствии (или несоответствии) информационной системы установленным требованиям по защите информации Приказа ФСТЭК России № 117 и Приказа ФСТЭК России № 31 для информационных систем класса защищенности К2</w:t>
            </w:r>
          </w:p>
          <w:p>
            <w:pPr>
              <w:pStyle w:val="Normal"/>
              <w:rPr>
                <w:highlight w:val="none"/>
                <w:shd w:fill="auto" w:val="clear"/>
              </w:rPr>
            </w:pPr>
            <w:r>
              <w:rPr>
                <w:shd w:fill="auto" w:val="clear"/>
              </w:rPr>
              <w:t>(бумажные экземпляры)</w:t>
            </w:r>
          </w:p>
        </w:tc>
      </w:tr>
    </w:tbl>
    <w:p>
      <w:pPr>
        <w:pStyle w:val="Normal"/>
        <w:tabs>
          <w:tab w:val="clear" w:pos="709"/>
          <w:tab w:val="left" w:pos="0" w:leader="none"/>
        </w:tabs>
        <w:mirrorIndents/>
        <w:jc w:val="both"/>
        <w:rPr>
          <w:highlight w:val="none"/>
          <w:shd w:fill="auto" w:val="clear"/>
        </w:rPr>
      </w:pPr>
      <w:r>
        <w:rPr>
          <w:rFonts w:eastAsia="Calibri"/>
          <w:b/>
          <w:bCs/>
          <w:i/>
          <w:color w:val="000000"/>
          <w:sz w:val="20"/>
          <w:shd w:fill="auto" w:val="clear"/>
        </w:rPr>
        <w:t xml:space="preserve">Примечание: </w:t>
      </w:r>
      <w:r>
        <w:rPr>
          <w:rFonts w:eastAsia="Calibri"/>
          <w:bCs/>
          <w:i/>
          <w:color w:val="000000"/>
          <w:sz w:val="20"/>
          <w:shd w:fill="auto" w:val="clear"/>
        </w:rPr>
        <w:t>во тех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Договору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w:t>
      </w:r>
      <w:r>
        <w:rPr>
          <w:rFonts w:eastAsia="Calibri"/>
          <w:bCs/>
          <w:i/>
          <w:color w:val="000000"/>
          <w:sz w:val="18"/>
          <w:szCs w:val="20"/>
          <w:shd w:fill="auto" w:val="clear"/>
        </w:rPr>
        <w:t xml:space="preserve"> актам.</w:t>
      </w:r>
    </w:p>
    <w:p>
      <w:pPr>
        <w:pStyle w:val="Normal"/>
        <w:jc w:val="center"/>
        <w:rPr>
          <w:rFonts w:eastAsia="Calibri"/>
          <w:sz w:val="22"/>
          <w:szCs w:val="22"/>
          <w:highlight w:val="none"/>
          <w:shd w:fill="auto" w:val="clear"/>
        </w:rPr>
      </w:pPr>
      <w:r>
        <w:rPr>
          <w:rFonts w:eastAsia="Calibri"/>
          <w:sz w:val="22"/>
          <w:szCs w:val="22"/>
          <w:shd w:fill="auto" w:val="clear"/>
        </w:rPr>
      </w:r>
    </w:p>
    <w:p>
      <w:pPr>
        <w:pStyle w:val="Normal"/>
        <w:jc w:val="center"/>
        <w:rPr>
          <w:rFonts w:eastAsia="Calibri"/>
          <w:sz w:val="22"/>
          <w:szCs w:val="22"/>
          <w:highlight w:val="none"/>
          <w:shd w:fill="auto" w:val="clear"/>
        </w:rPr>
      </w:pPr>
      <w:r>
        <w:rPr>
          <w:rFonts w:eastAsia="Calibri"/>
          <w:sz w:val="22"/>
          <w:szCs w:val="22"/>
          <w:shd w:fill="auto" w:val="clear"/>
        </w:rPr>
      </w:r>
    </w:p>
    <w:tbl>
      <w:tblPr>
        <w:tblW w:w="13832" w:type="dxa"/>
        <w:jc w:val="start"/>
        <w:tblInd w:w="-709" w:type="dxa"/>
        <w:tblLayout w:type="fixed"/>
        <w:tblCellMar>
          <w:top w:w="0" w:type="dxa"/>
          <w:start w:w="108" w:type="dxa"/>
          <w:bottom w:w="0" w:type="dxa"/>
          <w:end w:w="108" w:type="dxa"/>
        </w:tblCellMar>
        <w:tblLook w:val="01e0" w:noHBand="0" w:noVBand="0" w:firstColumn="1" w:lastRow="1" w:lastColumn="1" w:firstRow="1"/>
      </w:tblPr>
      <w:tblGrid>
        <w:gridCol w:w="2127"/>
        <w:gridCol w:w="6663"/>
        <w:gridCol w:w="5042"/>
      </w:tblGrid>
      <w:tr>
        <w:trPr>
          <w:trHeight w:val="1305" w:hRule="atLeast"/>
        </w:trPr>
        <w:tc>
          <w:tcPr>
            <w:tcW w:w="2127" w:type="dxa"/>
            <w:tcBorders/>
          </w:tcPr>
          <w:p>
            <w:pPr>
              <w:pStyle w:val="Normal"/>
              <w:jc w:val="center"/>
              <w:rPr>
                <w:rFonts w:eastAsia="Calibri"/>
                <w:sz w:val="22"/>
                <w:szCs w:val="22"/>
                <w:highlight w:val="none"/>
                <w:shd w:fill="auto" w:val="clear"/>
              </w:rPr>
            </w:pPr>
            <w:r>
              <w:rPr>
                <w:rFonts w:eastAsia="Calibri"/>
                <w:sz w:val="22"/>
                <w:szCs w:val="22"/>
                <w:shd w:fill="auto" w:val="clear"/>
              </w:rPr>
            </w:r>
          </w:p>
        </w:tc>
        <w:tc>
          <w:tcPr>
            <w:tcW w:w="6663" w:type="dxa"/>
            <w:tcBorders/>
          </w:tcPr>
          <w:p>
            <w:pPr>
              <w:pStyle w:val="Normal"/>
              <w:spacing w:lineRule="auto" w:line="276"/>
              <w:jc w:val="center"/>
              <w:rPr>
                <w:highlight w:val="none"/>
                <w:shd w:fill="auto" w:val="clear"/>
                <w:lang w:eastAsia="en-US"/>
              </w:rPr>
            </w:pPr>
            <w:r>
              <w:rPr>
                <w:shd w:fill="auto" w:val="clear"/>
                <w:lang w:eastAsia="en-US"/>
              </w:rPr>
            </w:r>
          </w:p>
        </w:tc>
        <w:tc>
          <w:tcPr>
            <w:tcW w:w="5042" w:type="dxa"/>
            <w:tcBorders/>
          </w:tcPr>
          <w:p>
            <w:pPr>
              <w:pStyle w:val="Normal"/>
              <w:spacing w:lineRule="auto" w:line="276"/>
              <w:jc w:val="center"/>
              <w:rPr>
                <w:highlight w:val="none"/>
                <w:shd w:fill="auto" w:val="clear"/>
                <w:lang w:eastAsia="en-US"/>
              </w:rPr>
            </w:pPr>
            <w:r>
              <w:rPr>
                <w:shd w:fill="auto" w:val="clear"/>
                <w:lang w:eastAsia="en-US"/>
              </w:rPr>
            </w:r>
          </w:p>
        </w:tc>
      </w:tr>
    </w:tbl>
    <w:p>
      <w:pPr>
        <w:sectPr>
          <w:type w:val="nextPage"/>
          <w:pgSz w:orient="landscape" w:w="16838" w:h="11906"/>
          <w:pgMar w:left="851" w:right="992" w:gutter="0" w:header="0" w:top="1134" w:footer="0" w:bottom="567"/>
          <w:pgNumType w:fmt="decimal"/>
          <w:formProt w:val="false"/>
          <w:textDirection w:val="lrTb"/>
          <w:docGrid w:type="default" w:linePitch="299" w:charSpace="0"/>
        </w:sectPr>
      </w:pPr>
    </w:p>
    <w:p>
      <w:pPr>
        <w:pStyle w:val="Normal"/>
        <w:rPr>
          <w:rFonts w:eastAsia="Calibri"/>
          <w:sz w:val="20"/>
          <w:szCs w:val="20"/>
          <w:highlight w:val="none"/>
          <w:shd w:fill="auto" w:val="clear"/>
        </w:rPr>
      </w:pPr>
      <w:r>
        <w:rPr>
          <w:rFonts w:eastAsia="Calibri"/>
          <w:sz w:val="20"/>
          <w:szCs w:val="20"/>
          <w:shd w:fill="auto" w:val="clear"/>
        </w:rPr>
      </w:r>
    </w:p>
    <w:p>
      <w:pPr>
        <w:pStyle w:val="Normal"/>
        <w:tabs>
          <w:tab w:val="clear" w:pos="709"/>
          <w:tab w:val="left" w:pos="3225" w:leader="none"/>
        </w:tabs>
        <w:rPr>
          <w:highlight w:val="none"/>
          <w:shd w:fill="auto" w:val="clear"/>
        </w:rPr>
      </w:pPr>
      <w:r>
        <w:rPr>
          <w:rFonts w:eastAsia="Calibri"/>
          <w:sz w:val="20"/>
          <w:szCs w:val="20"/>
          <w:shd w:fill="auto" w:val="clear"/>
        </w:rPr>
        <w:tab/>
      </w:r>
    </w:p>
    <w:p>
      <w:pPr>
        <w:pStyle w:val="Normal"/>
        <w:ind w:firstLine="709"/>
        <w:jc w:val="center"/>
        <w:rPr>
          <w:b/>
          <w:bCs/>
          <w:highlight w:val="none"/>
          <w:shd w:fill="auto" w:val="clear"/>
        </w:rPr>
      </w:pPr>
      <w:r>
        <w:rPr>
          <w:b/>
          <w:bCs/>
          <w:shd w:fill="auto" w:val="clear"/>
        </w:rPr>
      </w:r>
    </w:p>
    <w:p>
      <w:pPr>
        <w:pStyle w:val="Normal"/>
        <w:ind w:firstLine="709" w:end="140"/>
        <w:jc w:val="center"/>
        <w:rPr>
          <w:b/>
          <w:bCs/>
          <w:highlight w:val="none"/>
          <w:shd w:fill="auto" w:val="clear"/>
        </w:rPr>
      </w:pPr>
      <w:r>
        <w:rPr>
          <w:b/>
          <w:bCs/>
          <w:shd w:fill="auto" w:val="clear"/>
        </w:rPr>
      </w:r>
    </w:p>
    <w:p>
      <w:pPr>
        <w:pStyle w:val="Normal"/>
        <w:jc w:val="center"/>
        <w:rPr>
          <w:highlight w:val="none"/>
          <w:shd w:fill="auto" w:val="clear"/>
        </w:rPr>
      </w:pPr>
      <w:r>
        <w:rPr>
          <w:shd w:fill="auto" w:val="clear"/>
        </w:rPr>
      </w:r>
    </w:p>
    <w:p>
      <w:pPr>
        <w:pStyle w:val="Normal"/>
        <w:jc w:val="center"/>
        <w:rPr>
          <w:highlight w:val="none"/>
          <w:shd w:fill="auto" w:val="clear"/>
        </w:rPr>
      </w:pPr>
      <w:r>
        <w:rPr>
          <w:shd w:fill="auto" w:val="clear"/>
        </w:rPr>
      </w:r>
    </w:p>
    <w:p>
      <w:pPr>
        <w:pStyle w:val="Normal"/>
        <w:jc w:val="center"/>
        <w:rPr>
          <w:highlight w:val="none"/>
          <w:shd w:fill="auto" w:val="clear"/>
        </w:rPr>
      </w:pPr>
      <w:r>
        <w:rPr>
          <w:shd w:fill="auto" w:val="clear"/>
        </w:rPr>
      </w:r>
    </w:p>
    <w:p>
      <w:pPr>
        <w:pStyle w:val="Normal"/>
        <w:jc w:val="center"/>
        <w:rPr>
          <w:highlight w:val="none"/>
          <w:shd w:fill="auto" w:val="clear"/>
        </w:rPr>
      </w:pPr>
      <w:r>
        <w:rPr>
          <w:shd w:fill="auto" w:val="clear"/>
        </w:rPr>
      </w:r>
    </w:p>
    <w:p>
      <w:pPr>
        <w:pStyle w:val="Normal"/>
        <w:jc w:val="center"/>
        <w:rPr>
          <w:highlight w:val="none"/>
          <w:shd w:fill="auto" w:val="clear"/>
        </w:rPr>
      </w:pPr>
      <w:r>
        <w:rPr>
          <w:shd w:fill="auto" w:val="clear"/>
        </w:rPr>
      </w:r>
    </w:p>
    <w:p>
      <w:pPr>
        <w:pStyle w:val="Normal"/>
        <w:jc w:val="center"/>
        <w:rPr>
          <w:highlight w:val="none"/>
          <w:shd w:fill="auto" w:val="clear"/>
        </w:rPr>
      </w:pPr>
      <w:r>
        <w:rPr>
          <w:shd w:fill="auto" w:val="clear"/>
        </w:rPr>
      </w:r>
    </w:p>
    <w:p>
      <w:pPr>
        <w:pStyle w:val="Normal"/>
        <w:jc w:val="both"/>
        <w:rPr>
          <w:highlight w:val="none"/>
          <w:shd w:fill="auto" w:val="clear"/>
        </w:rPr>
      </w:pPr>
      <w:r>
        <w:rPr>
          <w:shd w:fill="auto" w:val="clear"/>
        </w:rPr>
      </w:r>
    </w:p>
    <w:tbl>
      <w:tblPr>
        <w:tblW w:w="9099" w:type="dxa"/>
        <w:jc w:val="start"/>
        <w:tblInd w:w="-34" w:type="dxa"/>
        <w:tblLayout w:type="fixed"/>
        <w:tblCellMar>
          <w:top w:w="0" w:type="dxa"/>
          <w:start w:w="108" w:type="dxa"/>
          <w:bottom w:w="0" w:type="dxa"/>
          <w:end w:w="108" w:type="dxa"/>
        </w:tblCellMar>
        <w:tblLook w:val="04a0" w:noHBand="0" w:noVBand="1" w:firstColumn="1" w:lastRow="0" w:lastColumn="0" w:firstRow="1"/>
      </w:tblPr>
      <w:tblGrid>
        <w:gridCol w:w="4570"/>
        <w:gridCol w:w="4529"/>
      </w:tblGrid>
      <w:tr>
        <w:trPr>
          <w:trHeight w:val="711" w:hRule="atLeast"/>
        </w:trPr>
        <w:tc>
          <w:tcPr>
            <w:tcW w:w="4570" w:type="dxa"/>
            <w:tcBorders/>
            <w:vAlign w:val="center"/>
          </w:tcPr>
          <w:p>
            <w:pPr>
              <w:pStyle w:val="Normal"/>
              <w:tabs>
                <w:tab w:val="clear" w:pos="709"/>
                <w:tab w:val="left" w:pos="1134" w:leader="none"/>
              </w:tabs>
              <w:ind w:start="352"/>
              <w:jc w:val="both"/>
              <w:rPr>
                <w:highlight w:val="none"/>
                <w:shd w:fill="auto" w:val="clear"/>
              </w:rPr>
            </w:pPr>
            <w:r>
              <w:rPr>
                <w:shd w:fill="auto" w:val="clear"/>
              </w:rPr>
            </w:r>
          </w:p>
        </w:tc>
        <w:tc>
          <w:tcPr>
            <w:tcW w:w="4529" w:type="dxa"/>
            <w:tcBorders/>
            <w:vAlign w:val="center"/>
          </w:tcPr>
          <w:p>
            <w:pPr>
              <w:pStyle w:val="Normal"/>
              <w:tabs>
                <w:tab w:val="clear" w:pos="709"/>
                <w:tab w:val="left" w:pos="1134" w:leader="none"/>
              </w:tabs>
              <w:ind w:start="352"/>
              <w:jc w:val="both"/>
              <w:rPr>
                <w:b/>
                <w:highlight w:val="none"/>
                <w:shd w:fill="auto" w:val="clear"/>
              </w:rPr>
            </w:pPr>
            <w:r>
              <w:rPr>
                <w:b/>
                <w:shd w:fill="auto" w:val="clear"/>
              </w:rPr>
            </w:r>
          </w:p>
        </w:tc>
      </w:tr>
      <w:tr>
        <w:trPr>
          <w:trHeight w:val="711" w:hRule="atLeast"/>
        </w:trPr>
        <w:tc>
          <w:tcPr>
            <w:tcW w:w="4570" w:type="dxa"/>
            <w:tcBorders/>
            <w:vAlign w:val="center"/>
          </w:tcPr>
          <w:p>
            <w:pPr>
              <w:pStyle w:val="Normal"/>
              <w:tabs>
                <w:tab w:val="clear" w:pos="709"/>
                <w:tab w:val="left" w:pos="1134" w:leader="none"/>
              </w:tabs>
              <w:ind w:start="352"/>
              <w:jc w:val="both"/>
              <w:rPr>
                <w:b/>
                <w:highlight w:val="none"/>
                <w:shd w:fill="auto" w:val="clear"/>
              </w:rPr>
            </w:pPr>
            <w:r>
              <w:rPr>
                <w:b/>
                <w:shd w:fill="auto" w:val="clear"/>
              </w:rPr>
            </w:r>
          </w:p>
        </w:tc>
        <w:tc>
          <w:tcPr>
            <w:tcW w:w="4529" w:type="dxa"/>
            <w:tcBorders/>
            <w:vAlign w:val="center"/>
          </w:tcPr>
          <w:p>
            <w:pPr>
              <w:pStyle w:val="Normal"/>
              <w:tabs>
                <w:tab w:val="clear" w:pos="709"/>
                <w:tab w:val="left" w:pos="1134" w:leader="none"/>
              </w:tabs>
              <w:ind w:start="352"/>
              <w:jc w:val="both"/>
              <w:rPr>
                <w:b/>
                <w:highlight w:val="none"/>
                <w:shd w:fill="auto" w:val="clear"/>
              </w:rPr>
            </w:pPr>
            <w:r>
              <w:rPr>
                <w:b/>
                <w:shd w:fill="auto" w:val="clear"/>
              </w:rPr>
            </w:r>
          </w:p>
        </w:tc>
      </w:tr>
    </w:tbl>
    <w:p>
      <w:pPr>
        <w:pStyle w:val="Normal"/>
        <w:jc w:val="center"/>
        <w:rPr>
          <w:i/>
          <w:highlight w:val="none"/>
          <w:shd w:fill="auto" w:val="clear"/>
        </w:rPr>
      </w:pPr>
      <w:r>
        <w:rPr>
          <w:i/>
          <w:shd w:fill="auto" w:val="clear"/>
        </w:rPr>
      </w:r>
    </w:p>
    <w:p>
      <w:pPr>
        <w:pStyle w:val="Normal"/>
        <w:rPr>
          <w:highlight w:val="none"/>
          <w:shd w:fill="auto" w:val="clear"/>
        </w:rPr>
      </w:pPr>
      <w:r>
        <w:rPr>
          <w:shd w:fill="auto" w:val="clear"/>
        </w:rPr>
      </w:r>
    </w:p>
    <w:p>
      <w:pPr>
        <w:pStyle w:val="Normal"/>
        <w:ind w:firstLine="567" w:start="5954"/>
        <w:jc w:val="both"/>
        <w:rPr>
          <w:rFonts w:eastAsia="MS Mincho"/>
          <w:highlight w:val="none"/>
          <w:shd w:fill="auto" w:val="clear"/>
        </w:rPr>
      </w:pPr>
      <w:r>
        <w:rPr>
          <w:rFonts w:eastAsia="MS Mincho"/>
          <w:shd w:fill="auto" w:val="clear"/>
        </w:rPr>
      </w:r>
    </w:p>
    <w:p>
      <w:pPr>
        <w:pStyle w:val="Normal"/>
        <w:rPr>
          <w:rFonts w:eastAsia="MS Mincho"/>
          <w:highlight w:val="none"/>
          <w:shd w:fill="auto" w:val="clear"/>
        </w:rPr>
      </w:pPr>
      <w:r>
        <w:rPr>
          <w:rFonts w:eastAsia="MS Mincho"/>
          <w:shd w:fill="auto" w:val="clear"/>
        </w:rPr>
      </w:r>
    </w:p>
    <w:sectPr>
      <w:footerReference w:type="even" r:id="rId6"/>
      <w:footerReference w:type="default" r:id="rId7"/>
      <w:footerReference w:type="first" r:id="rId8"/>
      <w:type w:val="nextPage"/>
      <w:pgSz w:w="11906" w:h="16838"/>
      <w:pgMar w:left="1134" w:right="567" w:gutter="0" w:header="0" w:top="1134"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Cambria">
    <w:charset w:val="01" w:characterSet="utf-8"/>
    <w:family w:val="roman"/>
    <w:pitch w:val="variable"/>
  </w:font>
  <w:font w:name="Arial">
    <w:charset w:val="01" w:characterSet="utf-8"/>
    <w:family w:val="swiss"/>
    <w:pitch w:val="variable"/>
  </w:font>
  <w:font w:name="Tahoma">
    <w:charset w:val="01" w:characterSet="utf-8"/>
    <w:family w:val="swiss"/>
    <w:pitch w:val="variable"/>
  </w:font>
  <w:font w:name="Courier New">
    <w:charset w:val="01" w:characterSet="utf-8"/>
    <w:family w:val="roman"/>
    <w:pitch w:val="variable"/>
  </w:font>
  <w:font w:name="Tms Rmn">
    <w:altName w:val="Times New Roman"/>
    <w:charset w:val="01" w:characterSet="utf-8"/>
    <w:family w:val="roman"/>
    <w:pitch w:val="variable"/>
  </w:font>
  <w:font w:name="Verdana">
    <w:charset w:val="01" w:characterSet="utf-8"/>
    <w:family w:val="swiss"/>
    <w:pitch w:val="variable"/>
  </w:font>
  <w:font w:name="Consolas">
    <w:charset w:val="01" w:characterSet="utf-8"/>
    <w:family w:val="roman"/>
    <w:pitch w:val="variable"/>
  </w:font>
  <w:font w:name="Symbol">
    <w:charset w:val="01" w:characterSet="utf-8"/>
    <w:family w:val="roman"/>
    <w:pitch w:val="variable"/>
  </w:font>
  <w:font w:name="Liberation Sans">
    <w:altName w:val="Arial"/>
    <w:charset w:val="01" w:characterSet="utf-8"/>
    <w:family w:val="swiss"/>
    <w:pitch w:val="variable"/>
  </w:font>
  <w:font w:name="Gelvetsky 12pt">
    <w:charset w:val="01" w:characterSet="utf-8"/>
    <w:family w:val="roman"/>
    <w:pitch w:val="variable"/>
  </w:font>
  <w:font w:name="Times New Roman Bold">
    <w:charset w:val="01" w:characterSet="utf-8"/>
    <w:family w:val="roman"/>
    <w:pitch w:val="variable"/>
  </w:font>
  <w:font w:name="Bookman Old Style">
    <w:charset w:val="01" w:characterSet="utf-8"/>
    <w:family w:val="roman"/>
    <w:pitch w:val="variable"/>
  </w:font>
  <w:font w:name="Arial Unicode MS">
    <w:charset w:val="01" w:characterSet="utf-8"/>
    <w:family w:val="roman"/>
    <w:pitch w:val="variable"/>
  </w:font>
  <w:font w:name="Arial Narrow">
    <w:charset w:val="01" w:characterSet="utf-8"/>
    <w:family w:val="swiss"/>
    <w:pitch w:val="variable"/>
  </w:font>
  <w:font w:name="TimesDL">
    <w:charset w:val="01" w:characterSet="utf-8"/>
    <w:family w:val="roman"/>
    <w:pitch w:val="variable"/>
  </w:font>
  <w:font w:name="Times New Roman CYR">
    <w:charset w:val="01" w:characterSet="utf-8"/>
    <w:family w:val="roman"/>
    <w:pitch w:val="variable"/>
  </w:font>
  <w:font w:name="Times">
    <w:altName w:val="Times New Roman"/>
    <w:charset w:val="01" w:characterSet="utf-8"/>
    <w:family w:val="roman"/>
    <w:pitch w:val="variable"/>
  </w:font>
  <w:font w:name="Journal">
    <w:charset w:val="01" w:characterSet="utf-8"/>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pStyle w:val="139"/>
      <w:lvlText w:val="%1)"/>
      <w:lvlJc w:val="start"/>
      <w:pPr>
        <w:tabs>
          <w:tab w:val="num" w:pos="0"/>
        </w:tabs>
        <w:ind w:start="720" w:hanging="360"/>
      </w:pPr>
      <w:rPr>
        <w:rFonts w:ascii="Times New Roman" w:hAnsi="Times New Roman" w:eastAsia="Calibri" w:cs="Times New Roman"/>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decimal"/>
      <w:lvlText w:val="%1."/>
      <w:lvlJc w:val="start"/>
      <w:pPr>
        <w:tabs>
          <w:tab w:val="num" w:pos="432"/>
        </w:tabs>
        <w:ind w:start="432" w:hanging="432"/>
      </w:pPr>
      <w:rPr/>
    </w:lvl>
    <w:lvl w:ilvl="1">
      <w:start w:val="1"/>
      <w:numFmt w:val="decimal"/>
      <w:lvlText w:val="%1.%2"/>
      <w:lvlJc w:val="start"/>
      <w:pPr>
        <w:tabs>
          <w:tab w:val="num" w:pos="1836"/>
        </w:tabs>
        <w:ind w:start="1836" w:hanging="576"/>
      </w:pPr>
      <w:rPr/>
    </w:lvl>
    <w:lvl w:ilvl="2">
      <w:start w:val="1"/>
      <w:numFmt w:val="decimal"/>
      <w:lvlText w:val="%1.%2.%3"/>
      <w:lvlJc w:val="start"/>
      <w:pPr>
        <w:tabs>
          <w:tab w:val="num" w:pos="1307"/>
        </w:tabs>
        <w:ind w:start="1080" w:hanging="0"/>
      </w:pPr>
      <w:rPr/>
    </w:lvl>
    <w:lvl w:ilvl="3">
      <w:start w:val="1"/>
      <w:numFmt w:val="decimal"/>
      <w:lvlText w:val="%1.%2.%3.%4"/>
      <w:lvlJc w:val="start"/>
      <w:pPr>
        <w:tabs>
          <w:tab w:val="num" w:pos="864"/>
        </w:tabs>
        <w:ind w:start="864" w:hanging="864"/>
      </w:pPr>
      <w:rPr/>
    </w:lvl>
    <w:lvl w:ilvl="4">
      <w:start w:val="1"/>
      <w:numFmt w:val="decimal"/>
      <w:lvlText w:val="%1.%2.%3.%4.%5"/>
      <w:lvlJc w:val="start"/>
      <w:pPr>
        <w:tabs>
          <w:tab w:val="num" w:pos="1008"/>
        </w:tabs>
        <w:ind w:start="1008" w:hanging="1008"/>
      </w:pPr>
      <w:rPr/>
    </w:lvl>
    <w:lvl w:ilvl="5">
      <w:start w:val="1"/>
      <w:numFmt w:val="decimal"/>
      <w:lvlText w:val="%1.%2.%3.%4.%5.%6"/>
      <w:lvlJc w:val="start"/>
      <w:pPr>
        <w:tabs>
          <w:tab w:val="num" w:pos="1152"/>
        </w:tabs>
        <w:ind w:start="1152" w:hanging="1152"/>
      </w:pPr>
      <w:rPr/>
    </w:lvl>
    <w:lvl w:ilvl="6">
      <w:start w:val="1"/>
      <w:numFmt w:val="decimal"/>
      <w:lvlText w:val="%1.%2.%3.%4.%5.%6.%7"/>
      <w:lvlJc w:val="start"/>
      <w:pPr>
        <w:tabs>
          <w:tab w:val="num" w:pos="1296"/>
        </w:tabs>
        <w:ind w:start="1296" w:hanging="1296"/>
      </w:pPr>
      <w:rPr/>
    </w:lvl>
    <w:lvl w:ilvl="7">
      <w:start w:val="1"/>
      <w:numFmt w:val="decimal"/>
      <w:lvlText w:val="%1.%2.%3.%4.%5.%6.%7.%8"/>
      <w:lvlJc w:val="start"/>
      <w:pPr>
        <w:tabs>
          <w:tab w:val="num" w:pos="1440"/>
        </w:tabs>
        <w:ind w:start="1440" w:hanging="1440"/>
      </w:pPr>
      <w:rPr/>
    </w:lvl>
    <w:lvl w:ilvl="8">
      <w:start w:val="1"/>
      <w:numFmt w:val="decimal"/>
      <w:lvlText w:val="%1.%2.%3.%4.%5.%6.%7.%8.%9"/>
      <w:lvlJc w:val="start"/>
      <w:pPr>
        <w:tabs>
          <w:tab w:val="num" w:pos="1584"/>
        </w:tabs>
        <w:ind w:start="1584" w:hanging="1584"/>
      </w:pPr>
      <w:rPr/>
    </w:lvl>
  </w:abstractNum>
  <w:abstractNum w:abstractNumId="4">
    <w:lvl w:ilvl="0">
      <w:start w:val="1"/>
      <w:numFmt w:val="decimal"/>
      <w:lvlText w:val="%1."/>
      <w:lvlJc w:val="start"/>
      <w:pPr>
        <w:tabs>
          <w:tab w:val="num" w:pos="283"/>
        </w:tabs>
        <w:ind w:start="283"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numFmt w:val="none"/>
      <w:suff w:val="nothing"/>
      <w:lvlText w:val=""/>
      <w:lvlJc w:val="start"/>
      <w:pPr>
        <w:tabs>
          <w:tab w:val="num" w:pos="0"/>
        </w:tabs>
        <w:ind w:start="1134" w:hanging="425"/>
      </w:pPr>
      <w:rPr/>
    </w:lvl>
    <w:lvl w:ilvl="1">
      <w:start w:val="0"/>
      <w:numFmt w:val="bullet"/>
      <w:lvlText w:val=""/>
      <w:lvlJc w:val="start"/>
      <w:pPr>
        <w:tabs>
          <w:tab w:val="num" w:pos="1363"/>
        </w:tabs>
        <w:ind w:start="1363" w:hanging="439"/>
      </w:pPr>
      <w:rPr>
        <w:rFonts w:ascii="Wingdings" w:hAnsi="Wingdings" w:cs="Wingdings" w:hint="default"/>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6">
    <w:lvl w:ilvl="0">
      <w:start w:val="1"/>
      <w:numFmt w:val="decimal"/>
      <w:lvlText w:val="%1."/>
      <w:lvlJc w:val="start"/>
      <w:pPr>
        <w:tabs>
          <w:tab w:val="num" w:pos="0"/>
        </w:tabs>
        <w:ind w:start="360" w:hanging="360"/>
      </w:pPr>
      <w:rPr>
        <w:b/>
        <w:bCs/>
        <w:i w:val="false"/>
        <w:iCs w:val="false"/>
        <w:sz w:val="24"/>
        <w:szCs w:val="24"/>
      </w:rPr>
    </w:lvl>
    <w:lvl w:ilvl="1">
      <w:start w:val="1"/>
      <w:numFmt w:val="decimal"/>
      <w:lvlText w:val="%1.%2."/>
      <w:lvlJc w:val="start"/>
      <w:pPr>
        <w:tabs>
          <w:tab w:val="num" w:pos="0"/>
        </w:tabs>
        <w:ind w:start="792" w:hanging="432"/>
      </w:pPr>
      <w:rPr>
        <w:b/>
        <w:bCs/>
        <w:i w:val="false"/>
        <w:iCs w:val="false"/>
        <w:caps/>
        <w:strike w:val="false"/>
        <w:dstrike w:val="false"/>
        <w:color w:val="auto"/>
        <w:spacing w:val="0"/>
        <w:w w:val="100"/>
        <w:kern w:val="0"/>
        <w:sz w:val="22"/>
        <w:szCs w:val="24"/>
        <w:u w:val="none"/>
        <w:effect w:val="none"/>
      </w:rPr>
    </w:lvl>
    <w:lvl w:ilvl="2">
      <w:start w:val="1"/>
      <w:numFmt w:val="decimal"/>
      <w:lvlText w:val="%1.%2.%3."/>
      <w:lvlJc w:val="start"/>
      <w:pPr>
        <w:tabs>
          <w:tab w:val="num" w:pos="0"/>
        </w:tabs>
        <w:ind w:start="1224" w:hanging="504"/>
      </w:pPr>
      <w:rPr>
        <w:b w:val="false"/>
        <w:bCs/>
        <w:i w:val="false"/>
        <w:iCs w:val="false"/>
        <w:sz w:val="22"/>
        <w:szCs w:val="22"/>
      </w:rPr>
    </w:lvl>
    <w:lvl w:ilvl="3">
      <w:start w:val="1"/>
      <w:numFmt w:val="decimal"/>
      <w:lvlText w:val="%1.%2.%3.%4."/>
      <w:lvlJc w:val="start"/>
      <w:pPr>
        <w:tabs>
          <w:tab w:val="num" w:pos="0"/>
        </w:tabs>
        <w:ind w:start="1728" w:hanging="648"/>
      </w:pPr>
      <w:rPr>
        <w:b w:val="false"/>
        <w:bCs/>
        <w:i w:val="false"/>
        <w:iCs w:val="false"/>
        <w:sz w:val="22"/>
        <w:szCs w:val="20"/>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7">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8">
    <w:lvl w:ilvl="0">
      <w:start w:val="1"/>
      <w:numFmt w:val="decimal"/>
      <w:lvlText w:val="%1."/>
      <w:lvlJc w:val="center"/>
      <w:pPr>
        <w:tabs>
          <w:tab w:val="num" w:pos="0"/>
        </w:tabs>
        <w:ind w:start="0" w:hanging="0"/>
      </w:pPr>
      <w:rPr>
        <w:rFonts w:cs="Times New Roman"/>
        <w:b/>
        <w:bCs/>
        <w:i w:val="false"/>
        <w:iCs w:val="false"/>
      </w:rPr>
    </w:lvl>
    <w:lvl w:ilvl="1">
      <w:start w:val="1"/>
      <w:numFmt w:val="decimal"/>
      <w:lvlText w:val="%1.%2"/>
      <w:lvlJc w:val="start"/>
      <w:pPr>
        <w:tabs>
          <w:tab w:val="num" w:pos="851"/>
        </w:tabs>
        <w:ind w:start="851" w:hanging="851"/>
      </w:pPr>
      <w:rPr>
        <w:rFonts w:cs="Times New Roman"/>
        <w:b w:val="false"/>
        <w:bCs w:val="false"/>
        <w:i w:val="false"/>
        <w:iCs w:val="false"/>
        <w:caps w:val="false"/>
        <w:smallCaps w:val="false"/>
        <w:strike w:val="false"/>
        <w:dstrike w:val="false"/>
        <w:vanish w:val="false"/>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start"/>
      <w:pPr>
        <w:tabs>
          <w:tab w:val="num" w:pos="851"/>
        </w:tabs>
        <w:ind w:start="851" w:hanging="851"/>
      </w:pPr>
      <w:rPr>
        <w:rFonts w:cs="Times New Roman"/>
        <w:b w:val="false"/>
        <w:bCs w:val="false"/>
        <w:i w:val="false"/>
        <w:iCs w:val="false"/>
      </w:rPr>
    </w:lvl>
    <w:lvl w:ilvl="3">
      <w:start w:val="1"/>
      <w:numFmt w:val="lowerLetter"/>
      <w:lvlText w:val="%4)"/>
      <w:lvlJc w:val="start"/>
      <w:pPr>
        <w:tabs>
          <w:tab w:val="num" w:pos="1418"/>
        </w:tabs>
        <w:ind w:start="1418" w:hanging="567"/>
      </w:pPr>
      <w:rPr>
        <w:rFonts w:cs="Times New Roman"/>
        <w:b w:val="false"/>
        <w:bCs w:val="false"/>
        <w:i w:val="false"/>
        <w:iCs w:val="false"/>
        <w:caps w:val="false"/>
        <w:smallCaps w:val="false"/>
        <w:strike w:val="false"/>
        <w:dstrike w:val="false"/>
        <w:vanish w:val="false"/>
        <w:color w:val="auto"/>
        <w:spacing w:val="0"/>
        <w:w w:val="100"/>
        <w:kern w:val="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start"/>
      <w:pPr>
        <w:tabs>
          <w:tab w:val="num" w:pos="1134"/>
        </w:tabs>
        <w:ind w:start="1134" w:hanging="567"/>
      </w:pPr>
      <w:rPr>
        <w:rFonts w:cs="Times New Roman"/>
      </w:rPr>
    </w:lvl>
    <w:lvl w:ilvl="5">
      <w:start w:val="1"/>
      <w:numFmt w:val="bullet"/>
      <w:lvlText w:val=""/>
      <w:lvlJc w:val="start"/>
      <w:pPr>
        <w:tabs>
          <w:tab w:val="num" w:pos="1701"/>
        </w:tabs>
        <w:ind w:start="1701" w:hanging="567"/>
      </w:pPr>
      <w:rPr>
        <w:rFonts w:ascii="Symbol" w:hAnsi="Symbol" w:cs="Symbol" w:hint="default"/>
      </w:rPr>
    </w:lvl>
    <w:lvl w:ilvl="6">
      <w:start w:val="1"/>
      <w:numFmt w:val="lowerLetter"/>
      <w:lvlText w:val="%5%6%7)"/>
      <w:lvlJc w:val="start"/>
      <w:pPr>
        <w:tabs>
          <w:tab w:val="num" w:pos="2268"/>
        </w:tabs>
        <w:ind w:start="2268" w:hanging="567"/>
      </w:pPr>
      <w:rPr>
        <w:rFonts w:cs="Times New Roman"/>
      </w:rPr>
    </w:lvl>
    <w:lvl w:ilvl="7">
      <w:start w:val="1"/>
      <w:numFmt w:val="decimal"/>
      <w:lvlText w:val="%1.%2.%3.%4.%5.%6.%7.%8."/>
      <w:lvlJc w:val="start"/>
      <w:pPr>
        <w:tabs>
          <w:tab w:val="num" w:pos="3978"/>
        </w:tabs>
        <w:ind w:start="2322" w:hanging="1224"/>
      </w:pPr>
      <w:rPr>
        <w:rFonts w:cs="Times New Roman"/>
      </w:rPr>
    </w:lvl>
    <w:lvl w:ilvl="8">
      <w:start w:val="1"/>
      <w:numFmt w:val="decimal"/>
      <w:lvlText w:val="%1.%2.%3.%4.%5.%6.%7.%8.%9."/>
      <w:lvlJc w:val="start"/>
      <w:pPr>
        <w:tabs>
          <w:tab w:val="num" w:pos="4698"/>
        </w:tabs>
        <w:ind w:start="2898" w:hanging="1440"/>
      </w:pPr>
      <w:rPr>
        <w:rFonts w:cs="Times New Roman"/>
      </w:rPr>
    </w:lvl>
  </w:abstractNum>
  <w:abstractNum w:abstractNumId="9">
    <w:lvl w:ilvl="0">
      <w:start w:val="1"/>
      <w:numFmt w:val="decimal"/>
      <w:suff w:val="space"/>
      <w:lvlText w:val="%1."/>
      <w:lvlJc w:val="start"/>
      <w:pPr>
        <w:tabs>
          <w:tab w:val="num" w:pos="0"/>
        </w:tabs>
        <w:ind w:start="1210" w:hanging="360"/>
      </w:pPr>
      <w:rPr/>
    </w:lvl>
    <w:lvl w:ilvl="1">
      <w:start w:val="1"/>
      <w:numFmt w:val="decimal"/>
      <w:suff w:val="space"/>
      <w:lvlText w:val="%1.%2."/>
      <w:lvlJc w:val="start"/>
      <w:pPr>
        <w:tabs>
          <w:tab w:val="num" w:pos="0"/>
        </w:tabs>
        <w:ind w:start="792" w:hanging="432"/>
      </w:pPr>
      <w:rPr/>
    </w:lvl>
    <w:lvl w:ilvl="2">
      <w:start w:val="1"/>
      <w:numFmt w:val="decimal"/>
      <w:suff w:val="space"/>
      <w:lvlText w:val="%1.%2.%3."/>
      <w:lvlJc w:val="start"/>
      <w:pPr>
        <w:tabs>
          <w:tab w:val="num" w:pos="0"/>
        </w:tabs>
        <w:ind w:start="1224" w:hanging="504"/>
      </w:pPr>
      <w:rPr/>
    </w:lvl>
    <w:lvl w:ilvl="3">
      <w:start w:val="1"/>
      <w:numFmt w:val="decimal"/>
      <w:suff w:val="space"/>
      <w:lvlText w:val="%1.%2.%3.%4."/>
      <w:lvlJc w:val="start"/>
      <w:pPr>
        <w:tabs>
          <w:tab w:val="num" w:pos="0"/>
        </w:tabs>
        <w:ind w:start="1728" w:hanging="648"/>
      </w:pPr>
      <w:rPr/>
    </w:lvl>
    <w:lvl w:ilvl="4">
      <w:start w:val="1"/>
      <w:numFmt w:val="decimal"/>
      <w:lvlText w:val="%1.%2.%3.%4.%5."/>
      <w:lvlJc w:val="start"/>
      <w:pPr>
        <w:tabs>
          <w:tab w:val="num" w:pos="3960"/>
        </w:tabs>
        <w:ind w:start="2232" w:hanging="792"/>
      </w:pPr>
      <w:rPr/>
    </w:lvl>
    <w:lvl w:ilvl="5">
      <w:start w:val="1"/>
      <w:numFmt w:val="decimal"/>
      <w:lvlText w:val="%1.%2.%3.%4.%5.%6."/>
      <w:lvlJc w:val="start"/>
      <w:pPr>
        <w:tabs>
          <w:tab w:val="num" w:pos="4680"/>
        </w:tabs>
        <w:ind w:start="2736" w:hanging="936"/>
      </w:pPr>
      <w:rPr/>
    </w:lvl>
    <w:lvl w:ilvl="6">
      <w:start w:val="1"/>
      <w:numFmt w:val="decimal"/>
      <w:lvlText w:val="%1.%2.%3.%4.%5.%6.%7."/>
      <w:lvlJc w:val="start"/>
      <w:pPr>
        <w:tabs>
          <w:tab w:val="num" w:pos="5400"/>
        </w:tabs>
        <w:ind w:start="3240" w:hanging="1080"/>
      </w:pPr>
      <w:rPr/>
    </w:lvl>
    <w:lvl w:ilvl="7">
      <w:start w:val="1"/>
      <w:numFmt w:val="decimal"/>
      <w:lvlText w:val="%1.%2.%3.%4.%5.%6.%7.%8."/>
      <w:lvlJc w:val="start"/>
      <w:pPr>
        <w:tabs>
          <w:tab w:val="num" w:pos="6480"/>
        </w:tabs>
        <w:ind w:start="3744" w:hanging="1224"/>
      </w:pPr>
      <w:rPr/>
    </w:lvl>
    <w:lvl w:ilvl="8">
      <w:start w:val="1"/>
      <w:numFmt w:val="decimal"/>
      <w:lvlText w:val="%1.%2.%3.%4.%5.%6.%7.%8.%9."/>
      <w:lvlJc w:val="start"/>
      <w:pPr>
        <w:tabs>
          <w:tab w:val="num" w:pos="7200"/>
        </w:tabs>
        <w:ind w:start="4320" w:hanging="1440"/>
      </w:pPr>
      <w:rPr/>
    </w:lvl>
  </w:abstractNum>
  <w:abstractNum w:abstractNumId="10">
    <w:lvl w:ilvl="0">
      <w:start w:val="4"/>
      <w:numFmt w:val="decimal"/>
      <w:lvlText w:val="%1."/>
      <w:lvlJc w:val="start"/>
      <w:pPr>
        <w:tabs>
          <w:tab w:val="num" w:pos="0"/>
        </w:tabs>
        <w:ind w:start="501" w:hanging="360"/>
      </w:pPr>
      <w:rPr/>
    </w:lvl>
    <w:lvl w:ilvl="1">
      <w:start w:val="1"/>
      <w:numFmt w:val="decimal"/>
      <w:lvlText w:val="%1.%2."/>
      <w:lvlJc w:val="start"/>
      <w:pPr>
        <w:tabs>
          <w:tab w:val="num" w:pos="0"/>
        </w:tabs>
        <w:ind w:start="360" w:hanging="360"/>
      </w:pPr>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11">
    <w:lvl w:ilvl="0">
      <w:start w:val="1"/>
      <w:numFmt w:val="decimal"/>
      <w:lvlText w:val="%1."/>
      <w:lvlJc w:val="start"/>
      <w:pPr>
        <w:tabs>
          <w:tab w:val="num" w:pos="0"/>
        </w:tabs>
        <w:ind w:start="767" w:hanging="57"/>
      </w:pPr>
      <w:rPr>
        <w:b/>
        <w:color w:val="auto"/>
      </w:rPr>
    </w:lvl>
    <w:lvl w:ilvl="1">
      <w:start w:val="1"/>
      <w:numFmt w:val="decimal"/>
      <w:suff w:val="space"/>
      <w:lvlText w:val="%1.%2."/>
      <w:lvlJc w:val="start"/>
      <w:pPr>
        <w:tabs>
          <w:tab w:val="num" w:pos="0"/>
        </w:tabs>
        <w:ind w:start="846" w:hanging="420"/>
      </w:pPr>
      <w:rPr>
        <w:rFonts w:ascii="Times New Roman" w:hAnsi="Times New Roman" w:cs="Times New Roman"/>
        <w:b/>
        <w:sz w:val="22"/>
        <w:szCs w:val="22"/>
      </w:rPr>
    </w:lvl>
    <w:lvl w:ilvl="2">
      <w:start w:val="1"/>
      <w:numFmt w:val="decimal"/>
      <w:suff w:val="space"/>
      <w:lvlText w:val="%1.%2.%3."/>
      <w:lvlJc w:val="start"/>
      <w:pPr>
        <w:tabs>
          <w:tab w:val="num" w:pos="0"/>
        </w:tabs>
        <w:ind w:start="1572" w:hanging="720"/>
      </w:pPr>
      <w:rPr>
        <w:rFonts w:ascii="Times New Roman" w:hAnsi="Times New Roman" w:cs="Times New Roman"/>
      </w:rPr>
    </w:lvl>
    <w:lvl w:ilvl="3">
      <w:start w:val="1"/>
      <w:numFmt w:val="decimal"/>
      <w:lvlText w:val="%1.%2.%3.%4."/>
      <w:lvlJc w:val="start"/>
      <w:pPr>
        <w:tabs>
          <w:tab w:val="num" w:pos="0"/>
        </w:tabs>
        <w:ind w:start="1998" w:hanging="720"/>
      </w:pPr>
      <w:rPr/>
    </w:lvl>
    <w:lvl w:ilvl="4">
      <w:start w:val="1"/>
      <w:numFmt w:val="decimal"/>
      <w:lvlText w:val="%1.%2.%3.%4.%5."/>
      <w:lvlJc w:val="start"/>
      <w:pPr>
        <w:tabs>
          <w:tab w:val="num" w:pos="0"/>
        </w:tabs>
        <w:ind w:start="2784" w:hanging="1080"/>
      </w:pPr>
      <w:rPr/>
    </w:lvl>
    <w:lvl w:ilvl="5">
      <w:start w:val="1"/>
      <w:numFmt w:val="decimal"/>
      <w:lvlText w:val="%1.%2.%3.%4.%5.%6."/>
      <w:lvlJc w:val="start"/>
      <w:pPr>
        <w:tabs>
          <w:tab w:val="num" w:pos="0"/>
        </w:tabs>
        <w:ind w:start="3210" w:hanging="1080"/>
      </w:pPr>
      <w:rPr/>
    </w:lvl>
    <w:lvl w:ilvl="6">
      <w:start w:val="1"/>
      <w:numFmt w:val="decimal"/>
      <w:lvlText w:val="%1.%2.%3.%4.%5.%6.%7."/>
      <w:lvlJc w:val="start"/>
      <w:pPr>
        <w:tabs>
          <w:tab w:val="num" w:pos="0"/>
        </w:tabs>
        <w:ind w:start="3996" w:hanging="1440"/>
      </w:pPr>
      <w:rPr/>
    </w:lvl>
    <w:lvl w:ilvl="7">
      <w:start w:val="1"/>
      <w:numFmt w:val="decimal"/>
      <w:lvlText w:val="%1.%2.%3.%4.%5.%6.%7.%8."/>
      <w:lvlJc w:val="start"/>
      <w:pPr>
        <w:tabs>
          <w:tab w:val="num" w:pos="0"/>
        </w:tabs>
        <w:ind w:start="4422" w:hanging="1440"/>
      </w:pPr>
      <w:rPr/>
    </w:lvl>
    <w:lvl w:ilvl="8">
      <w:start w:val="1"/>
      <w:numFmt w:val="decimal"/>
      <w:lvlText w:val="%1.%2.%3.%4.%5.%6.%7.%8.%9."/>
      <w:lvlJc w:val="start"/>
      <w:pPr>
        <w:tabs>
          <w:tab w:val="num" w:pos="0"/>
        </w:tabs>
        <w:ind w:start="5208" w:hanging="1800"/>
      </w:pPr>
      <w:rPr/>
    </w:lvl>
  </w:abstractNum>
  <w:abstractNum w:abstractNumId="1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3">
    <w:lvl w:ilvl="0">
      <w:start w:val="1"/>
      <w:numFmt w:val="bullet"/>
      <w:lvlText w:val="–"/>
      <w:lvlJc w:val="start"/>
      <w:pPr>
        <w:tabs>
          <w:tab w:val="num" w:pos="0"/>
        </w:tabs>
        <w:ind w:start="3479" w:hanging="360"/>
      </w:pPr>
      <w:rPr>
        <w:rFonts w:ascii="Times New Roman" w:hAnsi="Times New Roman" w:cs="Times New Roman" w:hint="default"/>
        <w:b w:val="false"/>
        <w:i w:val="false"/>
        <w:iCs w:val="false"/>
        <w:caps w:val="false"/>
        <w:smallCaps w:val="false"/>
        <w:strike w:val="false"/>
        <w:dstrike w:val="false"/>
        <w:outline w:val="false"/>
        <w:shadow w:val="false"/>
        <w:emboss w:val="false"/>
        <w:imprint w:val="false"/>
        <w:vanish w:val="false"/>
        <w:kern w:val="0"/>
        <w:position w:val="0"/>
        <w:sz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cntxtAlts/>
        </w14:cntxtAlts>
      </w:rPr>
    </w:lvl>
    <w:lvl w:ilvl="1">
      <w:start w:val="1"/>
      <w:numFmt w:val="bullet"/>
      <w:lvlText w:val=""/>
      <w:lvlJc w:val="start"/>
      <w:pPr>
        <w:tabs>
          <w:tab w:val="num" w:pos="0"/>
        </w:tabs>
        <w:ind w:start="1506" w:hanging="360"/>
      </w:pPr>
      <w:rPr>
        <w:rFonts w:ascii="Symbol" w:hAnsi="Symbol" w:cs="Symbol" w:hint="default"/>
      </w:rPr>
    </w:lvl>
    <w:lvl w:ilvl="2">
      <w:start w:val="1"/>
      <w:numFmt w:val="bullet"/>
      <w:lvlText w:val=""/>
      <w:lvlJc w:val="start"/>
      <w:pPr>
        <w:tabs>
          <w:tab w:val="num" w:pos="0"/>
        </w:tabs>
        <w:ind w:start="2226" w:hanging="360"/>
      </w:pPr>
      <w:rPr>
        <w:rFonts w:ascii="Wingdings" w:hAnsi="Wingdings" w:cs="Wingdings" w:hint="default"/>
      </w:rPr>
    </w:lvl>
    <w:lvl w:ilvl="3">
      <w:start w:val="1"/>
      <w:numFmt w:val="bullet"/>
      <w:lvlText w:val=""/>
      <w:lvlJc w:val="start"/>
      <w:pPr>
        <w:tabs>
          <w:tab w:val="num" w:pos="0"/>
        </w:tabs>
        <w:ind w:start="2946" w:hanging="360"/>
      </w:pPr>
      <w:rPr>
        <w:rFonts w:ascii="Symbol" w:hAnsi="Symbol" w:cs="Symbol" w:hint="default"/>
      </w:rPr>
    </w:lvl>
    <w:lvl w:ilvl="4">
      <w:start w:val="1"/>
      <w:numFmt w:val="bullet"/>
      <w:lvlText w:val="o"/>
      <w:lvlJc w:val="start"/>
      <w:pPr>
        <w:tabs>
          <w:tab w:val="num" w:pos="0"/>
        </w:tabs>
        <w:ind w:start="3666" w:hanging="360"/>
      </w:pPr>
      <w:rPr>
        <w:rFonts w:ascii="Courier New" w:hAnsi="Courier New" w:cs="Courier New" w:hint="default"/>
      </w:rPr>
    </w:lvl>
    <w:lvl w:ilvl="5">
      <w:start w:val="1"/>
      <w:numFmt w:val="bullet"/>
      <w:lvlText w:val=""/>
      <w:lvlJc w:val="start"/>
      <w:pPr>
        <w:tabs>
          <w:tab w:val="num" w:pos="0"/>
        </w:tabs>
        <w:ind w:start="4386" w:hanging="360"/>
      </w:pPr>
      <w:rPr>
        <w:rFonts w:ascii="Wingdings" w:hAnsi="Wingdings" w:cs="Wingdings" w:hint="default"/>
      </w:rPr>
    </w:lvl>
    <w:lvl w:ilvl="6">
      <w:start w:val="1"/>
      <w:numFmt w:val="bullet"/>
      <w:lvlText w:val=""/>
      <w:lvlJc w:val="start"/>
      <w:pPr>
        <w:tabs>
          <w:tab w:val="num" w:pos="0"/>
        </w:tabs>
        <w:ind w:start="5106" w:hanging="360"/>
      </w:pPr>
      <w:rPr>
        <w:rFonts w:ascii="Symbol" w:hAnsi="Symbol" w:cs="Symbol" w:hint="default"/>
      </w:rPr>
    </w:lvl>
    <w:lvl w:ilvl="7">
      <w:start w:val="1"/>
      <w:numFmt w:val="bullet"/>
      <w:lvlText w:val="o"/>
      <w:lvlJc w:val="start"/>
      <w:pPr>
        <w:tabs>
          <w:tab w:val="num" w:pos="0"/>
        </w:tabs>
        <w:ind w:start="5826" w:hanging="360"/>
      </w:pPr>
      <w:rPr>
        <w:rFonts w:ascii="Courier New" w:hAnsi="Courier New" w:cs="Courier New" w:hint="default"/>
      </w:rPr>
    </w:lvl>
    <w:lvl w:ilvl="8">
      <w:start w:val="1"/>
      <w:numFmt w:val="bullet"/>
      <w:lvlText w:val=""/>
      <w:lvlJc w:val="start"/>
      <w:pPr>
        <w:tabs>
          <w:tab w:val="num" w:pos="0"/>
        </w:tabs>
        <w:ind w:start="6546" w:hanging="360"/>
      </w:pPr>
      <w:rPr>
        <w:rFonts w:ascii="Wingdings" w:hAnsi="Wingdings" w:cs="Wingdings" w:hint="default"/>
      </w:rPr>
    </w:lvl>
  </w:abstractNum>
  <w:abstractNum w:abstractNumId="14">
    <w:lvl w:ilvl="0">
      <w:start w:val="1"/>
      <w:numFmt w:val="bullet"/>
      <w:lvlText w:val=""/>
      <w:lvlJc w:val="start"/>
      <w:pPr>
        <w:tabs>
          <w:tab w:val="num" w:pos="0"/>
        </w:tabs>
        <w:ind w:start="1077" w:hanging="226"/>
      </w:pPr>
      <w:rPr>
        <w:rFonts w:ascii="Symbol" w:hAnsi="Symbol" w:cs="Symbol" w:hint="default"/>
        <w:color w:val="auto"/>
      </w:rPr>
    </w:lvl>
    <w:lvl w:ilvl="1">
      <w:start w:val="1"/>
      <w:numFmt w:val="lowerLetter"/>
      <w:lvlText w:val="%2)"/>
      <w:lvlJc w:val="start"/>
      <w:pPr>
        <w:tabs>
          <w:tab w:val="num" w:pos="0"/>
        </w:tabs>
        <w:ind w:start="720" w:hanging="360"/>
      </w:pPr>
      <w:rPr/>
    </w:lvl>
    <w:lvl w:ilvl="2">
      <w:start w:val="1"/>
      <w:numFmt w:val="lowerRoman"/>
      <w:lvlText w:val="%3)"/>
      <w:lvlJc w:val="start"/>
      <w:pPr>
        <w:tabs>
          <w:tab w:val="num" w:pos="0"/>
        </w:tabs>
        <w:ind w:start="1080" w:hanging="360"/>
      </w:pPr>
      <w:rPr/>
    </w:lvl>
    <w:lvl w:ilvl="3">
      <w:start w:val="1"/>
      <w:numFmt w:val="decimal"/>
      <w:lvlText w:val="(%4)"/>
      <w:lvlJc w:val="start"/>
      <w:pPr>
        <w:tabs>
          <w:tab w:val="num" w:pos="0"/>
        </w:tabs>
        <w:ind w:start="1440" w:hanging="360"/>
      </w:pPr>
      <w:rPr/>
    </w:lvl>
    <w:lvl w:ilvl="4">
      <w:start w:val="1"/>
      <w:numFmt w:val="lowerLetter"/>
      <w:lvlText w:val="(%5)"/>
      <w:lvlJc w:val="start"/>
      <w:pPr>
        <w:tabs>
          <w:tab w:val="num" w:pos="0"/>
        </w:tabs>
        <w:ind w:start="1800" w:hanging="360"/>
      </w:pPr>
      <w:rPr/>
    </w:lvl>
    <w:lvl w:ilvl="5">
      <w:start w:val="1"/>
      <w:numFmt w:val="lowerRoman"/>
      <w:lvlText w:val="(%6)"/>
      <w:lvlJc w:val="start"/>
      <w:pPr>
        <w:tabs>
          <w:tab w:val="num" w:pos="0"/>
        </w:tabs>
        <w:ind w:start="2160" w:hanging="360"/>
      </w:pPr>
      <w:rPr/>
    </w:lvl>
    <w:lvl w:ilvl="6">
      <w:start w:val="1"/>
      <w:numFmt w:val="decimal"/>
      <w:lvlText w:val="%7."/>
      <w:lvlJc w:val="start"/>
      <w:pPr>
        <w:tabs>
          <w:tab w:val="num" w:pos="0"/>
        </w:tabs>
        <w:ind w:start="2520" w:hanging="360"/>
      </w:pPr>
      <w:rPr/>
    </w:lvl>
    <w:lvl w:ilvl="7">
      <w:start w:val="1"/>
      <w:numFmt w:val="lowerLetter"/>
      <w:lvlText w:val="%8."/>
      <w:lvlJc w:val="start"/>
      <w:pPr>
        <w:tabs>
          <w:tab w:val="num" w:pos="0"/>
        </w:tabs>
        <w:ind w:start="2880" w:hanging="360"/>
      </w:pPr>
      <w:rPr/>
    </w:lvl>
    <w:lvl w:ilvl="8">
      <w:start w:val="1"/>
      <w:numFmt w:val="lowerRoman"/>
      <w:lvlText w:val="%9."/>
      <w:lvlJc w:val="start"/>
      <w:pPr>
        <w:tabs>
          <w:tab w:val="num" w:pos="0"/>
        </w:tabs>
        <w:ind w:start="3240" w:hanging="360"/>
      </w:pPr>
      <w:rPr/>
    </w:lvl>
  </w:abstractNum>
  <w:abstractNum w:abstractNumId="15">
    <w:lvl w:ilvl="0">
      <w:start w:val="1"/>
      <w:numFmt w:val="decimal"/>
      <w:suff w:val="space"/>
      <w:lvlText w:val="%1"/>
      <w:lvlJc w:val="start"/>
      <w:pPr>
        <w:tabs>
          <w:tab w:val="num" w:pos="0"/>
        </w:tabs>
        <w:ind w:start="0" w:firstLine="851"/>
      </w:pPr>
      <w:rPr/>
    </w:lvl>
    <w:lvl w:ilvl="1">
      <w:start w:val="1"/>
      <w:numFmt w:val="decimal"/>
      <w:suff w:val="space"/>
      <w:lvlText w:val="%1.%2"/>
      <w:lvlJc w:val="start"/>
      <w:pPr>
        <w:tabs>
          <w:tab w:val="num" w:pos="0"/>
        </w:tabs>
        <w:ind w:start="0" w:firstLine="851"/>
      </w:pPr>
      <w:rPr/>
    </w:lvl>
    <w:lvl w:ilvl="2">
      <w:start w:val="1"/>
      <w:numFmt w:val="decimal"/>
      <w:suff w:val="space"/>
      <w:lvlText w:val="%1.%2.%3"/>
      <w:lvlJc w:val="start"/>
      <w:pPr>
        <w:tabs>
          <w:tab w:val="num" w:pos="0"/>
        </w:tabs>
        <w:ind w:start="0" w:firstLine="851"/>
      </w:pPr>
      <w:rPr/>
    </w:lvl>
    <w:lvl w:ilvl="3">
      <w:start w:val="1"/>
      <w:numFmt w:val="decimal"/>
      <w:suff w:val="space"/>
      <w:lvlText w:val="%1.%2.%3.%4"/>
      <w:lvlJc w:val="start"/>
      <w:pPr>
        <w:tabs>
          <w:tab w:val="num" w:pos="0"/>
        </w:tabs>
        <w:ind w:start="0" w:firstLine="851"/>
      </w:pPr>
      <w:rPr/>
    </w:lvl>
    <w:lvl w:ilvl="4">
      <w:start w:val="1"/>
      <w:numFmt w:val="lowerLetter"/>
      <w:lvlText w:val="(%5)"/>
      <w:lvlJc w:val="start"/>
      <w:pPr>
        <w:tabs>
          <w:tab w:val="num" w:pos="851"/>
        </w:tabs>
        <w:ind w:start="0" w:firstLine="851"/>
      </w:pPr>
      <w:rPr/>
    </w:lvl>
    <w:lvl w:ilvl="5">
      <w:start w:val="1"/>
      <w:numFmt w:val="lowerRoman"/>
      <w:lvlText w:val="(%6)"/>
      <w:lvlJc w:val="start"/>
      <w:pPr>
        <w:tabs>
          <w:tab w:val="num" w:pos="851"/>
        </w:tabs>
        <w:ind w:start="0" w:firstLine="851"/>
      </w:pPr>
      <w:rPr/>
    </w:lvl>
    <w:lvl w:ilvl="6">
      <w:start w:val="1"/>
      <w:numFmt w:val="decimal"/>
      <w:lvlText w:val="%7."/>
      <w:lvlJc w:val="start"/>
      <w:pPr>
        <w:tabs>
          <w:tab w:val="num" w:pos="851"/>
        </w:tabs>
        <w:ind w:start="0" w:firstLine="851"/>
      </w:pPr>
      <w:rPr/>
    </w:lvl>
    <w:lvl w:ilvl="7">
      <w:start w:val="1"/>
      <w:numFmt w:val="lowerLetter"/>
      <w:lvlText w:val="%8."/>
      <w:lvlJc w:val="start"/>
      <w:pPr>
        <w:tabs>
          <w:tab w:val="num" w:pos="851"/>
        </w:tabs>
        <w:ind w:start="0" w:firstLine="851"/>
      </w:pPr>
      <w:rPr/>
    </w:lvl>
    <w:lvl w:ilvl="8">
      <w:start w:val="1"/>
      <w:numFmt w:val="lowerRoman"/>
      <w:lvlText w:val="%9."/>
      <w:lvlJc w:val="start"/>
      <w:pPr>
        <w:tabs>
          <w:tab w:val="num" w:pos="851"/>
        </w:tabs>
        <w:ind w:start="0" w:firstLine="851"/>
      </w:pPr>
      <w:rPr/>
    </w:lvl>
  </w:abstractNum>
  <w:abstractNum w:abstractNumId="16">
    <w:lvl w:ilvl="0">
      <w:start w:val="1"/>
      <w:numFmt w:val="bullet"/>
      <w:lvlText w:val="o"/>
      <w:lvlJc w:val="start"/>
      <w:pPr>
        <w:tabs>
          <w:tab w:val="num" w:pos="0"/>
        </w:tabs>
        <w:ind w:start="1440" w:hanging="360"/>
      </w:pPr>
      <w:rPr>
        <w:rFonts w:ascii="Courier New" w:hAnsi="Courier New" w:cs="Courier New" w:hint="default"/>
      </w:rPr>
    </w:lvl>
    <w:lvl w:ilvl="1">
      <w:start w:val="1"/>
      <w:numFmt w:val="bullet"/>
      <w:lvlText w:val="o"/>
      <w:lvlJc w:val="start"/>
      <w:pPr>
        <w:tabs>
          <w:tab w:val="num" w:pos="0"/>
        </w:tabs>
        <w:ind w:start="2160" w:hanging="360"/>
      </w:pPr>
      <w:rPr>
        <w:rFonts w:ascii="Courier New" w:hAnsi="Courier New" w:cs="Courier New" w:hint="default"/>
      </w:rPr>
    </w:lvl>
    <w:lvl w:ilvl="2">
      <w:start w:val="1"/>
      <w:numFmt w:val="bullet"/>
      <w:lvlText w:val=""/>
      <w:lvlJc w:val="start"/>
      <w:pPr>
        <w:tabs>
          <w:tab w:val="num" w:pos="0"/>
        </w:tabs>
        <w:ind w:start="2880" w:hanging="360"/>
      </w:pPr>
      <w:rPr>
        <w:rFonts w:ascii="Wingdings" w:hAnsi="Wingdings" w:cs="Wingdings" w:hint="default"/>
      </w:rPr>
    </w:lvl>
    <w:lvl w:ilvl="3">
      <w:start w:val="1"/>
      <w:numFmt w:val="bullet"/>
      <w:lvlText w:val=""/>
      <w:lvlJc w:val="start"/>
      <w:pPr>
        <w:tabs>
          <w:tab w:val="num" w:pos="0"/>
        </w:tabs>
        <w:ind w:start="3600" w:hanging="360"/>
      </w:pPr>
      <w:rPr>
        <w:rFonts w:ascii="Symbol" w:hAnsi="Symbol" w:cs="Symbol" w:hint="default"/>
      </w:rPr>
    </w:lvl>
    <w:lvl w:ilvl="4">
      <w:start w:val="1"/>
      <w:numFmt w:val="bullet"/>
      <w:lvlText w:val="o"/>
      <w:lvlJc w:val="start"/>
      <w:pPr>
        <w:tabs>
          <w:tab w:val="num" w:pos="0"/>
        </w:tabs>
        <w:ind w:start="4320" w:hanging="360"/>
      </w:pPr>
      <w:rPr>
        <w:rFonts w:ascii="Courier New" w:hAnsi="Courier New" w:cs="Courier New" w:hint="default"/>
      </w:rPr>
    </w:lvl>
    <w:lvl w:ilvl="5">
      <w:start w:val="1"/>
      <w:numFmt w:val="bullet"/>
      <w:lvlText w:val=""/>
      <w:lvlJc w:val="start"/>
      <w:pPr>
        <w:tabs>
          <w:tab w:val="num" w:pos="0"/>
        </w:tabs>
        <w:ind w:start="5040" w:hanging="360"/>
      </w:pPr>
      <w:rPr>
        <w:rFonts w:ascii="Wingdings" w:hAnsi="Wingdings" w:cs="Wingdings" w:hint="default"/>
      </w:rPr>
    </w:lvl>
    <w:lvl w:ilvl="6">
      <w:start w:val="1"/>
      <w:numFmt w:val="bullet"/>
      <w:lvlText w:val=""/>
      <w:lvlJc w:val="start"/>
      <w:pPr>
        <w:tabs>
          <w:tab w:val="num" w:pos="0"/>
        </w:tabs>
        <w:ind w:start="5760" w:hanging="360"/>
      </w:pPr>
      <w:rPr>
        <w:rFonts w:ascii="Symbol" w:hAnsi="Symbol" w:cs="Symbol" w:hint="default"/>
      </w:rPr>
    </w:lvl>
    <w:lvl w:ilvl="7">
      <w:start w:val="1"/>
      <w:numFmt w:val="bullet"/>
      <w:lvlText w:val="o"/>
      <w:lvlJc w:val="start"/>
      <w:pPr>
        <w:tabs>
          <w:tab w:val="num" w:pos="0"/>
        </w:tabs>
        <w:ind w:start="6480" w:hanging="360"/>
      </w:pPr>
      <w:rPr>
        <w:rFonts w:ascii="Courier New" w:hAnsi="Courier New" w:cs="Courier New" w:hint="default"/>
      </w:rPr>
    </w:lvl>
    <w:lvl w:ilvl="8">
      <w:start w:val="1"/>
      <w:numFmt w:val="bullet"/>
      <w:lvlText w:val=""/>
      <w:lvlJc w:val="start"/>
      <w:pPr>
        <w:tabs>
          <w:tab w:val="num" w:pos="0"/>
        </w:tabs>
        <w:ind w:start="7200" w:hanging="360"/>
      </w:pPr>
      <w:rPr>
        <w:rFonts w:ascii="Wingdings" w:hAnsi="Wingdings" w:cs="Wingdings" w:hint="default"/>
      </w:rPr>
    </w:lvl>
  </w:abstractNum>
  <w:abstractNum w:abstractNumId="17">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uiPriority="0" w:semiHidden="1" w:unhideWhenUsed="1" w:qFormat="1"/>
    <w:lsdException w:name="heading 4" w:uiPriority="9"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uiPriority="0"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qFormat="1"/>
    <w:lsdException w:name="HTML Acronym" w:semiHidden="1" w:unhideWhenUsed="1"/>
    <w:lsdException w:name="HTML Address" w:uiPriority="0"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customStyle="1">
    <w:name w:val="Normal"/>
    <w:uiPriority w:val="99"/>
    <w:qFormat/>
    <w:rsid w:val="004253c6"/>
    <w:pPr>
      <w:widowControl/>
      <w:tabs>
        <w:tab w:val="clear" w:pos="708"/>
        <w:tab w:val="left" w:pos="709" w:leader="none"/>
      </w:tabs>
      <w:suppressAutoHyphens w:val="true"/>
      <w:bidi w:val="0"/>
      <w:spacing w:lineRule="atLeast" w:line="200" w:before="0" w:after="0"/>
      <w:jc w:val="start"/>
    </w:pPr>
    <w:rPr>
      <w:rFonts w:ascii="Times New Roman" w:hAnsi="Times New Roman" w:eastAsia="Times New Roman" w:cs="Times New Roman"/>
      <w:color w:val="00000A"/>
      <w:kern w:val="0"/>
      <w:sz w:val="24"/>
      <w:szCs w:val="24"/>
      <w:lang w:val="ru-RU" w:eastAsia="ru-RU" w:bidi="ar-SA"/>
    </w:rPr>
  </w:style>
  <w:style w:type="paragraph" w:styleId="Heading1">
    <w:name w:val="heading 1"/>
    <w:basedOn w:val="Normal"/>
    <w:next w:val="Normal"/>
    <w:link w:val="1"/>
    <w:qFormat/>
    <w:rsid w:val="00a34b3e"/>
    <w:pPr>
      <w:keepNext w:val="true"/>
      <w:keepLines/>
      <w:spacing w:before="480" w:after="0"/>
      <w:jc w:val="both"/>
      <w:outlineLvl w:val="0"/>
    </w:pPr>
    <w:rPr>
      <w:rFonts w:ascii="Cambria" w:hAnsi="Cambria"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2"/>
    <w:uiPriority w:val="99"/>
    <w:unhideWhenUsed/>
    <w:qFormat/>
    <w:rsid w:val="00a34b3e"/>
    <w:pPr>
      <w:keepNext w:val="true"/>
      <w:keepLines/>
      <w:spacing w:before="200" w:after="0"/>
      <w:jc w:val="center"/>
      <w:outlineLvl w:val="1"/>
    </w:pPr>
    <w:rPr>
      <w:rFonts w:eastAsia="" w:cs="" w:cstheme="majorBidi" w:eastAsiaTheme="majorEastAsia"/>
      <w:b/>
      <w:bCs/>
      <w:sz w:val="28"/>
      <w:szCs w:val="26"/>
    </w:rPr>
  </w:style>
  <w:style w:type="paragraph" w:styleId="Heading3">
    <w:name w:val="heading 3"/>
    <w:basedOn w:val="Normal"/>
    <w:next w:val="Normal"/>
    <w:link w:val="31"/>
    <w:unhideWhenUsed/>
    <w:qFormat/>
    <w:rsid w:val="00c42279"/>
    <w:pPr>
      <w:keepNext w:val="true"/>
      <w:keepLines/>
      <w:spacing w:before="200" w:after="0"/>
      <w:outlineLvl w:val="2"/>
    </w:pPr>
    <w:rPr>
      <w:rFonts w:ascii="Cambria" w:hAnsi="Cambria" w:eastAsia="" w:cs="" w:asciiTheme="majorHAnsi" w:cstheme="majorBidi" w:eastAsiaTheme="majorEastAsia" w:hAnsiTheme="majorHAnsi"/>
      <w:b/>
      <w:bCs/>
      <w:color w:themeColor="accent1" w:val="4F81BD"/>
    </w:rPr>
  </w:style>
  <w:style w:type="paragraph" w:styleId="Heading4">
    <w:name w:val="heading 4"/>
    <w:basedOn w:val="Normal"/>
    <w:next w:val="Normal"/>
    <w:link w:val="4"/>
    <w:uiPriority w:val="9"/>
    <w:unhideWhenUsed/>
    <w:qFormat/>
    <w:rsid w:val="000642e5"/>
    <w:pPr>
      <w:keepNext w:val="true"/>
      <w:tabs>
        <w:tab w:val="clear" w:pos="709"/>
        <w:tab w:val="left" w:pos="864" w:leader="none"/>
      </w:tabs>
      <w:suppressAutoHyphens w:val="true"/>
      <w:spacing w:before="240" w:after="60"/>
      <w:ind w:hanging="864" w:start="864"/>
      <w:outlineLvl w:val="3"/>
    </w:pPr>
    <w:rPr>
      <w:b/>
      <w:bCs/>
      <w:sz w:val="28"/>
      <w:szCs w:val="28"/>
      <w:lang w:val="en-US" w:eastAsia="ar-SA"/>
    </w:rPr>
  </w:style>
  <w:style w:type="paragraph" w:styleId="Heading5">
    <w:name w:val="heading 5"/>
    <w:basedOn w:val="Normal"/>
    <w:next w:val="Normal"/>
    <w:link w:val="5"/>
    <w:unhideWhenUsed/>
    <w:qFormat/>
    <w:rsid w:val="000642e5"/>
    <w:pPr>
      <w:tabs>
        <w:tab w:val="clear" w:pos="709"/>
        <w:tab w:val="left" w:pos="1368" w:leader="none"/>
      </w:tabs>
      <w:suppressAutoHyphens w:val="true"/>
      <w:spacing w:before="240" w:after="60"/>
      <w:ind w:hanging="1008" w:start="1368"/>
      <w:outlineLvl w:val="4"/>
    </w:pPr>
    <w:rPr>
      <w:b/>
      <w:bCs/>
      <w:i/>
      <w:iCs/>
      <w:sz w:val="26"/>
      <w:szCs w:val="26"/>
      <w:lang w:val="en-US" w:eastAsia="ar-SA"/>
    </w:rPr>
  </w:style>
  <w:style w:type="paragraph" w:styleId="Heading6">
    <w:name w:val="heading 6"/>
    <w:basedOn w:val="Normal"/>
    <w:next w:val="Normal"/>
    <w:link w:val="6"/>
    <w:unhideWhenUsed/>
    <w:qFormat/>
    <w:rsid w:val="000642e5"/>
    <w:pPr>
      <w:tabs>
        <w:tab w:val="clear" w:pos="709"/>
        <w:tab w:val="left" w:pos="1152" w:leader="none"/>
      </w:tabs>
      <w:suppressAutoHyphens w:val="true"/>
      <w:spacing w:before="240" w:after="60"/>
      <w:ind w:hanging="1152" w:start="1152"/>
      <w:outlineLvl w:val="5"/>
    </w:pPr>
    <w:rPr>
      <w:b/>
      <w:bCs/>
      <w:lang w:val="en-US" w:eastAsia="ar-SA"/>
    </w:rPr>
  </w:style>
  <w:style w:type="paragraph" w:styleId="Heading7">
    <w:name w:val="heading 7"/>
    <w:basedOn w:val="Normal"/>
    <w:next w:val="Normal"/>
    <w:link w:val="7"/>
    <w:unhideWhenUsed/>
    <w:qFormat/>
    <w:rsid w:val="000642e5"/>
    <w:pPr>
      <w:tabs>
        <w:tab w:val="clear" w:pos="709"/>
        <w:tab w:val="left" w:pos="1296" w:leader="none"/>
      </w:tabs>
      <w:suppressAutoHyphens w:val="true"/>
      <w:spacing w:before="240" w:after="60"/>
      <w:ind w:hanging="1296" w:start="1296"/>
      <w:outlineLvl w:val="6"/>
    </w:pPr>
    <w:rPr>
      <w:lang w:val="en-US" w:eastAsia="ar-SA"/>
    </w:rPr>
  </w:style>
  <w:style w:type="paragraph" w:styleId="Heading8">
    <w:name w:val="heading 8"/>
    <w:basedOn w:val="Normal"/>
    <w:next w:val="Normal"/>
    <w:link w:val="8"/>
    <w:unhideWhenUsed/>
    <w:qFormat/>
    <w:rsid w:val="000642e5"/>
    <w:pPr>
      <w:tabs>
        <w:tab w:val="clear" w:pos="709"/>
        <w:tab w:val="left" w:pos="3960" w:leader="none"/>
      </w:tabs>
      <w:suppressAutoHyphens w:val="true"/>
      <w:spacing w:before="240" w:after="60"/>
      <w:ind w:hanging="1440" w:start="3960"/>
      <w:outlineLvl w:val="7"/>
    </w:pPr>
    <w:rPr>
      <w:i/>
      <w:iCs/>
      <w:lang w:val="en-US" w:eastAsia="ar-SA"/>
    </w:rPr>
  </w:style>
  <w:style w:type="paragraph" w:styleId="Heading9">
    <w:name w:val="heading 9"/>
    <w:basedOn w:val="Normal"/>
    <w:next w:val="Normal"/>
    <w:link w:val="9"/>
    <w:unhideWhenUsed/>
    <w:qFormat/>
    <w:rsid w:val="000642e5"/>
    <w:pPr>
      <w:tabs>
        <w:tab w:val="clear" w:pos="709"/>
        <w:tab w:val="left" w:pos="1584" w:leader="none"/>
      </w:tabs>
      <w:suppressAutoHyphens w:val="true"/>
      <w:spacing w:before="240" w:after="60"/>
      <w:ind w:hanging="1584" w:start="1584"/>
      <w:outlineLvl w:val="8"/>
    </w:pPr>
    <w:rPr>
      <w:rFonts w:ascii="Arial" w:hAnsi="Arial"/>
      <w:lang w:val="en-US" w:eastAsia="ar-SA"/>
    </w:rPr>
  </w:style>
  <w:style w:type="character" w:styleId="DefaultParagraphFont" w:default="1">
    <w:name w:val="Default Paragraph Font"/>
    <w:uiPriority w:val="1"/>
    <w:semiHidden/>
    <w:unhideWhenUsed/>
    <w:qFormat/>
    <w:rPr/>
  </w:style>
  <w:style w:type="character" w:styleId="Style5" w:customStyle="1">
    <w:name w:val="Текст выноски Знак"/>
    <w:basedOn w:val="DefaultParagraphFont"/>
    <w:link w:val="BalloonText"/>
    <w:uiPriority w:val="99"/>
    <w:semiHidden/>
    <w:qFormat/>
    <w:rsid w:val="003a095b"/>
    <w:rPr>
      <w:rFonts w:ascii="Tahoma" w:hAnsi="Tahoma" w:cs="Tahoma"/>
      <w:sz w:val="16"/>
      <w:szCs w:val="16"/>
    </w:rPr>
  </w:style>
  <w:style w:type="character" w:styleId="1" w:customStyle="1">
    <w:name w:val="Заголовок 1 Знак"/>
    <w:basedOn w:val="DefaultParagraphFont"/>
    <w:qFormat/>
    <w:rsid w:val="00a34b3e"/>
    <w:rPr>
      <w:rFonts w:ascii="Cambria" w:hAnsi="Cambria" w:eastAsia="" w:cs="" w:asciiTheme="majorHAnsi" w:cstheme="majorBidi" w:eastAsiaTheme="majorEastAsia" w:hAnsiTheme="majorHAnsi"/>
      <w:b/>
      <w:bCs/>
      <w:color w:themeColor="accent1" w:themeShade="bf" w:val="365F91"/>
      <w:sz w:val="28"/>
      <w:szCs w:val="28"/>
    </w:rPr>
  </w:style>
  <w:style w:type="character" w:styleId="2" w:customStyle="1">
    <w:name w:val="Заголовок 2 Знак"/>
    <w:basedOn w:val="DefaultParagraphFont"/>
    <w:uiPriority w:val="99"/>
    <w:qFormat/>
    <w:rsid w:val="00a34b3e"/>
    <w:rPr>
      <w:rFonts w:ascii="Times New Roman" w:hAnsi="Times New Roman" w:eastAsia="" w:cs="" w:cstheme="majorBidi" w:eastAsiaTheme="majorEastAsia"/>
      <w:b/>
      <w:bCs/>
      <w:sz w:val="28"/>
      <w:szCs w:val="26"/>
      <w:lang w:eastAsia="ru-RU"/>
    </w:rPr>
  </w:style>
  <w:style w:type="character" w:styleId="Hyperlink" w:customStyle="1">
    <w:name w:val="Hyperlink"/>
    <w:basedOn w:val="DefaultParagraphFont"/>
    <w:uiPriority w:val="99"/>
    <w:unhideWhenUsed/>
    <w:qFormat/>
    <w:rsid w:val="00355b45"/>
    <w:rPr>
      <w:color w:themeColor="hyperlink" w:val="0000FF"/>
      <w:u w:val="single"/>
    </w:rPr>
  </w:style>
  <w:style w:type="character" w:styleId="Style6" w:customStyle="1">
    <w:name w:val="Нижний колонтитул Знак"/>
    <w:basedOn w:val="DefaultParagraphFont"/>
    <w:uiPriority w:val="99"/>
    <w:qFormat/>
    <w:rsid w:val="005f797c"/>
    <w:rPr/>
  </w:style>
  <w:style w:type="character" w:styleId="ConsNormal" w:customStyle="1">
    <w:name w:val="ConsNormal Знак"/>
    <w:basedOn w:val="DefaultParagraphFont"/>
    <w:link w:val="ConsNormal1"/>
    <w:uiPriority w:val="99"/>
    <w:qFormat/>
    <w:locked/>
    <w:rsid w:val="005f797c"/>
    <w:rPr>
      <w:rFonts w:ascii="Arial" w:hAnsi="Arial" w:eastAsia="Times New Roman" w:cs="Arial"/>
      <w:sz w:val="20"/>
      <w:szCs w:val="20"/>
      <w:lang w:eastAsia="ru-RU"/>
    </w:rPr>
  </w:style>
  <w:style w:type="character" w:styleId="3" w:customStyle="1">
    <w:name w:val="Основной текст 3 Знак"/>
    <w:basedOn w:val="DefaultParagraphFont"/>
    <w:link w:val="BodyText3"/>
    <w:uiPriority w:val="99"/>
    <w:qFormat/>
    <w:rsid w:val="0088538e"/>
    <w:rPr>
      <w:rFonts w:ascii="Times New Roman" w:hAnsi="Times New Roman" w:eastAsia="Calibri" w:cs="Times New Roman"/>
      <w:sz w:val="16"/>
      <w:szCs w:val="16"/>
      <w:lang w:eastAsia="ru-RU"/>
    </w:rPr>
  </w:style>
  <w:style w:type="character" w:styleId="Style7" w:customStyle="1">
    <w:name w:val="Основной текст с отступом Знак"/>
    <w:basedOn w:val="DefaultParagraphFont"/>
    <w:qFormat/>
    <w:rsid w:val="009e286f"/>
    <w:rPr/>
  </w:style>
  <w:style w:type="character" w:styleId="21" w:customStyle="1">
    <w:name w:val="Основной текст с отступом 2 Знак"/>
    <w:basedOn w:val="DefaultParagraphFont"/>
    <w:link w:val="BodyTextIndent2"/>
    <w:uiPriority w:val="99"/>
    <w:semiHidden/>
    <w:qFormat/>
    <w:rsid w:val="00be73b5"/>
    <w:rPr/>
  </w:style>
  <w:style w:type="character" w:styleId="Style8" w:customStyle="1">
    <w:name w:val="Текст сноски Знак"/>
    <w:basedOn w:val="DefaultParagraphFont"/>
    <w:qFormat/>
    <w:rsid w:val="00a8577b"/>
    <w:rPr>
      <w:rFonts w:ascii="Times New Roman" w:hAnsi="Times New Roman" w:eastAsia="Times New Roman" w:cs="Times New Roman"/>
      <w:sz w:val="20"/>
      <w:szCs w:val="20"/>
      <w:lang w:eastAsia="ru-RU"/>
    </w:rPr>
  </w:style>
  <w:style w:type="character" w:styleId="user">
    <w:name w:val="Символ сноски (user)"/>
    <w:uiPriority w:val="99"/>
    <w:unhideWhenUsed/>
    <w:qFormat/>
    <w:rsid w:val="00a8577b"/>
    <w:rPr>
      <w:vertAlign w:val="superscript"/>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31" w:customStyle="1">
    <w:name w:val="Заголовок 3 Знак"/>
    <w:basedOn w:val="DefaultParagraphFont"/>
    <w:qFormat/>
    <w:rsid w:val="00c42279"/>
    <w:rPr>
      <w:rFonts w:ascii="Cambria" w:hAnsi="Cambria" w:eastAsia="" w:cs="" w:asciiTheme="majorHAnsi" w:cstheme="majorBidi" w:eastAsiaTheme="majorEastAsia" w:hAnsiTheme="majorHAnsi"/>
      <w:b/>
      <w:bCs/>
      <w:color w:themeColor="accent1" w:val="4F81BD"/>
    </w:rPr>
  </w:style>
  <w:style w:type="character" w:styleId="Style10" w:customStyle="1">
    <w:name w:val="Верхний колонтитул Знак"/>
    <w:basedOn w:val="DefaultParagraphFont"/>
    <w:uiPriority w:val="99"/>
    <w:qFormat/>
    <w:rsid w:val="00f00394"/>
    <w:rPr/>
  </w:style>
  <w:style w:type="character" w:styleId="Style11" w:customStyle="1">
    <w:name w:val="Основной текст Знак"/>
    <w:basedOn w:val="DefaultParagraphFont"/>
    <w:uiPriority w:val="99"/>
    <w:qFormat/>
    <w:rsid w:val="00c31667"/>
    <w:rPr/>
  </w:style>
  <w:style w:type="character" w:styleId="FollowedHyperlink">
    <w:name w:val="FollowedHyperlink"/>
    <w:basedOn w:val="DefaultParagraphFont"/>
    <w:uiPriority w:val="99"/>
    <w:semiHidden/>
    <w:unhideWhenUsed/>
    <w:rsid w:val="00c31667"/>
    <w:rPr>
      <w:color w:themeColor="followedHyperlink" w:val="800080"/>
      <w:u w:val="single"/>
    </w:rPr>
  </w:style>
  <w:style w:type="character" w:styleId="HTML" w:customStyle="1">
    <w:name w:val="Стандартный HTML Знак"/>
    <w:basedOn w:val="DefaultParagraphFont"/>
    <w:link w:val="HTMLPreformatted"/>
    <w:qFormat/>
    <w:rsid w:val="00c31667"/>
    <w:rPr>
      <w:rFonts w:ascii="Courier New" w:hAnsi="Courier New" w:eastAsia="Times New Roman" w:cs="Courier New"/>
      <w:color w:val="000000"/>
      <w:sz w:val="20"/>
      <w:szCs w:val="20"/>
      <w:lang w:eastAsia="ru-RU"/>
    </w:rPr>
  </w:style>
  <w:style w:type="character" w:styleId="PageNumber">
    <w:name w:val="page number"/>
    <w:uiPriority w:val="99"/>
    <w:semiHidden/>
    <w:unhideWhenUsed/>
    <w:rsid w:val="00c31667"/>
    <w:rPr>
      <w:rFonts w:ascii="Times New Roman" w:hAnsi="Times New Roman" w:cs="Times New Roman"/>
    </w:rPr>
  </w:style>
  <w:style w:type="character" w:styleId="4" w:customStyle="1">
    <w:name w:val="Заголовок 4 Знак"/>
    <w:basedOn w:val="DefaultParagraphFont"/>
    <w:uiPriority w:val="9"/>
    <w:qFormat/>
    <w:rsid w:val="000642e5"/>
    <w:rPr>
      <w:rFonts w:ascii="Times New Roman" w:hAnsi="Times New Roman" w:eastAsia="Times New Roman" w:cs="Times New Roman"/>
      <w:b/>
      <w:bCs/>
      <w:sz w:val="28"/>
      <w:szCs w:val="28"/>
      <w:lang w:val="en-US" w:eastAsia="ar-SA"/>
    </w:rPr>
  </w:style>
  <w:style w:type="character" w:styleId="5" w:customStyle="1">
    <w:name w:val="Заголовок 5 Знак"/>
    <w:basedOn w:val="DefaultParagraphFont"/>
    <w:qFormat/>
    <w:rsid w:val="000642e5"/>
    <w:rPr>
      <w:rFonts w:ascii="Times New Roman" w:hAnsi="Times New Roman" w:eastAsia="Times New Roman" w:cs="Times New Roman"/>
      <w:b/>
      <w:bCs/>
      <w:i/>
      <w:iCs/>
      <w:sz w:val="26"/>
      <w:szCs w:val="26"/>
      <w:lang w:val="en-US" w:eastAsia="ar-SA"/>
    </w:rPr>
  </w:style>
  <w:style w:type="character" w:styleId="6" w:customStyle="1">
    <w:name w:val="Заголовок 6 Знак"/>
    <w:basedOn w:val="DefaultParagraphFont"/>
    <w:qFormat/>
    <w:rsid w:val="000642e5"/>
    <w:rPr>
      <w:rFonts w:ascii="Times New Roman" w:hAnsi="Times New Roman" w:eastAsia="Times New Roman" w:cs="Times New Roman"/>
      <w:b/>
      <w:bCs/>
      <w:lang w:val="en-US" w:eastAsia="ar-SA"/>
    </w:rPr>
  </w:style>
  <w:style w:type="character" w:styleId="7" w:customStyle="1">
    <w:name w:val="Заголовок 7 Знак"/>
    <w:basedOn w:val="DefaultParagraphFont"/>
    <w:qFormat/>
    <w:rsid w:val="000642e5"/>
    <w:rPr>
      <w:rFonts w:ascii="Times New Roman" w:hAnsi="Times New Roman" w:eastAsia="Times New Roman" w:cs="Times New Roman"/>
      <w:sz w:val="24"/>
      <w:szCs w:val="24"/>
      <w:lang w:val="en-US" w:eastAsia="ar-SA"/>
    </w:rPr>
  </w:style>
  <w:style w:type="character" w:styleId="8" w:customStyle="1">
    <w:name w:val="Заголовок 8 Знак"/>
    <w:basedOn w:val="DefaultParagraphFont"/>
    <w:qFormat/>
    <w:rsid w:val="000642e5"/>
    <w:rPr>
      <w:rFonts w:ascii="Times New Roman" w:hAnsi="Times New Roman" w:eastAsia="Times New Roman" w:cs="Times New Roman"/>
      <w:i/>
      <w:iCs/>
      <w:sz w:val="24"/>
      <w:szCs w:val="24"/>
      <w:lang w:val="en-US" w:eastAsia="ar-SA"/>
    </w:rPr>
  </w:style>
  <w:style w:type="character" w:styleId="9" w:customStyle="1">
    <w:name w:val="Заголовок 9 Знак"/>
    <w:basedOn w:val="DefaultParagraphFont"/>
    <w:qFormat/>
    <w:rsid w:val="000642e5"/>
    <w:rPr>
      <w:rFonts w:ascii="Arial" w:hAnsi="Arial" w:eastAsia="Times New Roman" w:cs="Times New Roman"/>
      <w:lang w:val="en-US" w:eastAsia="ar-SA"/>
    </w:rPr>
  </w:style>
  <w:style w:type="character" w:styleId="211" w:customStyle="1">
    <w:name w:val="Заголовок 2 Знак1"/>
    <w:basedOn w:val="DefaultParagraphFont"/>
    <w:uiPriority w:val="99"/>
    <w:semiHidden/>
    <w:qFormat/>
    <w:rsid w:val="000642e5"/>
    <w:rPr>
      <w:rFonts w:ascii="Cambria" w:hAnsi="Cambria" w:eastAsia="" w:cs="" w:asciiTheme="majorHAnsi" w:cstheme="majorBidi" w:eastAsiaTheme="majorEastAsia" w:hAnsiTheme="majorHAnsi"/>
      <w:b/>
      <w:bCs/>
      <w:color w:themeColor="accent1" w:val="4F81BD"/>
      <w:sz w:val="26"/>
      <w:szCs w:val="26"/>
    </w:rPr>
  </w:style>
  <w:style w:type="character" w:styleId="Style12" w:customStyle="1">
    <w:name w:val="Текст примечания Знак"/>
    <w:basedOn w:val="DefaultParagraphFont"/>
    <w:uiPriority w:val="99"/>
    <w:qFormat/>
    <w:rsid w:val="000642e5"/>
    <w:rPr>
      <w:sz w:val="20"/>
      <w:szCs w:val="20"/>
    </w:rPr>
  </w:style>
  <w:style w:type="character" w:styleId="Style13" w:customStyle="1">
    <w:name w:val="Текст концевой сноски Знак"/>
    <w:basedOn w:val="DefaultParagraphFont"/>
    <w:uiPriority w:val="99"/>
    <w:semiHidden/>
    <w:qFormat/>
    <w:rsid w:val="000642e5"/>
    <w:rPr>
      <w:rFonts w:ascii="Times New Roman" w:hAnsi="Times New Roman" w:eastAsia="Times New Roman" w:cs="Times New Roman"/>
      <w:sz w:val="20"/>
      <w:szCs w:val="20"/>
    </w:rPr>
  </w:style>
  <w:style w:type="character" w:styleId="Style14" w:customStyle="1">
    <w:name w:val="Заголовок Знак"/>
    <w:basedOn w:val="DefaultParagraphFont"/>
    <w:uiPriority w:val="99"/>
    <w:qFormat/>
    <w:rsid w:val="000642e5"/>
    <w:rPr>
      <w:rFonts w:ascii="Times New Roman" w:hAnsi="Times New Roman" w:eastAsia="Times New Roman" w:cs="Times New Roman"/>
      <w:sz w:val="28"/>
      <w:szCs w:val="20"/>
    </w:rPr>
  </w:style>
  <w:style w:type="character" w:styleId="11" w:customStyle="1">
    <w:name w:val="Основной текст с отступом Знак1"/>
    <w:basedOn w:val="DefaultParagraphFont"/>
    <w:uiPriority w:val="99"/>
    <w:semiHidden/>
    <w:qFormat/>
    <w:rsid w:val="000642e5"/>
    <w:rPr>
      <w:rFonts w:ascii="Times New Roman" w:hAnsi="Times New Roman" w:eastAsia="Times New Roman" w:cs="Times New Roman"/>
      <w:sz w:val="24"/>
      <w:szCs w:val="24"/>
      <w:lang w:eastAsia="ru-RU"/>
    </w:rPr>
  </w:style>
  <w:style w:type="character" w:styleId="Style15" w:customStyle="1">
    <w:name w:val="Подзаголовок Знак"/>
    <w:basedOn w:val="DefaultParagraphFont"/>
    <w:uiPriority w:val="99"/>
    <w:qFormat/>
    <w:rsid w:val="000642e5"/>
    <w:rPr>
      <w:rFonts w:ascii="Arial" w:hAnsi="Arial" w:eastAsia="Times New Roman" w:cs="Times New Roman"/>
      <w:sz w:val="24"/>
      <w:szCs w:val="20"/>
      <w:lang w:eastAsia="ar-SA"/>
    </w:rPr>
  </w:style>
  <w:style w:type="character" w:styleId="Style16" w:customStyle="1">
    <w:name w:val="Дата Знак"/>
    <w:basedOn w:val="DefaultParagraphFont"/>
    <w:link w:val="Date"/>
    <w:uiPriority w:val="99"/>
    <w:semiHidden/>
    <w:qFormat/>
    <w:rsid w:val="000642e5"/>
    <w:rPr>
      <w:rFonts w:ascii="Times New Roman" w:hAnsi="Times New Roman" w:eastAsia="Times New Roman" w:cs="Times New Roman"/>
      <w:sz w:val="20"/>
      <w:szCs w:val="20"/>
    </w:rPr>
  </w:style>
  <w:style w:type="character" w:styleId="22" w:customStyle="1">
    <w:name w:val="Основной текст 2 Знак"/>
    <w:basedOn w:val="DefaultParagraphFont"/>
    <w:link w:val="BodyText2"/>
    <w:uiPriority w:val="99"/>
    <w:qFormat/>
    <w:rsid w:val="000642e5"/>
    <w:rPr>
      <w:rFonts w:ascii="Times New Roman" w:hAnsi="Times New Roman" w:eastAsia="Times New Roman" w:cs="Times New Roman"/>
      <w:i/>
      <w:szCs w:val="20"/>
      <w:lang w:val="en-US"/>
    </w:rPr>
  </w:style>
  <w:style w:type="character" w:styleId="32" w:customStyle="1">
    <w:name w:val="Основной текст с отступом 3 Знак"/>
    <w:basedOn w:val="DefaultParagraphFont"/>
    <w:link w:val="BodyTextIndent3"/>
    <w:uiPriority w:val="99"/>
    <w:semiHidden/>
    <w:qFormat/>
    <w:rsid w:val="000642e5"/>
    <w:rPr>
      <w:rFonts w:ascii="Times New Roman" w:hAnsi="Times New Roman" w:eastAsia="Times New Roman" w:cs="Times New Roman"/>
      <w:sz w:val="24"/>
      <w:szCs w:val="20"/>
    </w:rPr>
  </w:style>
  <w:style w:type="character" w:styleId="Style17" w:customStyle="1">
    <w:name w:val="Тема примечания Знак"/>
    <w:basedOn w:val="Style12"/>
    <w:uiPriority w:val="99"/>
    <w:semiHidden/>
    <w:qFormat/>
    <w:rsid w:val="000642e5"/>
    <w:rPr>
      <w:b/>
      <w:bCs/>
      <w:sz w:val="20"/>
      <w:szCs w:val="20"/>
    </w:rPr>
  </w:style>
  <w:style w:type="character" w:styleId="ListParagraphChar" w:customStyle="1">
    <w:name w:val="List Paragraph Char"/>
    <w:link w:val="138"/>
    <w:qFormat/>
    <w:locked/>
    <w:rsid w:val="000642e5"/>
    <w:rPr>
      <w:rFonts w:ascii="Times New Roman" w:hAnsi="Times New Roman" w:eastAsia="Times New Roman" w:cs="Times New Roman"/>
    </w:rPr>
  </w:style>
  <w:style w:type="character" w:styleId="12" w:customStyle="1">
    <w:name w:val="Стиль1 Знак"/>
    <w:link w:val="139"/>
    <w:uiPriority w:val="99"/>
    <w:qFormat/>
    <w:locked/>
    <w:rsid w:val="000642e5"/>
    <w:rPr>
      <w:rFonts w:ascii="Times New Roman" w:hAnsi="Times New Roman"/>
      <w:b/>
      <w:bCs/>
      <w:color w:val="000000"/>
      <w:sz w:val="28"/>
      <w:szCs w:val="28"/>
      <w:lang w:eastAsia="ru-RU"/>
    </w:rPr>
  </w:style>
  <w:style w:type="character" w:styleId="ConsPlusNormal" w:customStyle="1">
    <w:name w:val="ConsPlusNormal Знак"/>
    <w:link w:val="ConsPlusNormal1"/>
    <w:uiPriority w:val="99"/>
    <w:qFormat/>
    <w:locked/>
    <w:rsid w:val="000642e5"/>
    <w:rPr>
      <w:rFonts w:ascii="Arial" w:hAnsi="Arial" w:eastAsia="Times New Roman" w:cs="Arial"/>
      <w:sz w:val="20"/>
      <w:szCs w:val="20"/>
      <w:lang w:eastAsia="ru-RU"/>
    </w:rPr>
  </w:style>
  <w:style w:type="character" w:styleId="Default" w:customStyle="1">
    <w:name w:val="Default Знак"/>
    <w:link w:val="Default1"/>
    <w:uiPriority w:val="99"/>
    <w:qFormat/>
    <w:locked/>
    <w:rsid w:val="000642e5"/>
    <w:rPr>
      <w:rFonts w:ascii="Times New Roman" w:hAnsi="Times New Roman" w:eastAsia="Times New Roman" w:cs="Times New Roman"/>
      <w:color w:val="000000"/>
      <w:sz w:val="24"/>
      <w:szCs w:val="24"/>
      <w:lang w:eastAsia="ru-RU"/>
    </w:rPr>
  </w:style>
  <w:style w:type="character" w:styleId="Style18" w:customStyle="1">
    <w:name w:val="Основной текст_"/>
    <w:link w:val="52"/>
    <w:qFormat/>
    <w:locked/>
    <w:rsid w:val="000642e5"/>
    <w:rPr>
      <w:sz w:val="27"/>
      <w:shd w:fill="FFFFFF" w:val="clear"/>
    </w:rPr>
  </w:style>
  <w:style w:type="character" w:styleId="13" w:customStyle="1">
    <w:name w:val="Заголовок №1_"/>
    <w:link w:val="142"/>
    <w:uiPriority w:val="99"/>
    <w:qFormat/>
    <w:locked/>
    <w:rsid w:val="000642e5"/>
    <w:rPr>
      <w:sz w:val="27"/>
      <w:shd w:fill="FFFFFF" w:val="clear"/>
    </w:rPr>
  </w:style>
  <w:style w:type="character" w:styleId="23" w:customStyle="1">
    <w:name w:val="Заголовок №2_"/>
    <w:link w:val="219"/>
    <w:uiPriority w:val="99"/>
    <w:qFormat/>
    <w:locked/>
    <w:rsid w:val="000642e5"/>
    <w:rPr>
      <w:sz w:val="27"/>
      <w:shd w:fill="FFFFFF" w:val="clear"/>
    </w:rPr>
  </w:style>
  <w:style w:type="character" w:styleId="CommentReference">
    <w:name w:val="annotation reference"/>
    <w:uiPriority w:val="99"/>
    <w:semiHidden/>
    <w:unhideWhenUsed/>
    <w:qFormat/>
    <w:rsid w:val="000642e5"/>
    <w:rPr>
      <w:sz w:val="16"/>
      <w:szCs w:val="16"/>
    </w:rPr>
  </w:style>
  <w:style w:type="character" w:styleId="user1">
    <w:name w:val="Символ концевой сноски (user)"/>
    <w:uiPriority w:val="99"/>
    <w:semiHidden/>
    <w:unhideWhenUsed/>
    <w:qFormat/>
    <w:rsid w:val="000642e5"/>
    <w:rPr>
      <w:vertAlign w:val="superscript"/>
    </w:rPr>
  </w:style>
  <w:style w:type="character" w:styleId="Style19">
    <w:name w:val="Символ концевой сноски"/>
    <w:qFormat/>
    <w:rPr>
      <w:vertAlign w:val="superscript"/>
    </w:rPr>
  </w:style>
  <w:style w:type="character" w:styleId="EndnoteReference">
    <w:name w:val="endnote reference"/>
    <w:rPr>
      <w:vertAlign w:val="superscript"/>
    </w:rPr>
  </w:style>
  <w:style w:type="character" w:styleId="PlaceholderText">
    <w:name w:val="Placeholder Text"/>
    <w:basedOn w:val="DefaultParagraphFont"/>
    <w:uiPriority w:val="99"/>
    <w:semiHidden/>
    <w:qFormat/>
    <w:rsid w:val="000642e5"/>
    <w:rPr>
      <w:color w:val="808080"/>
    </w:rPr>
  </w:style>
  <w:style w:type="character" w:styleId="14" w:customStyle="1">
    <w:name w:val="Знак Знак1"/>
    <w:uiPriority w:val="99"/>
    <w:qFormat/>
    <w:locked/>
    <w:rsid w:val="000642e5"/>
    <w:rPr>
      <w:b/>
      <w:bCs w:val="false"/>
      <w:sz w:val="22"/>
      <w:lang w:val="ru-RU" w:eastAsia="ru-RU" w:bidi="ar-SA"/>
    </w:rPr>
  </w:style>
  <w:style w:type="character" w:styleId="24" w:customStyle="1">
    <w:name w:val="Текст примечания Знак2"/>
    <w:uiPriority w:val="99"/>
    <w:semiHidden/>
    <w:qFormat/>
    <w:locked/>
    <w:rsid w:val="000642e5"/>
    <w:rPr>
      <w:rFonts w:ascii="Times New Roman" w:hAnsi="Times New Roman" w:eastAsia="Times New Roman" w:cs="Times New Roman"/>
      <w:sz w:val="20"/>
      <w:szCs w:val="20"/>
    </w:rPr>
  </w:style>
  <w:style w:type="character" w:styleId="15" w:customStyle="1">
    <w:name w:val="Основной текст Знак1"/>
    <w:qFormat/>
    <w:locked/>
    <w:rsid w:val="000642e5"/>
    <w:rPr/>
  </w:style>
  <w:style w:type="character" w:styleId="25" w:customStyle="1">
    <w:name w:val="Тема примечания Знак2"/>
    <w:link w:val="annotationsubject"/>
    <w:uiPriority w:val="99"/>
    <w:semiHidden/>
    <w:qFormat/>
    <w:locked/>
    <w:rsid w:val="000642e5"/>
    <w:rPr>
      <w:rFonts w:ascii="Times New Roman" w:hAnsi="Times New Roman" w:eastAsia="Times New Roman" w:cs="Times New Roman"/>
      <w:b/>
      <w:bCs/>
      <w:sz w:val="20"/>
      <w:szCs w:val="20"/>
    </w:rPr>
  </w:style>
  <w:style w:type="character" w:styleId="26" w:customStyle="1">
    <w:name w:val="Текст выноски Знак2"/>
    <w:qFormat/>
    <w:locked/>
    <w:rsid w:val="000642e5"/>
    <w:rPr>
      <w:rFonts w:ascii="Tahoma" w:hAnsi="Tahoma" w:cs="Tahoma"/>
      <w:sz w:val="16"/>
      <w:szCs w:val="16"/>
    </w:rPr>
  </w:style>
  <w:style w:type="character" w:styleId="postbody" w:customStyle="1">
    <w:name w:val="postbody"/>
    <w:qFormat/>
    <w:rsid w:val="000642e5"/>
    <w:rPr>
      <w:sz w:val="22"/>
      <w:szCs w:val="22"/>
      <w:lang w:val="en-US" w:eastAsia="en-US" w:bidi="ar-SA"/>
    </w:rPr>
  </w:style>
  <w:style w:type="character" w:styleId="20" w:customStyle="1">
    <w:name w:val="Знак Знак20"/>
    <w:qFormat/>
    <w:rsid w:val="000642e5"/>
    <w:rPr>
      <w:b/>
      <w:bCs w:val="false"/>
      <w:lang w:val="ru-RU" w:eastAsia="ru-RU" w:bidi="ar-SA"/>
    </w:rPr>
  </w:style>
  <w:style w:type="character" w:styleId="Style20" w:customStyle="1">
    <w:name w:val="Основной текст Знак Знак Знак"/>
    <w:qFormat/>
    <w:rsid w:val="000642e5"/>
    <w:rPr>
      <w:lang w:val="ru-RU" w:eastAsia="ru-RU" w:bidi="ar-SA"/>
    </w:rPr>
  </w:style>
  <w:style w:type="character" w:styleId="16" w:customStyle="1">
    <w:name w:val="Текст примечания Знак1"/>
    <w:qFormat/>
    <w:rsid w:val="000642e5"/>
    <w:rPr/>
  </w:style>
  <w:style w:type="character" w:styleId="17" w:customStyle="1">
    <w:name w:val="Тема примечания Знак1"/>
    <w:uiPriority w:val="99"/>
    <w:qFormat/>
    <w:rsid w:val="000642e5"/>
    <w:rPr>
      <w:b/>
      <w:bCs/>
    </w:rPr>
  </w:style>
  <w:style w:type="character" w:styleId="18" w:customStyle="1">
    <w:name w:val="Текст выноски Знак1"/>
    <w:uiPriority w:val="99"/>
    <w:qFormat/>
    <w:rsid w:val="000642e5"/>
    <w:rPr>
      <w:rFonts w:ascii="Tahoma" w:hAnsi="Tahoma" w:cs="Tahoma"/>
      <w:sz w:val="16"/>
      <w:szCs w:val="16"/>
    </w:rPr>
  </w:style>
  <w:style w:type="character" w:styleId="apple-converted-space" w:customStyle="1">
    <w:name w:val="apple-converted-space"/>
    <w:qFormat/>
    <w:rsid w:val="008a04a5"/>
    <w:rPr/>
  </w:style>
  <w:style w:type="character" w:styleId="HTML1" w:customStyle="1">
    <w:name w:val="Адрес HTML Знак"/>
    <w:basedOn w:val="DefaultParagraphFont"/>
    <w:link w:val="HTMLAddress"/>
    <w:semiHidden/>
    <w:qFormat/>
    <w:rsid w:val="005b2a9e"/>
    <w:rPr>
      <w:rFonts w:ascii="Times New Roman" w:hAnsi="Times New Roman" w:eastAsia="Times New Roman" w:cs="Times New Roman"/>
      <w:i/>
      <w:iCs/>
      <w:sz w:val="24"/>
      <w:szCs w:val="24"/>
      <w:lang w:eastAsia="ru-RU"/>
    </w:rPr>
  </w:style>
  <w:style w:type="character" w:styleId="111" w:customStyle="1">
    <w:name w:val="Заголовок 1 Знак1"/>
    <w:basedOn w:val="DefaultParagraphFont"/>
    <w:uiPriority w:val="9"/>
    <w:qFormat/>
    <w:rsid w:val="005b2a9e"/>
    <w:rPr>
      <w:b/>
      <w:bCs w:val="false"/>
      <w:kern w:val="2"/>
      <w:sz w:val="36"/>
      <w:lang w:val="ru-RU" w:eastAsia="ru-RU" w:bidi="ar-SA"/>
    </w:rPr>
  </w:style>
  <w:style w:type="character" w:styleId="Style21" w:customStyle="1">
    <w:name w:val="Прощание Знак"/>
    <w:basedOn w:val="DefaultParagraphFont"/>
    <w:uiPriority w:val="99"/>
    <w:semiHidden/>
    <w:qFormat/>
    <w:rsid w:val="005b2a9e"/>
    <w:rPr>
      <w:rFonts w:ascii="Times New Roman" w:hAnsi="Times New Roman" w:eastAsia="Times New Roman" w:cs="Times New Roman"/>
      <w:sz w:val="24"/>
      <w:szCs w:val="24"/>
      <w:lang w:eastAsia="ru-RU"/>
    </w:rPr>
  </w:style>
  <w:style w:type="character" w:styleId="Style22" w:customStyle="1">
    <w:name w:val="Подпись Знак"/>
    <w:basedOn w:val="DefaultParagraphFont"/>
    <w:uiPriority w:val="99"/>
    <w:semiHidden/>
    <w:qFormat/>
    <w:rsid w:val="005b2a9e"/>
    <w:rPr>
      <w:rFonts w:ascii="Times New Roman" w:hAnsi="Times New Roman" w:eastAsia="Times New Roman" w:cs="Times New Roman"/>
      <w:sz w:val="24"/>
      <w:szCs w:val="24"/>
      <w:lang w:eastAsia="ru-RU"/>
    </w:rPr>
  </w:style>
  <w:style w:type="character" w:styleId="Style23" w:customStyle="1">
    <w:name w:val="Шапка Знак"/>
    <w:basedOn w:val="DefaultParagraphFont"/>
    <w:link w:val="MessageHeader"/>
    <w:uiPriority w:val="99"/>
    <w:semiHidden/>
    <w:qFormat/>
    <w:rsid w:val="005b2a9e"/>
    <w:rPr>
      <w:rFonts w:ascii="Arial" w:hAnsi="Arial" w:eastAsia="Times New Roman" w:cs="Times New Roman"/>
      <w:sz w:val="24"/>
      <w:szCs w:val="24"/>
      <w:shd w:fill="CCCCCC" w:val="clear"/>
      <w:lang w:eastAsia="ru-RU"/>
    </w:rPr>
  </w:style>
  <w:style w:type="character" w:styleId="Style24" w:customStyle="1">
    <w:name w:val="Приветствие Знак"/>
    <w:basedOn w:val="DefaultParagraphFont"/>
    <w:uiPriority w:val="99"/>
    <w:semiHidden/>
    <w:qFormat/>
    <w:rsid w:val="005b2a9e"/>
    <w:rPr>
      <w:rFonts w:ascii="Times New Roman" w:hAnsi="Times New Roman" w:eastAsia="Times New Roman" w:cs="Times New Roman"/>
      <w:sz w:val="24"/>
      <w:szCs w:val="24"/>
      <w:lang w:eastAsia="ru-RU"/>
    </w:rPr>
  </w:style>
  <w:style w:type="character" w:styleId="Style25" w:customStyle="1">
    <w:name w:val="Красная строка Знак"/>
    <w:basedOn w:val="Style11"/>
    <w:uiPriority w:val="99"/>
    <w:semiHidden/>
    <w:qFormat/>
    <w:rsid w:val="005b2a9e"/>
    <w:rPr>
      <w:rFonts w:ascii="Times New Roman" w:hAnsi="Times New Roman" w:eastAsia="Times New Roman" w:cs="Times New Roman"/>
      <w:sz w:val="24"/>
      <w:szCs w:val="24"/>
      <w:lang w:eastAsia="ru-RU"/>
    </w:rPr>
  </w:style>
  <w:style w:type="character" w:styleId="27" w:customStyle="1">
    <w:name w:val="Красная строка 2 Знак"/>
    <w:basedOn w:val="Style7"/>
    <w:link w:val="BodyTextFirstIndent2"/>
    <w:uiPriority w:val="99"/>
    <w:semiHidden/>
    <w:qFormat/>
    <w:rsid w:val="005b2a9e"/>
    <w:rPr>
      <w:rFonts w:ascii="Times New Roman" w:hAnsi="Times New Roman" w:eastAsia="Times New Roman" w:cs="Times New Roman"/>
      <w:sz w:val="24"/>
      <w:szCs w:val="24"/>
      <w:lang w:eastAsia="ru-RU"/>
    </w:rPr>
  </w:style>
  <w:style w:type="character" w:styleId="Style26" w:customStyle="1">
    <w:name w:val="Заголовок записки Знак"/>
    <w:basedOn w:val="DefaultParagraphFont"/>
    <w:link w:val="143"/>
    <w:uiPriority w:val="99"/>
    <w:semiHidden/>
    <w:qFormat/>
    <w:rsid w:val="005b2a9e"/>
    <w:rPr>
      <w:rFonts w:ascii="Times New Roman" w:hAnsi="Times New Roman" w:eastAsia="Times New Roman" w:cs="Times New Roman"/>
      <w:sz w:val="24"/>
      <w:szCs w:val="24"/>
      <w:lang w:eastAsia="ru-RU"/>
    </w:rPr>
  </w:style>
  <w:style w:type="character" w:styleId="Style27" w:customStyle="1">
    <w:name w:val="Схема документа Знак"/>
    <w:basedOn w:val="DefaultParagraphFont"/>
    <w:link w:val="DocumentMap"/>
    <w:uiPriority w:val="99"/>
    <w:semiHidden/>
    <w:qFormat/>
    <w:rsid w:val="005b2a9e"/>
    <w:rPr>
      <w:rFonts w:ascii="Tahoma" w:hAnsi="Tahoma" w:eastAsia="Times New Roman" w:cs="Tahoma"/>
      <w:sz w:val="16"/>
      <w:szCs w:val="16"/>
      <w:lang w:eastAsia="ru-RU"/>
    </w:rPr>
  </w:style>
  <w:style w:type="character" w:styleId="Style28" w:customStyle="1">
    <w:name w:val="Текст Знак"/>
    <w:basedOn w:val="DefaultParagraphFont"/>
    <w:link w:val="PlainText"/>
    <w:uiPriority w:val="99"/>
    <w:semiHidden/>
    <w:qFormat/>
    <w:rsid w:val="005b2a9e"/>
    <w:rPr>
      <w:rFonts w:ascii="Courier New" w:hAnsi="Courier New" w:eastAsia="Times New Roman" w:cs="Times New Roman"/>
      <w:sz w:val="20"/>
      <w:szCs w:val="20"/>
      <w:lang w:eastAsia="ru-RU"/>
    </w:rPr>
  </w:style>
  <w:style w:type="character" w:styleId="Style29" w:customStyle="1">
    <w:name w:val="Электронная подпись Знак"/>
    <w:basedOn w:val="DefaultParagraphFont"/>
    <w:link w:val="E-mailSignature"/>
    <w:uiPriority w:val="99"/>
    <w:semiHidden/>
    <w:qFormat/>
    <w:rsid w:val="005b2a9e"/>
    <w:rPr>
      <w:rFonts w:ascii="Times New Roman" w:hAnsi="Times New Roman" w:eastAsia="Times New Roman" w:cs="Times New Roman"/>
      <w:sz w:val="24"/>
      <w:szCs w:val="24"/>
      <w:lang w:eastAsia="ru-RU"/>
    </w:rPr>
  </w:style>
  <w:style w:type="character" w:styleId="Style30" w:customStyle="1">
    <w:name w:val="Дефис Знак"/>
    <w:basedOn w:val="DefaultParagraphFont"/>
    <w:link w:val="Style61"/>
    <w:uiPriority w:val="99"/>
    <w:qFormat/>
    <w:locked/>
    <w:rsid w:val="005b2a9e"/>
    <w:rPr>
      <w:rFonts w:ascii="Times New Roman" w:hAnsi="Times New Roman" w:eastAsia="Times New Roman" w:cs="Times New Roman"/>
      <w:sz w:val="24"/>
      <w:szCs w:val="24"/>
      <w:lang w:val="en-US" w:eastAsia="ru-RU"/>
    </w:rPr>
  </w:style>
  <w:style w:type="character" w:styleId="Normal1" w:customStyle="1">
    <w:name w:val="Normal Знак Знак"/>
    <w:link w:val="Normal2"/>
    <w:qFormat/>
    <w:locked/>
    <w:rsid w:val="005b2a9e"/>
    <w:rPr>
      <w:rFonts w:ascii="Tms Rmn" w:hAnsi="Tms Rmn"/>
    </w:rPr>
  </w:style>
  <w:style w:type="character" w:styleId="131" w:customStyle="1">
    <w:name w:val="Обычный + 13 пт Знак"/>
    <w:link w:val="1310"/>
    <w:qFormat/>
    <w:locked/>
    <w:rsid w:val="005b2a9e"/>
    <w:rPr>
      <w:b/>
      <w:bCs/>
      <w:sz w:val="36"/>
      <w:szCs w:val="36"/>
    </w:rPr>
  </w:style>
  <w:style w:type="character" w:styleId="IntenseEmphasis">
    <w:name w:val="Intense Emphasis"/>
    <w:basedOn w:val="DefaultParagraphFont"/>
    <w:qFormat/>
    <w:rsid w:val="005b2a9e"/>
    <w:rPr>
      <w:rFonts w:ascii="Times New Roman" w:hAnsi="Times New Roman" w:cs="Times New Roman"/>
      <w:b/>
      <w:bCs/>
      <w:sz w:val="32"/>
      <w:szCs w:val="32"/>
    </w:rPr>
  </w:style>
  <w:style w:type="character" w:styleId="SubtleReference">
    <w:name w:val="Subtle Reference"/>
    <w:basedOn w:val="DefaultParagraphFont"/>
    <w:uiPriority w:val="31"/>
    <w:qFormat/>
    <w:rsid w:val="005b2a9e"/>
    <w:rPr>
      <w:smallCaps/>
      <w:color w:themeColor="accent2" w:val="C0504D"/>
      <w:u w:val="single"/>
    </w:rPr>
  </w:style>
  <w:style w:type="character" w:styleId="33" w:customStyle="1">
    <w:name w:val="Стиль3 Знак"/>
    <w:link w:val="34"/>
    <w:uiPriority w:val="99"/>
    <w:qFormat/>
    <w:locked/>
    <w:rsid w:val="005b2a9e"/>
    <w:rPr>
      <w:rFonts w:ascii="Times New Roman" w:hAnsi="Times New Roman" w:eastAsia="Times New Roman" w:cs="Times New Roman"/>
      <w:sz w:val="24"/>
      <w:szCs w:val="20"/>
      <w:lang w:eastAsia="ru-RU"/>
    </w:rPr>
  </w:style>
  <w:style w:type="character" w:styleId="Style31" w:customStyle="1">
    <w:name w:val="Знак Знак Знак"/>
    <w:basedOn w:val="DefaultParagraphFont"/>
    <w:semiHidden/>
    <w:qFormat/>
    <w:locked/>
    <w:rsid w:val="005b2a9e"/>
    <w:rPr>
      <w:sz w:val="24"/>
      <w:szCs w:val="24"/>
      <w:lang w:val="ru-RU" w:eastAsia="ru-RU" w:bidi="ar-SA"/>
    </w:rPr>
  </w:style>
  <w:style w:type="character" w:styleId="H2" w:customStyle="1">
    <w:name w:val="H2 Знак Знак"/>
    <w:basedOn w:val="DefaultParagraphFont"/>
    <w:qFormat/>
    <w:locked/>
    <w:rsid w:val="005b2a9e"/>
    <w:rPr>
      <w:b/>
      <w:bCs/>
      <w:sz w:val="30"/>
      <w:szCs w:val="30"/>
      <w:lang w:val="ru-RU" w:eastAsia="ru-RU" w:bidi="ar-SA"/>
    </w:rPr>
  </w:style>
  <w:style w:type="character" w:styleId="29" w:customStyle="1">
    <w:name w:val="Знак Знак29"/>
    <w:basedOn w:val="DefaultParagraphFont"/>
    <w:qFormat/>
    <w:locked/>
    <w:rsid w:val="005b2a9e"/>
    <w:rPr>
      <w:rFonts w:ascii="Cambria" w:hAnsi="Cambria"/>
      <w:b/>
      <w:bCs/>
      <w:sz w:val="26"/>
      <w:szCs w:val="26"/>
      <w:lang w:val="ru-RU" w:eastAsia="en-US" w:bidi="ar-SA"/>
    </w:rPr>
  </w:style>
  <w:style w:type="character" w:styleId="28" w:customStyle="1">
    <w:name w:val="Знак Знак28"/>
    <w:basedOn w:val="DefaultParagraphFont"/>
    <w:qFormat/>
    <w:locked/>
    <w:rsid w:val="005b2a9e"/>
    <w:rPr>
      <w:rFonts w:ascii="Arial" w:hAnsi="Arial" w:cs="Arial"/>
      <w:sz w:val="24"/>
      <w:szCs w:val="24"/>
      <w:lang w:val="ru-RU" w:eastAsia="ru-RU" w:bidi="ar-SA"/>
    </w:rPr>
  </w:style>
  <w:style w:type="character" w:styleId="271" w:customStyle="1">
    <w:name w:val="Знак Знак27"/>
    <w:basedOn w:val="DefaultParagraphFont"/>
    <w:qFormat/>
    <w:locked/>
    <w:rsid w:val="005b2a9e"/>
    <w:rPr>
      <w:sz w:val="22"/>
      <w:szCs w:val="22"/>
      <w:lang w:val="ru-RU" w:eastAsia="ru-RU" w:bidi="ar-SA"/>
    </w:rPr>
  </w:style>
  <w:style w:type="character" w:styleId="261" w:customStyle="1">
    <w:name w:val="Знак Знак26"/>
    <w:basedOn w:val="DefaultParagraphFont"/>
    <w:qFormat/>
    <w:locked/>
    <w:rsid w:val="005b2a9e"/>
    <w:rPr>
      <w:i/>
      <w:iCs/>
      <w:sz w:val="22"/>
      <w:szCs w:val="22"/>
      <w:lang w:val="ru-RU" w:eastAsia="ru-RU" w:bidi="ar-SA"/>
    </w:rPr>
  </w:style>
  <w:style w:type="character" w:styleId="251" w:customStyle="1">
    <w:name w:val="Знак Знак25"/>
    <w:basedOn w:val="DefaultParagraphFont"/>
    <w:qFormat/>
    <w:locked/>
    <w:rsid w:val="005b2a9e"/>
    <w:rPr>
      <w:rFonts w:ascii="Arial" w:hAnsi="Arial" w:cs="Arial"/>
      <w:lang w:val="ru-RU" w:eastAsia="ru-RU" w:bidi="ar-SA"/>
    </w:rPr>
  </w:style>
  <w:style w:type="character" w:styleId="241" w:customStyle="1">
    <w:name w:val="Знак Знак24"/>
    <w:basedOn w:val="DefaultParagraphFont"/>
    <w:qFormat/>
    <w:locked/>
    <w:rsid w:val="005b2a9e"/>
    <w:rPr>
      <w:rFonts w:ascii="Arial" w:hAnsi="Arial" w:cs="Arial"/>
      <w:i/>
      <w:iCs/>
      <w:lang w:val="ru-RU" w:eastAsia="ru-RU" w:bidi="ar-SA"/>
    </w:rPr>
  </w:style>
  <w:style w:type="character" w:styleId="231" w:customStyle="1">
    <w:name w:val="Знак Знак23"/>
    <w:basedOn w:val="DefaultParagraphFont"/>
    <w:qFormat/>
    <w:locked/>
    <w:rsid w:val="005b2a9e"/>
    <w:rPr>
      <w:rFonts w:ascii="Arial" w:hAnsi="Arial" w:cs="Arial"/>
      <w:b/>
      <w:bCs/>
      <w:i/>
      <w:iCs/>
      <w:sz w:val="18"/>
      <w:szCs w:val="18"/>
      <w:lang w:val="ru-RU" w:eastAsia="ru-RU" w:bidi="ar-SA"/>
    </w:rPr>
  </w:style>
  <w:style w:type="character" w:styleId="171" w:customStyle="1">
    <w:name w:val="Знак Знак17"/>
    <w:basedOn w:val="DefaultParagraphFont"/>
    <w:qFormat/>
    <w:locked/>
    <w:rsid w:val="005b2a9e"/>
    <w:rPr>
      <w:rFonts w:ascii="Cambria" w:hAnsi="Cambria"/>
      <w:b/>
      <w:bCs/>
      <w:kern w:val="2"/>
      <w:sz w:val="32"/>
      <w:szCs w:val="32"/>
      <w:lang w:bidi="ar-SA"/>
    </w:rPr>
  </w:style>
  <w:style w:type="character" w:styleId="112" w:customStyle="1">
    <w:name w:val="Знак Знак11"/>
    <w:basedOn w:val="DefaultParagraphFont"/>
    <w:qFormat/>
    <w:locked/>
    <w:rsid w:val="005b2a9e"/>
    <w:rPr>
      <w:rFonts w:ascii="Arial" w:hAnsi="Arial" w:cs="Arial"/>
      <w:sz w:val="24"/>
      <w:szCs w:val="24"/>
      <w:lang w:eastAsia="ru-RU" w:bidi="ar-SA"/>
    </w:rPr>
  </w:style>
  <w:style w:type="character" w:styleId="91" w:customStyle="1">
    <w:name w:val="Знак Знак9"/>
    <w:basedOn w:val="DefaultParagraphFont"/>
    <w:qFormat/>
    <w:locked/>
    <w:rsid w:val="005b2a9e"/>
    <w:rPr>
      <w:sz w:val="24"/>
      <w:szCs w:val="24"/>
      <w:lang w:eastAsia="ru-RU" w:bidi="ar-SA"/>
    </w:rPr>
  </w:style>
  <w:style w:type="character" w:styleId="51" w:customStyle="1">
    <w:name w:val="Знак Знак5"/>
    <w:basedOn w:val="DefaultParagraphFont"/>
    <w:qFormat/>
    <w:locked/>
    <w:rsid w:val="005b2a9e"/>
    <w:rPr>
      <w:sz w:val="24"/>
      <w:szCs w:val="24"/>
      <w:lang w:eastAsia="ru-RU" w:bidi="ar-SA"/>
    </w:rPr>
  </w:style>
  <w:style w:type="character" w:styleId="DeltaViewInsertion" w:customStyle="1">
    <w:name w:val="DeltaView Insertion"/>
    <w:qFormat/>
    <w:rsid w:val="005b2a9e"/>
    <w:rPr>
      <w:color w:val="0000FF"/>
      <w:spacing w:val="0"/>
      <w:u w:val="double"/>
    </w:rPr>
  </w:style>
  <w:style w:type="character" w:styleId="Style32" w:customStyle="1">
    <w:name w:val="название формы"/>
    <w:basedOn w:val="DefaultParagraphFont"/>
    <w:qFormat/>
    <w:rsid w:val="005b2a9e"/>
    <w:rPr>
      <w:rFonts w:ascii="Times New Roman" w:hAnsi="Times New Roman" w:cs="Times New Roman"/>
      <w:b/>
      <w:bCs w:val="false"/>
      <w:sz w:val="24"/>
      <w:lang w:val="ru-RU" w:eastAsia="ar-SA" w:bidi="ar-SA"/>
    </w:rPr>
  </w:style>
  <w:style w:type="character" w:styleId="Style33" w:customStyle="1">
    <w:name w:val="Гипертекстовая ссылка"/>
    <w:qFormat/>
    <w:rsid w:val="005b2a9e"/>
    <w:rPr>
      <w:color w:val="008000"/>
      <w:sz w:val="20"/>
      <w:szCs w:val="20"/>
      <w:u w:val="single"/>
    </w:rPr>
  </w:style>
  <w:style w:type="character" w:styleId="rvts48051" w:customStyle="1">
    <w:name w:val="rvts48051"/>
    <w:qFormat/>
    <w:rsid w:val="005b2a9e"/>
    <w:rPr>
      <w:rFonts w:ascii="Verdana" w:hAnsi="Verdana"/>
      <w:b/>
      <w:bCs/>
      <w:i w:val="false"/>
      <w:iCs w:val="false"/>
      <w:strike w:val="false"/>
      <w:dstrike w:val="false"/>
      <w:color w:val="000000"/>
      <w:sz w:val="18"/>
      <w:szCs w:val="18"/>
      <w:u w:val="none"/>
      <w:effect w:val="none"/>
    </w:rPr>
  </w:style>
  <w:style w:type="character" w:styleId="Style34" w:customStyle="1">
    <w:name w:val="Заголовок своего сообщения"/>
    <w:qFormat/>
    <w:rsid w:val="005b2a9e"/>
    <w:rPr>
      <w:b/>
      <w:bCs/>
      <w:color w:val="000080"/>
      <w:sz w:val="16"/>
      <w:szCs w:val="16"/>
    </w:rPr>
  </w:style>
  <w:style w:type="character" w:styleId="postbody1" w:customStyle="1">
    <w:name w:val="postbody1"/>
    <w:qFormat/>
    <w:rsid w:val="005b2a9e"/>
    <w:rPr>
      <w:sz w:val="18"/>
      <w:szCs w:val="18"/>
    </w:rPr>
  </w:style>
  <w:style w:type="character" w:styleId="19" w:customStyle="1">
    <w:name w:val="Знак Знак19"/>
    <w:qFormat/>
    <w:locked/>
    <w:rsid w:val="005b2a9e"/>
    <w:rPr>
      <w:b/>
      <w:bCs/>
      <w:sz w:val="28"/>
      <w:szCs w:val="28"/>
      <w:lang w:val="ru-RU" w:eastAsia="ru-RU" w:bidi="ar-SA"/>
    </w:rPr>
  </w:style>
  <w:style w:type="character" w:styleId="141" w:customStyle="1">
    <w:name w:val="Знак Знак14"/>
    <w:qFormat/>
    <w:locked/>
    <w:rsid w:val="005b2a9e"/>
    <w:rPr>
      <w:sz w:val="24"/>
      <w:lang w:val="ru-RU" w:eastAsia="ru-RU" w:bidi="ar-SA"/>
    </w:rPr>
  </w:style>
  <w:style w:type="character" w:styleId="132" w:customStyle="1">
    <w:name w:val="Знак Знак13"/>
    <w:qFormat/>
    <w:locked/>
    <w:rsid w:val="005b2a9e"/>
    <w:rPr>
      <w:sz w:val="28"/>
      <w:szCs w:val="28"/>
      <w:lang w:val="ru-RU" w:eastAsia="ru-RU" w:bidi="ar-SA"/>
    </w:rPr>
  </w:style>
  <w:style w:type="character" w:styleId="121" w:customStyle="1">
    <w:name w:val="Знак Знак12"/>
    <w:qFormat/>
    <w:rsid w:val="005b2a9e"/>
    <w:rPr>
      <w:b/>
      <w:bCs w:val="false"/>
      <w:iCs/>
      <w:sz w:val="28"/>
      <w:szCs w:val="28"/>
      <w:lang w:val="ru-RU" w:eastAsia="ru-RU" w:bidi="ar-SA"/>
    </w:rPr>
  </w:style>
  <w:style w:type="character" w:styleId="61" w:customStyle="1">
    <w:name w:val="Знак Знак6"/>
    <w:qFormat/>
    <w:rsid w:val="005b2a9e"/>
    <w:rPr>
      <w:b/>
      <w:bCs w:val="false"/>
      <w:sz w:val="32"/>
      <w:lang w:val="ru-RU" w:eastAsia="ru-RU" w:bidi="ar-SA"/>
    </w:rPr>
  </w:style>
  <w:style w:type="character" w:styleId="Style35" w:customStyle="1">
    <w:name w:val="Цветовое выделение"/>
    <w:qFormat/>
    <w:rsid w:val="005b2a9e"/>
    <w:rPr>
      <w:b/>
      <w:bCs/>
      <w:color w:val="000080"/>
    </w:rPr>
  </w:style>
  <w:style w:type="character" w:styleId="110" w:customStyle="1">
    <w:name w:val="Заголовок 1 Знак Знак Знак Знак Знак Знак Знак Знак Знак Знак"/>
    <w:qFormat/>
    <w:locked/>
    <w:rsid w:val="005b2a9e"/>
    <w:rPr>
      <w:rFonts w:ascii="Arial" w:hAnsi="Arial" w:cs="Arial"/>
      <w:b/>
      <w:bCs/>
      <w:kern w:val="2"/>
      <w:sz w:val="32"/>
      <w:szCs w:val="32"/>
      <w:lang w:val="ru-RU" w:eastAsia="ru-RU" w:bidi="ar-SA"/>
    </w:rPr>
  </w:style>
  <w:style w:type="character" w:styleId="311" w:customStyle="1">
    <w:name w:val="Стиль3 Знак Знак1"/>
    <w:qFormat/>
    <w:locked/>
    <w:rsid w:val="005b2a9e"/>
    <w:rPr>
      <w:sz w:val="24"/>
      <w:lang w:val="ru-RU" w:eastAsia="ru-RU" w:bidi="ar-SA"/>
    </w:rPr>
  </w:style>
  <w:style w:type="character" w:styleId="grame" w:customStyle="1">
    <w:name w:val="grame"/>
    <w:qFormat/>
    <w:rsid w:val="005b2a9e"/>
    <w:rPr/>
  </w:style>
  <w:style w:type="character" w:styleId="diffins" w:customStyle="1">
    <w:name w:val="diff_ins"/>
    <w:qFormat/>
    <w:rsid w:val="005b2a9e"/>
    <w:rPr/>
  </w:style>
  <w:style w:type="character" w:styleId="FontStyle49" w:customStyle="1">
    <w:name w:val="Font Style49"/>
    <w:qFormat/>
    <w:rsid w:val="005b2a9e"/>
    <w:rPr>
      <w:rFonts w:ascii="Times New Roman" w:hAnsi="Times New Roman" w:cs="Times New Roman"/>
      <w:sz w:val="22"/>
      <w:szCs w:val="22"/>
    </w:rPr>
  </w:style>
  <w:style w:type="character" w:styleId="FontStyle51" w:customStyle="1">
    <w:name w:val="Font Style51"/>
    <w:qFormat/>
    <w:rsid w:val="005b2a9e"/>
    <w:rPr>
      <w:rFonts w:ascii="Times New Roman" w:hAnsi="Times New Roman" w:cs="Times New Roman"/>
      <w:b/>
      <w:bCs/>
      <w:sz w:val="22"/>
      <w:szCs w:val="22"/>
    </w:rPr>
  </w:style>
  <w:style w:type="character" w:styleId="FontStyle62" w:customStyle="1">
    <w:name w:val="Font Style62"/>
    <w:qFormat/>
    <w:rsid w:val="005b2a9e"/>
    <w:rPr>
      <w:rFonts w:ascii="Times New Roman" w:hAnsi="Times New Roman" w:cs="Times New Roman"/>
      <w:b/>
      <w:bCs/>
      <w:spacing w:val="10"/>
      <w:sz w:val="24"/>
      <w:szCs w:val="24"/>
    </w:rPr>
  </w:style>
  <w:style w:type="character" w:styleId="FontStyle70" w:customStyle="1">
    <w:name w:val="Font Style70"/>
    <w:qFormat/>
    <w:rsid w:val="005b2a9e"/>
    <w:rPr>
      <w:rFonts w:ascii="Times New Roman" w:hAnsi="Times New Roman" w:cs="Times New Roman"/>
      <w:sz w:val="24"/>
      <w:szCs w:val="24"/>
    </w:rPr>
  </w:style>
  <w:style w:type="character" w:styleId="FontStyle38" w:customStyle="1">
    <w:name w:val="Font Style38"/>
    <w:qFormat/>
    <w:rsid w:val="005b2a9e"/>
    <w:rPr>
      <w:rFonts w:ascii="Times New Roman" w:hAnsi="Times New Roman" w:cs="Times New Roman"/>
      <w:sz w:val="20"/>
      <w:szCs w:val="20"/>
    </w:rPr>
  </w:style>
  <w:style w:type="character" w:styleId="Style36" w:customStyle="1">
    <w:name w:val="Абзац списка Знак"/>
    <w:link w:val="ListParagraph"/>
    <w:uiPriority w:val="34"/>
    <w:qFormat/>
    <w:locked/>
    <w:rsid w:val="007734a9"/>
    <w:rPr/>
  </w:style>
  <w:style w:type="character" w:styleId="Strong">
    <w:name w:val="Strong"/>
    <w:uiPriority w:val="22"/>
    <w:qFormat/>
    <w:rsid w:val="004253c6"/>
    <w:rPr>
      <w:rFonts w:ascii="Times New Roman" w:hAnsi="Times New Roman" w:cs="Times New Roman"/>
      <w:b/>
      <w:bCs/>
    </w:rPr>
  </w:style>
  <w:style w:type="character" w:styleId="ConsPlusNonformat" w:customStyle="1">
    <w:name w:val="ConsPlusNonformat Знак"/>
    <w:link w:val="ConsPlusNonformat1"/>
    <w:uiPriority w:val="99"/>
    <w:qFormat/>
    <w:locked/>
    <w:rsid w:val="004253c6"/>
    <w:rPr>
      <w:rFonts w:ascii="Courier New" w:hAnsi="Courier New" w:eastAsia="Times New Roman" w:cs="Courier New"/>
      <w:sz w:val="20"/>
      <w:szCs w:val="20"/>
      <w:lang w:eastAsia="ru-RU"/>
    </w:rPr>
  </w:style>
  <w:style w:type="character" w:styleId="212" w:customStyle="1">
    <w:name w:val="Основной текст с отступом 2 Знак1"/>
    <w:basedOn w:val="DefaultParagraphFont"/>
    <w:uiPriority w:val="99"/>
    <w:semiHidden/>
    <w:qFormat/>
    <w:rsid w:val="004253c6"/>
    <w:rPr>
      <w:rFonts w:ascii="Calibri" w:hAnsi="Calibri" w:eastAsia="Calibri" w:cs="Times New Roman"/>
    </w:rPr>
  </w:style>
  <w:style w:type="character" w:styleId="71" w:customStyle="1">
    <w:name w:val="Заголовок 7 Знак1"/>
    <w:basedOn w:val="DefaultParagraphFont"/>
    <w:uiPriority w:val="99"/>
    <w:semiHidden/>
    <w:qFormat/>
    <w:rsid w:val="004253c6"/>
    <w:rPr>
      <w:rFonts w:ascii="Cambria" w:hAnsi="Cambria" w:eastAsia="Times New Roman" w:cs="Times New Roman"/>
      <w:i/>
      <w:iCs/>
      <w:color w:themeColor="text1" w:themeTint="bf" w:val="404040"/>
      <w:sz w:val="22"/>
      <w:szCs w:val="22"/>
    </w:rPr>
  </w:style>
  <w:style w:type="character" w:styleId="81" w:customStyle="1">
    <w:name w:val="Заголовок 8 Знак1"/>
    <w:basedOn w:val="DefaultParagraphFont"/>
    <w:uiPriority w:val="99"/>
    <w:semiHidden/>
    <w:qFormat/>
    <w:rsid w:val="004253c6"/>
    <w:rPr>
      <w:rFonts w:ascii="Cambria" w:hAnsi="Cambria" w:eastAsia="Times New Roman" w:cs="Times New Roman"/>
      <w:color w:themeColor="text1" w:themeTint="bf" w:val="404040"/>
    </w:rPr>
  </w:style>
  <w:style w:type="character" w:styleId="911" w:customStyle="1">
    <w:name w:val="Заголовок 9 Знак1"/>
    <w:basedOn w:val="DefaultParagraphFont"/>
    <w:uiPriority w:val="99"/>
    <w:semiHidden/>
    <w:qFormat/>
    <w:rsid w:val="004253c6"/>
    <w:rPr>
      <w:rFonts w:ascii="Cambria" w:hAnsi="Cambria" w:eastAsia="Times New Roman" w:cs="Times New Roman"/>
      <w:i/>
      <w:iCs/>
      <w:color w:themeColor="text1" w:themeTint="bf" w:val="404040"/>
    </w:rPr>
  </w:style>
  <w:style w:type="character" w:styleId="113" w:customStyle="1">
    <w:name w:val="Нижний колонтитул Знак1"/>
    <w:basedOn w:val="DefaultParagraphFont"/>
    <w:uiPriority w:val="99"/>
    <w:semiHidden/>
    <w:qFormat/>
    <w:rsid w:val="004253c6"/>
    <w:rPr>
      <w:rFonts w:ascii="Calibri" w:hAnsi="Calibri" w:eastAsia="Calibri" w:cs="Times New Roman"/>
    </w:rPr>
  </w:style>
  <w:style w:type="character" w:styleId="312" w:customStyle="1">
    <w:name w:val="Основной текст 3 Знак1"/>
    <w:basedOn w:val="DefaultParagraphFont"/>
    <w:uiPriority w:val="99"/>
    <w:semiHidden/>
    <w:qFormat/>
    <w:rsid w:val="004253c6"/>
    <w:rPr>
      <w:rFonts w:ascii="Calibri" w:hAnsi="Calibri" w:eastAsia="Calibri" w:cs="Times New Roman"/>
      <w:sz w:val="16"/>
      <w:szCs w:val="16"/>
    </w:rPr>
  </w:style>
  <w:style w:type="character" w:styleId="114" w:customStyle="1">
    <w:name w:val="Верхний колонтитул Знак1"/>
    <w:basedOn w:val="DefaultParagraphFont"/>
    <w:uiPriority w:val="99"/>
    <w:semiHidden/>
    <w:qFormat/>
    <w:rsid w:val="004253c6"/>
    <w:rPr>
      <w:rFonts w:ascii="Calibri" w:hAnsi="Calibri" w:eastAsia="Calibri" w:cs="Times New Roman"/>
    </w:rPr>
  </w:style>
  <w:style w:type="character" w:styleId="115" w:customStyle="1">
    <w:name w:val="Текст концевой сноски Знак1"/>
    <w:basedOn w:val="DefaultParagraphFont"/>
    <w:uiPriority w:val="99"/>
    <w:semiHidden/>
    <w:qFormat/>
    <w:rsid w:val="004253c6"/>
    <w:rPr>
      <w:rFonts w:ascii="Calibri" w:hAnsi="Calibri" w:eastAsia="Calibri" w:cs="Times New Roman"/>
      <w:sz w:val="20"/>
      <w:szCs w:val="20"/>
    </w:rPr>
  </w:style>
  <w:style w:type="character" w:styleId="116" w:customStyle="1">
    <w:name w:val="Название Знак1"/>
    <w:basedOn w:val="DefaultParagraphFont"/>
    <w:uiPriority w:val="99"/>
    <w:qFormat/>
    <w:rsid w:val="004253c6"/>
    <w:rPr>
      <w:rFonts w:ascii="Cambria" w:hAnsi="Cambria" w:eastAsia="" w:cs="" w:asciiTheme="majorHAnsi" w:cstheme="majorBidi" w:eastAsiaTheme="majorEastAsia" w:hAnsiTheme="majorHAnsi"/>
      <w:color w:themeColor="text2" w:themeShade="bf" w:val="17365D"/>
      <w:spacing w:val="5"/>
      <w:kern w:val="2"/>
      <w:sz w:val="52"/>
      <w:szCs w:val="52"/>
    </w:rPr>
  </w:style>
  <w:style w:type="character" w:styleId="117" w:customStyle="1">
    <w:name w:val="Подзаголовок Знак1"/>
    <w:basedOn w:val="DefaultParagraphFont"/>
    <w:uiPriority w:val="11"/>
    <w:qFormat/>
    <w:rsid w:val="004253c6"/>
    <w:rPr>
      <w:rFonts w:ascii="Cambria" w:hAnsi="Cambria" w:eastAsia="" w:cs="" w:asciiTheme="majorHAnsi" w:cstheme="majorBidi" w:eastAsiaTheme="majorEastAsia" w:hAnsiTheme="majorHAnsi"/>
      <w:i/>
      <w:iCs/>
      <w:color w:themeColor="accent1" w:val="4F81BD"/>
      <w:spacing w:val="15"/>
      <w:sz w:val="24"/>
      <w:szCs w:val="24"/>
    </w:rPr>
  </w:style>
  <w:style w:type="character" w:styleId="118" w:customStyle="1">
    <w:name w:val="Дата Знак1"/>
    <w:basedOn w:val="DefaultParagraphFont"/>
    <w:uiPriority w:val="99"/>
    <w:semiHidden/>
    <w:qFormat/>
    <w:rsid w:val="004253c6"/>
    <w:rPr>
      <w:rFonts w:ascii="Calibri" w:hAnsi="Calibri" w:eastAsia="Calibri" w:cs="Times New Roman"/>
    </w:rPr>
  </w:style>
  <w:style w:type="character" w:styleId="213" w:customStyle="1">
    <w:name w:val="Основной текст 2 Знак1"/>
    <w:basedOn w:val="DefaultParagraphFont"/>
    <w:semiHidden/>
    <w:qFormat/>
    <w:rsid w:val="004253c6"/>
    <w:rPr>
      <w:rFonts w:ascii="Calibri" w:hAnsi="Calibri" w:eastAsia="Calibri" w:cs="Times New Roman"/>
    </w:rPr>
  </w:style>
  <w:style w:type="character" w:styleId="313" w:customStyle="1">
    <w:name w:val="Основной текст с отступом 3 Знак1"/>
    <w:basedOn w:val="DefaultParagraphFont"/>
    <w:uiPriority w:val="99"/>
    <w:semiHidden/>
    <w:qFormat/>
    <w:rsid w:val="004253c6"/>
    <w:rPr>
      <w:rFonts w:ascii="Calibri" w:hAnsi="Calibri" w:eastAsia="Calibri" w:cs="Times New Roman"/>
      <w:sz w:val="16"/>
      <w:szCs w:val="16"/>
    </w:rPr>
  </w:style>
  <w:style w:type="character" w:styleId="119" w:customStyle="1">
    <w:name w:val="Текст Знак1"/>
    <w:basedOn w:val="DefaultParagraphFont"/>
    <w:uiPriority w:val="99"/>
    <w:semiHidden/>
    <w:qFormat/>
    <w:rsid w:val="004253c6"/>
    <w:rPr>
      <w:rFonts w:ascii="Consolas" w:hAnsi="Consolas" w:eastAsia="Calibri" w:cs="Consolas"/>
      <w:sz w:val="21"/>
      <w:szCs w:val="21"/>
    </w:rPr>
  </w:style>
  <w:style w:type="character" w:styleId="FontStyle73" w:customStyle="1">
    <w:name w:val="Font Style73"/>
    <w:uiPriority w:val="99"/>
    <w:qFormat/>
    <w:rsid w:val="004253c6"/>
    <w:rPr>
      <w:rFonts w:ascii="Times New Roman" w:hAnsi="Times New Roman" w:cs="Times New Roman"/>
      <w:sz w:val="26"/>
    </w:rPr>
  </w:style>
  <w:style w:type="character" w:styleId="iceouttxt1" w:customStyle="1">
    <w:name w:val="iceouttxt1"/>
    <w:basedOn w:val="DefaultParagraphFont"/>
    <w:qFormat/>
    <w:rsid w:val="004253c6"/>
    <w:rPr>
      <w:rFonts w:ascii="Arial" w:hAnsi="Arial" w:cs="Arial"/>
      <w:color w:val="666666"/>
      <w:sz w:val="21"/>
      <w:szCs w:val="21"/>
    </w:rPr>
  </w:style>
  <w:style w:type="character" w:styleId="WW8Num2z0" w:customStyle="1">
    <w:name w:val="WW8Num2z0"/>
    <w:qFormat/>
    <w:rsid w:val="004253c6"/>
    <w:rPr>
      <w:rFonts w:ascii="Symbol" w:hAnsi="Symbol"/>
    </w:rPr>
  </w:style>
  <w:style w:type="character" w:styleId="WW8NumSt65z0" w:customStyle="1">
    <w:name w:val="WW8NumSt65z0"/>
    <w:qFormat/>
    <w:rsid w:val="004253c6"/>
    <w:rPr>
      <w:rFonts w:ascii="Times New Roman" w:hAnsi="Times New Roman" w:cs="Times New Roman"/>
    </w:rPr>
  </w:style>
  <w:style w:type="character" w:styleId="FontStyle11" w:customStyle="1">
    <w:name w:val="Font Style11"/>
    <w:uiPriority w:val="99"/>
    <w:qFormat/>
    <w:rsid w:val="004253c6"/>
    <w:rPr>
      <w:rFonts w:ascii="Times New Roman" w:hAnsi="Times New Roman" w:cs="Times New Roman"/>
      <w:b/>
      <w:bCs/>
      <w:sz w:val="22"/>
      <w:szCs w:val="22"/>
    </w:rPr>
  </w:style>
  <w:style w:type="character" w:styleId="FontStyle14" w:customStyle="1">
    <w:name w:val="Font Style14"/>
    <w:uiPriority w:val="99"/>
    <w:qFormat/>
    <w:rsid w:val="004253c6"/>
    <w:rPr>
      <w:rFonts w:ascii="Times New Roman" w:hAnsi="Times New Roman" w:cs="Times New Roman"/>
      <w:spacing w:val="-10"/>
      <w:sz w:val="34"/>
      <w:szCs w:val="34"/>
    </w:rPr>
  </w:style>
  <w:style w:type="character" w:styleId="FontStyle15" w:customStyle="1">
    <w:name w:val="Font Style15"/>
    <w:uiPriority w:val="99"/>
    <w:qFormat/>
    <w:rsid w:val="004253c6"/>
    <w:rPr>
      <w:rFonts w:ascii="Times New Roman" w:hAnsi="Times New Roman" w:cs="Times New Roman"/>
      <w:sz w:val="22"/>
      <w:szCs w:val="22"/>
    </w:rPr>
  </w:style>
  <w:style w:type="character" w:styleId="tagfieldsvalue2" w:customStyle="1">
    <w:name w:val="tagfields_value2"/>
    <w:basedOn w:val="DefaultParagraphFont"/>
    <w:qFormat/>
    <w:rsid w:val="004253c6"/>
    <w:rPr/>
  </w:style>
  <w:style w:type="character" w:styleId="nowrap" w:customStyle="1">
    <w:name w:val="nowrap"/>
    <w:basedOn w:val="DefaultParagraphFont"/>
    <w:qFormat/>
    <w:rsid w:val="004253c6"/>
    <w:rPr/>
  </w:style>
  <w:style w:type="character" w:styleId="option-value" w:customStyle="1">
    <w:name w:val="option-value"/>
    <w:basedOn w:val="DefaultParagraphFont"/>
    <w:qFormat/>
    <w:rsid w:val="004253c6"/>
    <w:rPr/>
  </w:style>
  <w:style w:type="character" w:styleId="product-spec-itemname-inner" w:customStyle="1">
    <w:name w:val="product-spec-item__name-inner"/>
    <w:basedOn w:val="DefaultParagraphFont"/>
    <w:qFormat/>
    <w:rsid w:val="004253c6"/>
    <w:rPr/>
  </w:style>
  <w:style w:type="character" w:styleId="product-spec-itemvalue-inner" w:customStyle="1">
    <w:name w:val="product-spec-item__value-inner"/>
    <w:basedOn w:val="DefaultParagraphFont"/>
    <w:qFormat/>
    <w:rsid w:val="004253c6"/>
    <w:rPr/>
  </w:style>
  <w:style w:type="character" w:styleId="120" w:customStyle="1">
    <w:name w:val="Строгий1"/>
    <w:basedOn w:val="DefaultParagraphFont"/>
    <w:qFormat/>
    <w:rsid w:val="004253c6"/>
    <w:rPr/>
  </w:style>
  <w:style w:type="character" w:styleId="blk1" w:customStyle="1">
    <w:name w:val="blk1"/>
    <w:basedOn w:val="DefaultParagraphFont"/>
    <w:qFormat/>
    <w:rsid w:val="00b428bf"/>
    <w:rPr>
      <w:vanish w:val="false"/>
    </w:rPr>
  </w:style>
  <w:style w:type="character" w:styleId="sub" w:customStyle="1">
    <w:name w:val="sub"/>
    <w:basedOn w:val="DefaultParagraphFont"/>
    <w:qFormat/>
    <w:rsid w:val="002d3549"/>
    <w:rPr/>
  </w:style>
  <w:style w:type="character" w:styleId="customtable" w:customStyle="1">
    <w:name w:val="custom_table"/>
    <w:basedOn w:val="DefaultParagraphFont"/>
    <w:qFormat/>
    <w:rsid w:val="008e0343"/>
    <w:rPr/>
  </w:style>
  <w:style w:type="character" w:styleId="122" w:customStyle="1">
    <w:name w:val="Гиперссылка1"/>
    <w:basedOn w:val="DefaultParagraphFont"/>
    <w:uiPriority w:val="99"/>
    <w:unhideWhenUsed/>
    <w:qFormat/>
    <w:rsid w:val="008e0343"/>
    <w:rPr>
      <w:color w:val="0000FF"/>
      <w:u w:val="single"/>
    </w:rPr>
  </w:style>
  <w:style w:type="character" w:styleId="123" w:customStyle="1">
    <w:name w:val="Просмотренная гиперссылка1"/>
    <w:basedOn w:val="DefaultParagraphFont"/>
    <w:uiPriority w:val="99"/>
    <w:semiHidden/>
    <w:unhideWhenUsed/>
    <w:qFormat/>
    <w:rsid w:val="008e0343"/>
    <w:rPr>
      <w:color w:val="800080"/>
      <w:u w:val="single"/>
    </w:rPr>
  </w:style>
  <w:style w:type="character" w:styleId="124" w:customStyle="1">
    <w:name w:val="Заголовок 1 Знак2"/>
    <w:basedOn w:val="DefaultParagraphFont"/>
    <w:uiPriority w:val="9"/>
    <w:qFormat/>
    <w:rsid w:val="008e0343"/>
    <w:rPr>
      <w:rFonts w:ascii="Cambria" w:hAnsi="Cambria" w:eastAsia="" w:cs="" w:asciiTheme="majorHAnsi" w:cstheme="majorBidi" w:eastAsiaTheme="majorEastAsia" w:hAnsiTheme="majorHAnsi"/>
      <w:color w:themeColor="accent1" w:themeShade="bf" w:val="365F91"/>
      <w:sz w:val="32"/>
      <w:szCs w:val="32"/>
    </w:rPr>
  </w:style>
  <w:style w:type="character" w:styleId="125" w:customStyle="1">
    <w:name w:val="Слабая ссылка1"/>
    <w:basedOn w:val="DefaultParagraphFont"/>
    <w:uiPriority w:val="31"/>
    <w:qFormat/>
    <w:rsid w:val="008e0343"/>
    <w:rPr>
      <w:smallCaps/>
      <w:color w:val="C0504D"/>
      <w:u w:val="single"/>
    </w:rPr>
  </w:style>
  <w:style w:type="character" w:styleId="221" w:customStyle="1">
    <w:name w:val="Заголовок 2 Знак2"/>
    <w:basedOn w:val="DefaultParagraphFont"/>
    <w:uiPriority w:val="9"/>
    <w:semiHidden/>
    <w:qFormat/>
    <w:rsid w:val="008e0343"/>
    <w:rPr>
      <w:rFonts w:ascii="Cambria" w:hAnsi="Cambria" w:eastAsia="" w:cs="" w:asciiTheme="majorHAnsi" w:cstheme="majorBidi" w:eastAsiaTheme="majorEastAsia" w:hAnsiTheme="majorHAnsi"/>
      <w:color w:themeColor="accent1" w:themeShade="bf" w:val="365F91"/>
      <w:sz w:val="26"/>
      <w:szCs w:val="26"/>
    </w:rPr>
  </w:style>
  <w:style w:type="character" w:styleId="314" w:customStyle="1">
    <w:name w:val="Заголовок 3 Знак1"/>
    <w:basedOn w:val="DefaultParagraphFont"/>
    <w:uiPriority w:val="9"/>
    <w:semiHidden/>
    <w:qFormat/>
    <w:rsid w:val="008e0343"/>
    <w:rPr>
      <w:rFonts w:ascii="Cambria" w:hAnsi="Cambria" w:eastAsia="" w:cs="" w:asciiTheme="majorHAnsi" w:cstheme="majorBidi" w:eastAsiaTheme="majorEastAsia" w:hAnsiTheme="majorHAnsi"/>
      <w:color w:themeColor="accent1" w:themeShade="7f" w:val="243F60"/>
      <w:sz w:val="24"/>
      <w:szCs w:val="24"/>
    </w:rPr>
  </w:style>
  <w:style w:type="character" w:styleId="HTML11" w:customStyle="1">
    <w:name w:val="Стандартный HTML Знак1"/>
    <w:basedOn w:val="DefaultParagraphFont"/>
    <w:semiHidden/>
    <w:qFormat/>
    <w:rsid w:val="00666aba"/>
    <w:rPr>
      <w:rFonts w:ascii="Consolas" w:hAnsi="Consolas" w:cs="Consolas"/>
      <w:sz w:val="20"/>
      <w:szCs w:val="20"/>
    </w:rPr>
  </w:style>
  <w:style w:type="character" w:styleId="126" w:customStyle="1">
    <w:name w:val="Прощание Знак1"/>
    <w:basedOn w:val="DefaultParagraphFont"/>
    <w:uiPriority w:val="99"/>
    <w:semiHidden/>
    <w:qFormat/>
    <w:rsid w:val="00666aba"/>
    <w:rPr/>
  </w:style>
  <w:style w:type="character" w:styleId="127" w:customStyle="1">
    <w:name w:val="Подпись Знак1"/>
    <w:basedOn w:val="DefaultParagraphFont"/>
    <w:uiPriority w:val="99"/>
    <w:semiHidden/>
    <w:qFormat/>
    <w:rsid w:val="00666aba"/>
    <w:rPr/>
  </w:style>
  <w:style w:type="character" w:styleId="128" w:customStyle="1">
    <w:name w:val="Шапка Знак1"/>
    <w:basedOn w:val="DefaultParagraphFont"/>
    <w:uiPriority w:val="99"/>
    <w:semiHidden/>
    <w:qFormat/>
    <w:rsid w:val="00666aba"/>
    <w:rPr>
      <w:rFonts w:ascii="Cambria" w:hAnsi="Cambria" w:eastAsia="" w:cs="" w:asciiTheme="majorHAnsi" w:cstheme="majorBidi" w:eastAsiaTheme="majorEastAsia" w:hAnsiTheme="majorHAnsi"/>
      <w:sz w:val="24"/>
      <w:szCs w:val="24"/>
      <w:shd w:fill="CCCCCC" w:val="clear"/>
    </w:rPr>
  </w:style>
  <w:style w:type="character" w:styleId="129" w:customStyle="1">
    <w:name w:val="Приветствие Знак1"/>
    <w:basedOn w:val="DefaultParagraphFont"/>
    <w:uiPriority w:val="99"/>
    <w:semiHidden/>
    <w:qFormat/>
    <w:rsid w:val="00666aba"/>
    <w:rPr/>
  </w:style>
  <w:style w:type="character" w:styleId="130" w:customStyle="1">
    <w:name w:val="Красная строка Знак1"/>
    <w:basedOn w:val="15"/>
    <w:uiPriority w:val="99"/>
    <w:semiHidden/>
    <w:qFormat/>
    <w:rsid w:val="00666aba"/>
    <w:rPr/>
  </w:style>
  <w:style w:type="character" w:styleId="214" w:customStyle="1">
    <w:name w:val="Красная строка 2 Знак1"/>
    <w:basedOn w:val="11"/>
    <w:uiPriority w:val="99"/>
    <w:semiHidden/>
    <w:qFormat/>
    <w:rsid w:val="00666aba"/>
    <w:rPr>
      <w:rFonts w:ascii="Times New Roman" w:hAnsi="Times New Roman" w:eastAsia="Times New Roman" w:cs="Times New Roman"/>
      <w:sz w:val="24"/>
      <w:szCs w:val="24"/>
      <w:lang w:eastAsia="ru-RU"/>
    </w:rPr>
  </w:style>
  <w:style w:type="character" w:styleId="133" w:customStyle="1">
    <w:name w:val="Заголовок записки Знак1"/>
    <w:basedOn w:val="DefaultParagraphFont"/>
    <w:uiPriority w:val="99"/>
    <w:semiHidden/>
    <w:qFormat/>
    <w:rsid w:val="00666aba"/>
    <w:rPr/>
  </w:style>
  <w:style w:type="character" w:styleId="134" w:customStyle="1">
    <w:name w:val="Схема документа Знак1"/>
    <w:basedOn w:val="DefaultParagraphFont"/>
    <w:uiPriority w:val="99"/>
    <w:semiHidden/>
    <w:qFormat/>
    <w:rsid w:val="00666aba"/>
    <w:rPr>
      <w:rFonts w:ascii="Tahoma" w:hAnsi="Tahoma" w:cs="Tahoma"/>
      <w:sz w:val="16"/>
      <w:szCs w:val="16"/>
    </w:rPr>
  </w:style>
  <w:style w:type="character" w:styleId="135" w:customStyle="1">
    <w:name w:val="Электронная подпись Знак1"/>
    <w:basedOn w:val="DefaultParagraphFont"/>
    <w:uiPriority w:val="99"/>
    <w:semiHidden/>
    <w:qFormat/>
    <w:rsid w:val="00666aba"/>
    <w:rPr/>
  </w:style>
  <w:style w:type="character" w:styleId="UnresolvedMention" w:customStyle="1">
    <w:name w:val="Unresolved Mention"/>
    <w:basedOn w:val="DefaultParagraphFont"/>
    <w:uiPriority w:val="99"/>
    <w:semiHidden/>
    <w:unhideWhenUsed/>
    <w:qFormat/>
    <w:rsid w:val="006d2e5d"/>
    <w:rPr>
      <w:color w:val="605E5C"/>
      <w:shd w:fill="E1DFDD" w:val="clear"/>
    </w:rPr>
  </w:style>
  <w:style w:type="character" w:styleId="Style37" w:customStyle="1">
    <w:name w:val="Первый уровень списка Знак"/>
    <w:basedOn w:val="DefaultParagraphFont"/>
    <w:link w:val="Style94"/>
    <w:qFormat/>
    <w:rsid w:val="00fc5d19"/>
    <w:rPr>
      <w:rFonts w:ascii="Times New Roman" w:hAnsi="Times New Roman" w:eastAsia="Times New Roman" w:cs="Times New Roman"/>
      <w:color w:val="000000"/>
      <w:spacing w:val="-1"/>
      <w:lang w:eastAsia="ru-RU"/>
    </w:rPr>
  </w:style>
  <w:style w:type="character" w:styleId="Style38" w:customStyle="1">
    <w:name w:val="ГС_Список_МаркОтст Знак"/>
    <w:link w:val="Style95"/>
    <w:qFormat/>
    <w:locked/>
    <w:rsid w:val="00fc5d19"/>
    <w:rPr>
      <w:rFonts w:ascii="Times New Roman" w:hAnsi="Times New Roman" w:eastAsia="Times New Roman" w:cs="Times New Roman"/>
      <w:sz w:val="24"/>
      <w:szCs w:val="24"/>
      <w:lang w:eastAsia="ru-RU"/>
    </w:rPr>
  </w:style>
  <w:style w:type="character" w:styleId="0" w:customStyle="1">
    <w:name w:val="ТЗ0 основной Знак"/>
    <w:link w:val="04"/>
    <w:qFormat/>
    <w:locked/>
    <w:rsid w:val="00fc5d19"/>
    <w:rPr>
      <w:rFonts w:ascii="Times New Roman" w:hAnsi="Times New Roman" w:eastAsia="Times New Roman" w:cs="Times New Roman"/>
      <w:bCs/>
      <w:spacing w:val="-1"/>
      <w:sz w:val="28"/>
      <w:szCs w:val="24"/>
      <w:lang w:eastAsia="ru-RU"/>
    </w:rPr>
  </w:style>
  <w:style w:type="character" w:styleId="01" w:customStyle="1">
    <w:name w:val="_Табл_Текст0 внутри Знак"/>
    <w:link w:val="05"/>
    <w:qFormat/>
    <w:rsid w:val="00fc5d19"/>
    <w:rPr>
      <w:rFonts w:ascii="Arial" w:hAnsi="Arial" w:eastAsia="Times New Roman" w:cs="Times New Roman"/>
      <w:sz w:val="24"/>
      <w:szCs w:val="24"/>
      <w:lang w:eastAsia="ru-RU"/>
    </w:rPr>
  </w:style>
  <w:style w:type="character" w:styleId="Style39" w:customStyle="1">
    <w:name w:val="!Список маркированный Знак"/>
    <w:basedOn w:val="DefaultParagraphFont"/>
    <w:link w:val="Style96"/>
    <w:qFormat/>
    <w:locked/>
    <w:rsid w:val="00fc5d19"/>
    <w:rPr>
      <w:rFonts w:ascii="Times New Roman" w:hAnsi="Times New Roman" w:eastAsia="Calibri" w:cs="Times New Roman"/>
      <w:sz w:val="24"/>
      <w:szCs w:val="20"/>
    </w:rPr>
  </w:style>
  <w:style w:type="character" w:styleId="136" w:customStyle="1">
    <w:name w:val="Неразрешенное упоминание1"/>
    <w:basedOn w:val="DefaultParagraphFont"/>
    <w:uiPriority w:val="99"/>
    <w:semiHidden/>
    <w:unhideWhenUsed/>
    <w:qFormat/>
    <w:rsid w:val="00fc5d19"/>
    <w:rPr>
      <w:color w:val="605E5C"/>
      <w:shd w:fill="E1DFDD" w:val="clear"/>
    </w:rPr>
  </w:style>
  <w:style w:type="character" w:styleId="basic1" w:customStyle="1">
    <w:name w:val="basic1"/>
    <w:qFormat/>
    <w:rsid w:val="00fc5d19"/>
    <w:rPr>
      <w:rFonts w:ascii="Arial" w:hAnsi="Arial" w:cs="Arial"/>
      <w:sz w:val="16"/>
      <w:szCs w:val="16"/>
    </w:rPr>
  </w:style>
  <w:style w:type="character" w:styleId="iceouttxt4" w:customStyle="1">
    <w:name w:val="iceouttxt4"/>
    <w:qFormat/>
    <w:rsid w:val="00fc5d19"/>
    <w:rPr>
      <w:rFonts w:cs="Times New Roman"/>
    </w:rPr>
  </w:style>
  <w:style w:type="paragraph" w:styleId="Style40">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link w:val="Style11"/>
    <w:uiPriority w:val="99"/>
    <w:unhideWhenUsed/>
    <w:qFormat/>
    <w:rsid w:val="00c31667"/>
    <w:pPr>
      <w:spacing w:before="0" w:after="120"/>
    </w:pPr>
    <w:rPr/>
  </w:style>
  <w:style w:type="paragraph" w:styleId="List">
    <w:name w:val="List"/>
    <w:basedOn w:val="Normal"/>
    <w:uiPriority w:val="99"/>
    <w:semiHidden/>
    <w:unhideWhenUsed/>
    <w:rsid w:val="005b2a9e"/>
    <w:pPr>
      <w:spacing w:before="0" w:after="60"/>
      <w:ind w:hanging="283" w:start="283"/>
      <w:jc w:val="both"/>
    </w:pPr>
    <w:rPr/>
  </w:style>
  <w:style w:type="paragraph" w:styleId="Caption">
    <w:name w:val="caption"/>
    <w:basedOn w:val="Normal"/>
    <w:uiPriority w:val="99"/>
    <w:semiHidden/>
    <w:unhideWhenUsed/>
    <w:qFormat/>
    <w:rsid w:val="000642e5"/>
    <w:pPr>
      <w:ind w:start="4820"/>
      <w:jc w:val="center"/>
    </w:pPr>
    <w:rPr>
      <w:b/>
      <w:szCs w:val="20"/>
    </w:rPr>
  </w:style>
  <w:style w:type="paragraph" w:styleId="Style41">
    <w:name w:val="Указатель"/>
    <w:basedOn w:val="Normal"/>
    <w:qFormat/>
    <w:pPr>
      <w:suppressLineNumbers/>
    </w:pPr>
    <w:rPr>
      <w:rFonts w:cs="Noto Sans"/>
    </w:rPr>
  </w:style>
  <w:style w:type="paragraph" w:styleId="user2" w:customStyle="1">
    <w:name w:val="Заголовок (user)"/>
    <w:next w:val="BodyText"/>
    <w:uiPriority w:val="99"/>
    <w:qFormat/>
    <w:rsid w:val="00c31667"/>
    <w:pPr>
      <w:widowControl/>
      <w:suppressAutoHyphens w:val="true"/>
      <w:bidi w:val="0"/>
      <w:spacing w:lineRule="auto" w:line="240" w:before="0" w:after="0"/>
      <w:jc w:val="start"/>
    </w:pPr>
    <w:rPr>
      <w:rFonts w:ascii="Arial" w:hAnsi="Arial" w:eastAsia="Times New Roman" w:cs="Arial"/>
      <w:b/>
      <w:bCs/>
      <w:color w:val="auto"/>
      <w:kern w:val="0"/>
      <w:sz w:val="22"/>
      <w:szCs w:val="22"/>
      <w:lang w:val="ru-RU" w:eastAsia="ar-SA" w:bidi="ar-SA"/>
    </w:rPr>
  </w:style>
  <w:style w:type="paragraph" w:styleId="user3">
    <w:name w:val="Указатель (user)"/>
    <w:basedOn w:val="Normal"/>
    <w:qFormat/>
    <w:pPr>
      <w:suppressLineNumbers/>
    </w:pPr>
    <w:rPr>
      <w:rFonts w:cs="Noto Sans"/>
    </w:rPr>
  </w:style>
  <w:style w:type="paragraph" w:styleId="BalloonText">
    <w:name w:val="Balloon Text"/>
    <w:basedOn w:val="Normal"/>
    <w:link w:val="Style5"/>
    <w:uiPriority w:val="99"/>
    <w:semiHidden/>
    <w:unhideWhenUsed/>
    <w:qFormat/>
    <w:rsid w:val="003a095b"/>
    <w:pPr/>
    <w:rPr>
      <w:rFonts w:ascii="Tahoma" w:hAnsi="Tahoma" w:cs="Tahoma"/>
      <w:sz w:val="16"/>
      <w:szCs w:val="16"/>
    </w:rPr>
  </w:style>
  <w:style w:type="paragraph" w:styleId="ListParagraph">
    <w:name w:val="List Paragraph"/>
    <w:basedOn w:val="Normal"/>
    <w:link w:val="Style36"/>
    <w:uiPriority w:val="34"/>
    <w:qFormat/>
    <w:rsid w:val="00a34b3e"/>
    <w:pPr>
      <w:spacing w:before="0" w:after="0"/>
      <w:ind w:start="720"/>
      <w:contextualSpacing/>
    </w:pPr>
    <w:rPr/>
  </w:style>
  <w:style w:type="paragraph" w:styleId="user4">
    <w:name w:val="Колонтитулы (user)"/>
    <w:basedOn w:val="Normal"/>
    <w:qFormat/>
    <w:pPr/>
    <w:rPr/>
  </w:style>
  <w:style w:type="paragraph" w:styleId="Style42">
    <w:name w:val="Колонтитулы"/>
    <w:basedOn w:val="Normal"/>
    <w:qFormat/>
    <w:pPr/>
    <w:rPr/>
  </w:style>
  <w:style w:type="paragraph" w:styleId="Footer">
    <w:name w:val="footer"/>
    <w:basedOn w:val="Normal"/>
    <w:link w:val="Style6"/>
    <w:uiPriority w:val="99"/>
    <w:unhideWhenUsed/>
    <w:rsid w:val="005f797c"/>
    <w:pPr>
      <w:tabs>
        <w:tab w:val="clear" w:pos="709"/>
        <w:tab w:val="center" w:pos="4677" w:leader="none"/>
        <w:tab w:val="right" w:pos="9355" w:leader="none"/>
      </w:tabs>
    </w:pPr>
    <w:rPr/>
  </w:style>
  <w:style w:type="paragraph" w:styleId="ConsNormal1" w:customStyle="1">
    <w:name w:val="ConsNormal"/>
    <w:link w:val="ConsNormal"/>
    <w:uiPriority w:val="99"/>
    <w:qFormat/>
    <w:rsid w:val="005f797c"/>
    <w:pPr>
      <w:widowControl w:val="false"/>
      <w:suppressAutoHyphens w:val="true"/>
      <w:bidi w:val="0"/>
      <w:spacing w:lineRule="auto" w:line="240" w:before="0" w:after="0"/>
      <w:ind w:firstLine="720" w:start="709" w:end="19772"/>
      <w:jc w:val="both"/>
    </w:pPr>
    <w:rPr>
      <w:rFonts w:ascii="Arial" w:hAnsi="Arial" w:eastAsia="Times New Roman" w:cs="Arial"/>
      <w:color w:val="auto"/>
      <w:kern w:val="0"/>
      <w:sz w:val="20"/>
      <w:szCs w:val="20"/>
      <w:lang w:val="ru-RU" w:eastAsia="ru-RU" w:bidi="ar-SA"/>
    </w:rPr>
  </w:style>
  <w:style w:type="paragraph" w:styleId="BodyText3">
    <w:name w:val="Body Text 3"/>
    <w:basedOn w:val="Normal"/>
    <w:link w:val="3"/>
    <w:uiPriority w:val="99"/>
    <w:qFormat/>
    <w:rsid w:val="0088538e"/>
    <w:pPr>
      <w:spacing w:before="0" w:after="120"/>
      <w:jc w:val="both"/>
    </w:pPr>
    <w:rPr>
      <w:rFonts w:eastAsia="Calibri"/>
      <w:sz w:val="16"/>
      <w:szCs w:val="16"/>
    </w:rPr>
  </w:style>
  <w:style w:type="paragraph" w:styleId="BodyTextIndent">
    <w:name w:val="Body Text Indent"/>
    <w:basedOn w:val="Normal"/>
    <w:link w:val="Style7"/>
    <w:unhideWhenUsed/>
    <w:qFormat/>
    <w:rsid w:val="009e286f"/>
    <w:pPr>
      <w:spacing w:before="0" w:after="120"/>
      <w:ind w:start="283"/>
    </w:pPr>
    <w:rPr/>
  </w:style>
  <w:style w:type="paragraph" w:styleId="BodyTextIndent2">
    <w:name w:val="Body Text Indent 2"/>
    <w:basedOn w:val="Normal"/>
    <w:link w:val="21"/>
    <w:uiPriority w:val="99"/>
    <w:semiHidden/>
    <w:unhideWhenUsed/>
    <w:qFormat/>
    <w:rsid w:val="00be73b5"/>
    <w:pPr>
      <w:spacing w:lineRule="auto" w:line="480" w:before="0" w:after="120"/>
      <w:ind w:start="283"/>
    </w:pPr>
    <w:rPr/>
  </w:style>
  <w:style w:type="paragraph" w:styleId="Default1" w:customStyle="1">
    <w:name w:val="Default"/>
    <w:link w:val="Default"/>
    <w:qFormat/>
    <w:rsid w:val="008b7e38"/>
    <w:pPr>
      <w:widowControl/>
      <w:suppressAutoHyphens w:val="true"/>
      <w:bidi w:val="0"/>
      <w:spacing w:lineRule="auto" w:line="240" w:before="0" w:after="0"/>
      <w:jc w:val="start"/>
    </w:pPr>
    <w:rPr>
      <w:rFonts w:ascii="Times New Roman" w:hAnsi="Times New Roman" w:eastAsia="Times New Roman" w:cs="Times New Roman"/>
      <w:color w:val="000000"/>
      <w:kern w:val="0"/>
      <w:sz w:val="24"/>
      <w:szCs w:val="24"/>
      <w:lang w:val="ru-RU" w:eastAsia="ru-RU" w:bidi="ar-SA"/>
    </w:rPr>
  </w:style>
  <w:style w:type="paragraph" w:styleId="FootnoteText">
    <w:name w:val="footnote text"/>
    <w:basedOn w:val="Normal"/>
    <w:link w:val="Style8"/>
    <w:unhideWhenUsed/>
    <w:qFormat/>
    <w:rsid w:val="00a8577b"/>
    <w:pPr/>
    <w:rPr>
      <w:sz w:val="20"/>
      <w:szCs w:val="20"/>
    </w:rPr>
  </w:style>
  <w:style w:type="paragraph" w:styleId="Header">
    <w:name w:val="header"/>
    <w:basedOn w:val="Normal"/>
    <w:link w:val="Style10"/>
    <w:uiPriority w:val="99"/>
    <w:unhideWhenUsed/>
    <w:rsid w:val="00f00394"/>
    <w:pPr>
      <w:tabs>
        <w:tab w:val="clear" w:pos="709"/>
        <w:tab w:val="center" w:pos="4677" w:leader="none"/>
        <w:tab w:val="right" w:pos="9355" w:leader="none"/>
      </w:tabs>
    </w:pPr>
    <w:rPr/>
  </w:style>
  <w:style w:type="paragraph" w:styleId="HTMLPreformatted">
    <w:name w:val="HTML Preformatted"/>
    <w:basedOn w:val="Normal"/>
    <w:link w:val="HTML"/>
    <w:unhideWhenUsed/>
    <w:qFormat/>
    <w:rsid w:val="00c31667"/>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color w:val="000000"/>
      <w:sz w:val="20"/>
      <w:szCs w:val="20"/>
    </w:rPr>
  </w:style>
  <w:style w:type="paragraph" w:styleId="NormalWeb">
    <w:name w:val="Normal (Web)"/>
    <w:basedOn w:val="Normal"/>
    <w:unhideWhenUsed/>
    <w:qFormat/>
    <w:rsid w:val="00c31667"/>
    <w:pPr>
      <w:spacing w:before="0" w:afterAutospacing="1"/>
    </w:pPr>
    <w:rPr>
      <w:rFonts w:ascii="Verdana" w:hAnsi="Verdana"/>
      <w:sz w:val="18"/>
      <w:szCs w:val="18"/>
    </w:rPr>
  </w:style>
  <w:style w:type="paragraph" w:styleId="ConsNonformat" w:customStyle="1">
    <w:name w:val="ConsNonformat"/>
    <w:uiPriority w:val="99"/>
    <w:qFormat/>
    <w:rsid w:val="00c31667"/>
    <w:pPr>
      <w:widowControl w:val="false"/>
      <w:suppressAutoHyphens w:val="true"/>
      <w:bidi w:val="0"/>
      <w:spacing w:lineRule="auto" w:line="240" w:before="0" w:after="0"/>
      <w:ind w:end="19772"/>
      <w:jc w:val="start"/>
    </w:pPr>
    <w:rPr>
      <w:rFonts w:ascii="Courier New" w:hAnsi="Courier New" w:eastAsia="Times New Roman" w:cs="Courier New"/>
      <w:color w:val="auto"/>
      <w:kern w:val="0"/>
      <w:sz w:val="20"/>
      <w:szCs w:val="20"/>
      <w:lang w:val="ru-RU" w:eastAsia="ru-RU" w:bidi="ar-SA"/>
    </w:rPr>
  </w:style>
  <w:style w:type="paragraph" w:styleId="ConsPlusNonformat1" w:customStyle="1">
    <w:name w:val="ConsPlusNonformat"/>
    <w:link w:val="ConsPlusNonformat"/>
    <w:qFormat/>
    <w:rsid w:val="00c31667"/>
    <w:pPr>
      <w:widowControl w:val="false"/>
      <w:suppressAutoHyphens w:val="true"/>
      <w:bidi w:val="0"/>
      <w:spacing w:lineRule="auto" w:line="240" w:before="0" w:after="0"/>
      <w:jc w:val="start"/>
    </w:pPr>
    <w:rPr>
      <w:rFonts w:ascii="Courier New" w:hAnsi="Courier New" w:eastAsia="Times New Roman" w:cs="Courier New"/>
      <w:color w:val="auto"/>
      <w:kern w:val="0"/>
      <w:sz w:val="20"/>
      <w:szCs w:val="20"/>
      <w:lang w:val="ru-RU" w:eastAsia="ru-RU" w:bidi="ar-SA"/>
    </w:rPr>
  </w:style>
  <w:style w:type="paragraph" w:styleId="ConsPlusNormal1" w:customStyle="1">
    <w:name w:val="ConsPlusNormal"/>
    <w:link w:val="ConsPlusNormal"/>
    <w:uiPriority w:val="99"/>
    <w:qFormat/>
    <w:rsid w:val="00c31667"/>
    <w:pPr>
      <w:widowControl w:val="false"/>
      <w:suppressAutoHyphens w:val="true"/>
      <w:bidi w:val="0"/>
      <w:spacing w:lineRule="auto" w:line="240" w:before="0" w:after="0"/>
      <w:ind w:firstLine="720"/>
      <w:jc w:val="start"/>
    </w:pPr>
    <w:rPr>
      <w:rFonts w:ascii="Arial" w:hAnsi="Arial" w:eastAsia="Times New Roman" w:cs="Arial"/>
      <w:color w:val="auto"/>
      <w:kern w:val="0"/>
      <w:sz w:val="20"/>
      <w:szCs w:val="20"/>
      <w:lang w:val="ru-RU" w:eastAsia="ru-RU" w:bidi="ar-SA"/>
    </w:rPr>
  </w:style>
  <w:style w:type="paragraph" w:styleId="Style43" w:customStyle="1">
    <w:name w:val="Содержимое таблицы"/>
    <w:basedOn w:val="Normal"/>
    <w:uiPriority w:val="39"/>
    <w:qFormat/>
    <w:rsid w:val="00c31667"/>
    <w:pPr>
      <w:suppressLineNumbers/>
      <w:suppressAutoHyphens w:val="true"/>
      <w:spacing w:before="0" w:after="60"/>
      <w:jc w:val="both"/>
    </w:pPr>
    <w:rPr>
      <w:lang w:eastAsia="ar-SA"/>
    </w:rPr>
  </w:style>
  <w:style w:type="paragraph" w:styleId="TOC1">
    <w:name w:val="toc 1"/>
    <w:basedOn w:val="Normal"/>
    <w:next w:val="Normal"/>
    <w:autoRedefine/>
    <w:uiPriority w:val="99"/>
    <w:semiHidden/>
    <w:unhideWhenUsed/>
    <w:rsid w:val="000642e5"/>
    <w:pPr>
      <w:tabs>
        <w:tab w:val="clear" w:pos="709"/>
        <w:tab w:val="right" w:pos="10338" w:leader="dot"/>
      </w:tabs>
      <w:ind w:end="-433"/>
      <w:jc w:val="center"/>
    </w:pPr>
    <w:rPr>
      <w:b/>
      <w:bCs/>
      <w:color w:val="000000"/>
      <w:sz w:val="32"/>
      <w:szCs w:val="32"/>
    </w:rPr>
  </w:style>
  <w:style w:type="paragraph" w:styleId="TOC2">
    <w:name w:val="toc 2"/>
    <w:basedOn w:val="Normal"/>
    <w:next w:val="Normal"/>
    <w:autoRedefine/>
    <w:uiPriority w:val="39"/>
    <w:semiHidden/>
    <w:unhideWhenUsed/>
    <w:rsid w:val="000642e5"/>
    <w:pPr>
      <w:tabs>
        <w:tab w:val="clear" w:pos="709"/>
        <w:tab w:val="right" w:pos="9403" w:leader="dot"/>
      </w:tabs>
      <w:ind w:start="720"/>
    </w:pPr>
    <w:rPr>
      <w:b/>
      <w:szCs w:val="20"/>
    </w:rPr>
  </w:style>
  <w:style w:type="paragraph" w:styleId="CommentText">
    <w:name w:val="annotation text"/>
    <w:basedOn w:val="Normal"/>
    <w:link w:val="24"/>
    <w:uiPriority w:val="99"/>
    <w:unhideWhenUsed/>
    <w:rsid w:val="000642e5"/>
    <w:pPr/>
    <w:rPr>
      <w:sz w:val="20"/>
      <w:szCs w:val="20"/>
    </w:rPr>
  </w:style>
  <w:style w:type="paragraph" w:styleId="EndnoteText">
    <w:name w:val="endnote text"/>
    <w:basedOn w:val="Normal"/>
    <w:link w:val="Style13"/>
    <w:uiPriority w:val="99"/>
    <w:semiHidden/>
    <w:unhideWhenUsed/>
    <w:rsid w:val="000642e5"/>
    <w:pPr/>
    <w:rPr>
      <w:sz w:val="20"/>
      <w:szCs w:val="20"/>
    </w:rPr>
  </w:style>
  <w:style w:type="paragraph" w:styleId="ListBullet">
    <w:name w:val="List Bullet"/>
    <w:basedOn w:val="Normal"/>
    <w:autoRedefine/>
    <w:uiPriority w:val="99"/>
    <w:semiHidden/>
    <w:unhideWhenUsed/>
    <w:rsid w:val="000642e5"/>
    <w:pPr>
      <w:tabs>
        <w:tab w:val="clear" w:pos="709"/>
        <w:tab w:val="left" w:pos="360" w:leader="none"/>
      </w:tabs>
      <w:ind w:hanging="360" w:start="360"/>
      <w:jc w:val="both"/>
    </w:pPr>
    <w:rPr>
      <w:szCs w:val="20"/>
    </w:rPr>
  </w:style>
  <w:style w:type="paragraph" w:styleId="List2">
    <w:name w:val="List 2"/>
    <w:basedOn w:val="Normal"/>
    <w:uiPriority w:val="99"/>
    <w:semiHidden/>
    <w:unhideWhenUsed/>
    <w:qFormat/>
    <w:rsid w:val="000642e5"/>
    <w:pPr>
      <w:spacing w:before="0" w:after="60"/>
      <w:ind w:hanging="283" w:start="566"/>
      <w:jc w:val="both"/>
    </w:pPr>
    <w:rPr/>
  </w:style>
  <w:style w:type="paragraph" w:styleId="ListBullet2">
    <w:name w:val="List Bullet 2"/>
    <w:basedOn w:val="Normal"/>
    <w:autoRedefine/>
    <w:uiPriority w:val="99"/>
    <w:semiHidden/>
    <w:unhideWhenUsed/>
    <w:rsid w:val="000642e5"/>
    <w:pPr>
      <w:tabs>
        <w:tab w:val="clear" w:pos="709"/>
        <w:tab w:val="left" w:pos="720" w:leader="none"/>
      </w:tabs>
      <w:ind w:hanging="360" w:start="720"/>
      <w:jc w:val="both"/>
    </w:pPr>
    <w:rPr>
      <w:szCs w:val="20"/>
    </w:rPr>
  </w:style>
  <w:style w:type="paragraph" w:styleId="ListBullet3">
    <w:name w:val="List Bullet 3"/>
    <w:basedOn w:val="Normal"/>
    <w:autoRedefine/>
    <w:uiPriority w:val="99"/>
    <w:semiHidden/>
    <w:unhideWhenUsed/>
    <w:rsid w:val="000642e5"/>
    <w:pPr>
      <w:tabs>
        <w:tab w:val="clear" w:pos="709"/>
        <w:tab w:val="left" w:pos="1080" w:leader="none"/>
      </w:tabs>
      <w:ind w:hanging="360" w:start="1080"/>
      <w:jc w:val="both"/>
    </w:pPr>
    <w:rPr>
      <w:szCs w:val="20"/>
    </w:rPr>
  </w:style>
  <w:style w:type="paragraph" w:styleId="ListNumber2">
    <w:name w:val="List Number 2"/>
    <w:basedOn w:val="Normal"/>
    <w:uiPriority w:val="99"/>
    <w:semiHidden/>
    <w:unhideWhenUsed/>
    <w:rsid w:val="000642e5"/>
    <w:pPr>
      <w:tabs>
        <w:tab w:val="clear" w:pos="709"/>
        <w:tab w:val="left" w:pos="283" w:leader="none"/>
      </w:tabs>
      <w:ind w:hanging="360" w:start="283"/>
    </w:pPr>
    <w:rPr/>
  </w:style>
  <w:style w:type="paragraph" w:styleId="Title">
    <w:name w:val="Title"/>
    <w:basedOn w:val="Normal"/>
    <w:link w:val="Style14"/>
    <w:uiPriority w:val="99"/>
    <w:qFormat/>
    <w:rsid w:val="000642e5"/>
    <w:pPr>
      <w:widowControl w:val="false"/>
      <w:jc w:val="center"/>
    </w:pPr>
    <w:rPr>
      <w:sz w:val="28"/>
      <w:szCs w:val="20"/>
    </w:rPr>
  </w:style>
  <w:style w:type="paragraph" w:styleId="ListContinue2">
    <w:name w:val="List Continue 2"/>
    <w:basedOn w:val="Normal"/>
    <w:uiPriority w:val="99"/>
    <w:semiHidden/>
    <w:unhideWhenUsed/>
    <w:rsid w:val="000642e5"/>
    <w:pPr>
      <w:spacing w:before="0" w:after="120"/>
      <w:ind w:start="566"/>
    </w:pPr>
    <w:rPr/>
  </w:style>
  <w:style w:type="paragraph" w:styleId="Subtitle">
    <w:name w:val="Subtitle"/>
    <w:basedOn w:val="Normal"/>
    <w:next w:val="BodyText"/>
    <w:link w:val="Style15"/>
    <w:uiPriority w:val="99"/>
    <w:qFormat/>
    <w:rsid w:val="000642e5"/>
    <w:pPr>
      <w:suppressAutoHyphens w:val="true"/>
      <w:spacing w:before="0" w:after="60"/>
      <w:jc w:val="center"/>
    </w:pPr>
    <w:rPr>
      <w:rFonts w:ascii="Arial" w:hAnsi="Arial"/>
      <w:szCs w:val="20"/>
      <w:lang w:eastAsia="ar-SA"/>
    </w:rPr>
  </w:style>
  <w:style w:type="paragraph" w:styleId="Date">
    <w:name w:val="Date"/>
    <w:basedOn w:val="Normal"/>
    <w:next w:val="Normal"/>
    <w:link w:val="Style16"/>
    <w:uiPriority w:val="99"/>
    <w:semiHidden/>
    <w:unhideWhenUsed/>
    <w:qFormat/>
    <w:rsid w:val="000642e5"/>
    <w:pPr>
      <w:jc w:val="both"/>
    </w:pPr>
    <w:rPr>
      <w:sz w:val="20"/>
      <w:szCs w:val="20"/>
    </w:rPr>
  </w:style>
  <w:style w:type="paragraph" w:styleId="BodyText2">
    <w:name w:val="Body Text 2"/>
    <w:basedOn w:val="Normal"/>
    <w:link w:val="22"/>
    <w:uiPriority w:val="99"/>
    <w:unhideWhenUsed/>
    <w:qFormat/>
    <w:rsid w:val="000642e5"/>
    <w:pPr>
      <w:widowControl w:val="false"/>
      <w:jc w:val="both"/>
    </w:pPr>
    <w:rPr>
      <w:i/>
      <w:szCs w:val="20"/>
      <w:lang w:val="en-US"/>
    </w:rPr>
  </w:style>
  <w:style w:type="paragraph" w:styleId="BodyTextIndent3">
    <w:name w:val="Body Text Indent 3"/>
    <w:basedOn w:val="Normal"/>
    <w:link w:val="32"/>
    <w:uiPriority w:val="99"/>
    <w:semiHidden/>
    <w:unhideWhenUsed/>
    <w:qFormat/>
    <w:rsid w:val="000642e5"/>
    <w:pPr>
      <w:tabs>
        <w:tab w:val="clear" w:pos="709"/>
        <w:tab w:val="left" w:pos="0" w:leader="none"/>
        <w:tab w:val="left" w:pos="1418" w:leader="none"/>
      </w:tabs>
      <w:suppressAutoHyphens w:val="true"/>
      <w:ind w:firstLine="709"/>
      <w:jc w:val="both"/>
    </w:pPr>
    <w:rPr>
      <w:szCs w:val="20"/>
    </w:rPr>
  </w:style>
  <w:style w:type="paragraph" w:styleId="annotationsubject">
    <w:name w:val="annotation subject"/>
    <w:basedOn w:val="CommentText"/>
    <w:next w:val="CommentText"/>
    <w:link w:val="25"/>
    <w:uiPriority w:val="99"/>
    <w:semiHidden/>
    <w:unhideWhenUsed/>
    <w:qFormat/>
    <w:rsid w:val="000642e5"/>
    <w:pPr/>
    <w:rPr>
      <w:b/>
      <w:bCs/>
    </w:rPr>
  </w:style>
  <w:style w:type="paragraph" w:styleId="NoSpacing">
    <w:name w:val="No Spacing"/>
    <w:uiPriority w:val="1"/>
    <w:qFormat/>
    <w:rsid w:val="000642e5"/>
    <w:pPr>
      <w:widowControl/>
      <w:suppressAutoHyphens w:val="true"/>
      <w:bidi w:val="0"/>
      <w:spacing w:lineRule="auto" w:line="240" w:before="0" w:after="0"/>
      <w:jc w:val="start"/>
    </w:pPr>
    <w:rPr>
      <w:rFonts w:ascii="Calibri" w:hAnsi="Calibri" w:eastAsia="Times New Roman" w:cs="Times New Roman" w:asciiTheme="minorHAnsi" w:hAnsiTheme="minorHAnsi"/>
      <w:color w:val="auto"/>
      <w:kern w:val="2"/>
      <w:sz w:val="22"/>
      <w:szCs w:val="22"/>
      <w:lang w:val="ru-RU" w:eastAsia="ar-SA" w:bidi="ar-SA"/>
    </w:rPr>
  </w:style>
  <w:style w:type="paragraph" w:styleId="Revision">
    <w:name w:val="Revision"/>
    <w:uiPriority w:val="99"/>
    <w:semiHidden/>
    <w:qFormat/>
    <w:rsid w:val="000642e5"/>
    <w:pPr>
      <w:widowControl/>
      <w:suppressAutoHyphens w:val="true"/>
      <w:bidi w:val="0"/>
      <w:spacing w:lineRule="auto" w:line="240" w:before="0" w:after="0"/>
      <w:jc w:val="start"/>
    </w:pPr>
    <w:rPr>
      <w:rFonts w:ascii="Times New Roman" w:hAnsi="Times New Roman" w:eastAsia="Times New Roman" w:cs="Times New Roman"/>
      <w:color w:val="auto"/>
      <w:kern w:val="0"/>
      <w:sz w:val="24"/>
      <w:szCs w:val="24"/>
      <w:lang w:val="ru-RU" w:eastAsia="ru-RU" w:bidi="ar-SA"/>
    </w:rPr>
  </w:style>
  <w:style w:type="paragraph" w:styleId="137" w:customStyle="1">
    <w:name w:val="Обычный1"/>
    <w:uiPriority w:val="99"/>
    <w:qFormat/>
    <w:rsid w:val="000642e5"/>
    <w:pPr>
      <w:widowControl/>
      <w:suppressAutoHyphens w:val="true"/>
      <w:bidi w:val="0"/>
      <w:spacing w:lineRule="auto" w:line="240" w:before="0" w:after="0"/>
      <w:jc w:val="start"/>
    </w:pPr>
    <w:rPr>
      <w:rFonts w:ascii="Times New Roman" w:hAnsi="Times New Roman" w:eastAsia="Times New Roman" w:cs="Times New Roman"/>
      <w:color w:val="auto"/>
      <w:kern w:val="0"/>
      <w:sz w:val="26"/>
      <w:szCs w:val="20"/>
      <w:lang w:val="ru-RU" w:eastAsia="ru-RU" w:bidi="ar-SA"/>
    </w:rPr>
  </w:style>
  <w:style w:type="paragraph" w:styleId="138" w:customStyle="1">
    <w:name w:val="Абзац списка1"/>
    <w:basedOn w:val="Normal"/>
    <w:link w:val="ListParagraphChar"/>
    <w:qFormat/>
    <w:rsid w:val="000642e5"/>
    <w:pPr>
      <w:spacing w:before="0" w:after="0"/>
      <w:ind w:start="720"/>
      <w:contextualSpacing/>
    </w:pPr>
    <w:rPr/>
  </w:style>
  <w:style w:type="paragraph" w:styleId="139" w:customStyle="1">
    <w:name w:val="Стиль1"/>
    <w:basedOn w:val="138"/>
    <w:link w:val="12"/>
    <w:uiPriority w:val="99"/>
    <w:qFormat/>
    <w:rsid w:val="000642e5"/>
    <w:pPr>
      <w:keepNext w:val="true"/>
      <w:keepLines/>
      <w:numPr>
        <w:ilvl w:val="0"/>
        <w:numId w:val="1"/>
      </w:numPr>
      <w:jc w:val="both"/>
      <w:outlineLvl w:val="0"/>
    </w:pPr>
    <w:rPr>
      <w:rFonts w:eastAsia="Calibri" w:cs="" w:cstheme="minorBidi" w:eastAsiaTheme="minorHAnsi"/>
      <w:b/>
      <w:bCs/>
      <w:color w:val="000000"/>
      <w:sz w:val="28"/>
      <w:szCs w:val="28"/>
    </w:rPr>
  </w:style>
  <w:style w:type="paragraph" w:styleId="210" w:customStyle="1">
    <w:name w:val="М2М_Текст"/>
    <w:basedOn w:val="Normal"/>
    <w:uiPriority w:val="99"/>
    <w:qFormat/>
    <w:rsid w:val="000642e5"/>
    <w:pPr>
      <w:suppressAutoHyphens w:val="true"/>
      <w:snapToGrid w:val="false"/>
      <w:spacing w:lineRule="auto" w:line="360"/>
      <w:ind w:firstLine="851" w:end="284"/>
      <w:jc w:val="both"/>
    </w:pPr>
    <w:rPr>
      <w:sz w:val="26"/>
      <w:szCs w:val="26"/>
    </w:rPr>
  </w:style>
  <w:style w:type="paragraph" w:styleId="215" w:customStyle="1">
    <w:name w:val="Знак2"/>
    <w:basedOn w:val="Normal"/>
    <w:next w:val="Heading2"/>
    <w:autoRedefine/>
    <w:uiPriority w:val="99"/>
    <w:qFormat/>
    <w:rsid w:val="000642e5"/>
    <w:pPr>
      <w:spacing w:lineRule="exact" w:line="240" w:before="0" w:after="160"/>
      <w:jc w:val="both"/>
    </w:pPr>
    <w:rPr>
      <w:szCs w:val="20"/>
      <w:lang w:val="en-US"/>
    </w:rPr>
  </w:style>
  <w:style w:type="paragraph" w:styleId="Style44" w:customStyle="1">
    <w:name w:val="Осн. текст Д"/>
    <w:uiPriority w:val="99"/>
    <w:qFormat/>
    <w:rsid w:val="000642e5"/>
    <w:pPr>
      <w:widowControl/>
      <w:suppressAutoHyphens w:val="true"/>
      <w:bidi w:val="0"/>
      <w:snapToGrid w:val="false"/>
      <w:spacing w:lineRule="auto" w:line="240" w:before="0" w:after="40"/>
      <w:ind w:firstLine="284"/>
      <w:jc w:val="both"/>
    </w:pPr>
    <w:rPr>
      <w:rFonts w:ascii="Times New Roman" w:hAnsi="Times New Roman" w:eastAsia="Times New Roman" w:cs="Times New Roman"/>
      <w:color w:val="auto"/>
      <w:kern w:val="0"/>
      <w:sz w:val="24"/>
      <w:szCs w:val="20"/>
      <w:lang w:val="ru-RU" w:eastAsia="ru-RU" w:bidi="ar-SA"/>
    </w:rPr>
  </w:style>
  <w:style w:type="paragraph" w:styleId="140" w:customStyle="1">
    <w:name w:val="Список1"/>
    <w:basedOn w:val="Normal"/>
    <w:uiPriority w:val="99"/>
    <w:qFormat/>
    <w:rsid w:val="000642e5"/>
    <w:pPr>
      <w:numPr>
        <w:ilvl w:val="0"/>
        <w:numId w:val="2"/>
      </w:numPr>
      <w:tabs>
        <w:tab w:val="clear" w:pos="709"/>
        <w:tab w:val="left" w:pos="7088" w:leader="none"/>
      </w:tabs>
      <w:spacing w:lineRule="auto" w:line="360"/>
    </w:pPr>
    <w:rPr>
      <w:szCs w:val="20"/>
    </w:rPr>
  </w:style>
  <w:style w:type="paragraph" w:styleId="34" w:customStyle="1">
    <w:name w:val="Стиль3"/>
    <w:basedOn w:val="BodyTextIndent2"/>
    <w:link w:val="33"/>
    <w:uiPriority w:val="99"/>
    <w:qFormat/>
    <w:rsid w:val="000642e5"/>
    <w:pPr>
      <w:widowControl w:val="false"/>
      <w:numPr>
        <w:ilvl w:val="2"/>
        <w:numId w:val="3"/>
      </w:numPr>
      <w:tabs>
        <w:tab w:val="clear" w:pos="709"/>
        <w:tab w:val="left" w:pos="2160" w:leader="none"/>
      </w:tabs>
      <w:spacing w:lineRule="auto" w:line="240" w:before="0" w:after="0"/>
      <w:ind w:hanging="180" w:start="2160"/>
      <w:jc w:val="both"/>
    </w:pPr>
    <w:rPr>
      <w:szCs w:val="20"/>
    </w:rPr>
  </w:style>
  <w:style w:type="paragraph" w:styleId="1110" w:customStyle="1">
    <w:name w:val="заголовок 11"/>
    <w:basedOn w:val="Normal"/>
    <w:next w:val="Normal"/>
    <w:uiPriority w:val="99"/>
    <w:qFormat/>
    <w:rsid w:val="000642e5"/>
    <w:pPr>
      <w:keepNext w:val="true"/>
      <w:jc w:val="center"/>
    </w:pPr>
    <w:rPr>
      <w:szCs w:val="20"/>
    </w:rPr>
  </w:style>
  <w:style w:type="paragraph" w:styleId="216" w:customStyle="1">
    <w:name w:val="Обычный2"/>
    <w:uiPriority w:val="99"/>
    <w:qFormat/>
    <w:rsid w:val="000642e5"/>
    <w:pPr>
      <w:widowControl w:val="false"/>
      <w:suppressAutoHyphens w:val="true"/>
      <w:bidi w:val="0"/>
      <w:snapToGrid w:val="false"/>
      <w:spacing w:lineRule="auto" w:line="240" w:before="0" w:after="0"/>
      <w:ind w:firstLine="400"/>
      <w:jc w:val="both"/>
    </w:pPr>
    <w:rPr>
      <w:rFonts w:ascii="Times New Roman" w:hAnsi="Times New Roman" w:eastAsia="Times New Roman" w:cs="Times New Roman"/>
      <w:color w:val="auto"/>
      <w:kern w:val="0"/>
      <w:sz w:val="24"/>
      <w:szCs w:val="20"/>
      <w:lang w:val="ru-RU" w:eastAsia="ru-RU" w:bidi="ar-SA"/>
    </w:rPr>
  </w:style>
  <w:style w:type="paragraph" w:styleId="Style45" w:customStyle="1">
    <w:name w:val="текст сноски"/>
    <w:basedOn w:val="Normal"/>
    <w:uiPriority w:val="99"/>
    <w:qFormat/>
    <w:rsid w:val="000642e5"/>
    <w:pPr>
      <w:widowControl w:val="false"/>
    </w:pPr>
    <w:rPr>
      <w:rFonts w:ascii="Gelvetsky 12pt" w:hAnsi="Gelvetsky 12pt"/>
      <w:szCs w:val="20"/>
      <w:lang w:val="en-US"/>
    </w:rPr>
  </w:style>
  <w:style w:type="paragraph" w:styleId="3---" w:customStyle="1">
    <w:name w:val="3---"/>
    <w:basedOn w:val="Normal"/>
    <w:uiPriority w:val="99"/>
    <w:qFormat/>
    <w:rsid w:val="000642e5"/>
    <w:pPr>
      <w:spacing w:before="120" w:after="120"/>
      <w:jc w:val="both"/>
    </w:pPr>
    <w:rPr>
      <w:szCs w:val="20"/>
    </w:rPr>
  </w:style>
  <w:style w:type="paragraph" w:styleId="FormField" w:customStyle="1">
    <w:name w:val="FormField"/>
    <w:basedOn w:val="Normal"/>
    <w:uiPriority w:val="99"/>
    <w:qFormat/>
    <w:rsid w:val="000642e5"/>
    <w:pPr>
      <w:widowControl w:val="false"/>
      <w:spacing w:before="120" w:after="0"/>
    </w:pPr>
    <w:rPr>
      <w:rFonts w:ascii="Arial" w:hAnsi="Arial"/>
      <w:b/>
      <w:szCs w:val="20"/>
    </w:rPr>
  </w:style>
  <w:style w:type="paragraph" w:styleId="Head93" w:customStyle="1">
    <w:name w:val="Head 9.3"/>
    <w:basedOn w:val="Normal"/>
    <w:next w:val="Normal"/>
    <w:uiPriority w:val="99"/>
    <w:qFormat/>
    <w:rsid w:val="000642e5"/>
    <w:pPr>
      <w:keepNext w:val="true"/>
      <w:widowControl w:val="false"/>
      <w:suppressAutoHyphens w:val="true"/>
      <w:spacing w:before="240" w:after="60"/>
      <w:jc w:val="center"/>
    </w:pPr>
    <w:rPr>
      <w:rFonts w:ascii="Times New Roman Bold" w:hAnsi="Times New Roman Bold"/>
      <w:b/>
      <w:bCs/>
      <w:sz w:val="28"/>
      <w:szCs w:val="28"/>
    </w:rPr>
  </w:style>
  <w:style w:type="paragraph" w:styleId="FR1" w:customStyle="1">
    <w:name w:val="FR1"/>
    <w:uiPriority w:val="99"/>
    <w:qFormat/>
    <w:rsid w:val="000642e5"/>
    <w:pPr>
      <w:widowControl w:val="false"/>
      <w:suppressAutoHyphens w:val="true"/>
      <w:bidi w:val="0"/>
      <w:snapToGrid w:val="false"/>
      <w:spacing w:lineRule="auto" w:line="300" w:before="160" w:after="0"/>
      <w:jc w:val="center"/>
    </w:pPr>
    <w:rPr>
      <w:rFonts w:ascii="Arial" w:hAnsi="Arial" w:eastAsia="Times New Roman" w:cs="Times New Roman"/>
      <w:color w:val="auto"/>
      <w:kern w:val="0"/>
      <w:sz w:val="16"/>
      <w:szCs w:val="20"/>
      <w:lang w:val="ru-RU" w:eastAsia="ru-RU" w:bidi="ar-SA"/>
    </w:rPr>
  </w:style>
  <w:style w:type="paragraph" w:styleId="217" w:customStyle="1">
    <w:name w:val="Стиль2"/>
    <w:basedOn w:val="ListNumber2"/>
    <w:uiPriority w:val="99"/>
    <w:qFormat/>
    <w:rsid w:val="000642e5"/>
    <w:pPr>
      <w:keepNext w:val="true"/>
      <w:keepLines/>
      <w:widowControl w:val="false"/>
      <w:suppressLineNumbers/>
      <w:tabs>
        <w:tab w:val="clear" w:pos="283"/>
        <w:tab w:val="left" w:pos="1440" w:leader="none"/>
      </w:tabs>
      <w:suppressAutoHyphens w:val="true"/>
      <w:spacing w:before="0" w:after="60"/>
      <w:ind w:start="1440"/>
      <w:jc w:val="both"/>
    </w:pPr>
    <w:rPr>
      <w:b/>
      <w:szCs w:val="20"/>
    </w:rPr>
  </w:style>
  <w:style w:type="paragraph" w:styleId="StyleFirstline127cm" w:customStyle="1">
    <w:name w:val="Style First line:  127 cm"/>
    <w:basedOn w:val="Normal"/>
    <w:uiPriority w:val="99"/>
    <w:qFormat/>
    <w:rsid w:val="000642e5"/>
    <w:pPr>
      <w:numPr>
        <w:ilvl w:val="0"/>
        <w:numId w:val="4"/>
      </w:numPr>
      <w:overflowPunct w:val="false"/>
      <w:spacing w:before="120" w:after="0"/>
      <w:ind w:firstLine="720" w:start="0"/>
      <w:jc w:val="both"/>
    </w:pPr>
    <w:rPr>
      <w:rFonts w:ascii="Arial" w:hAnsi="Arial"/>
      <w:szCs w:val="20"/>
    </w:rPr>
  </w:style>
  <w:style w:type="paragraph" w:styleId="218" w:customStyle="1">
    <w:name w:val="Основной текст 21"/>
    <w:basedOn w:val="Normal"/>
    <w:qFormat/>
    <w:rsid w:val="000642e5"/>
    <w:pPr>
      <w:widowControl w:val="false"/>
      <w:overflowPunct w:val="false"/>
      <w:spacing w:lineRule="auto" w:line="360"/>
      <w:ind w:firstLine="720"/>
      <w:jc w:val="both"/>
    </w:pPr>
    <w:rPr>
      <w:szCs w:val="20"/>
    </w:rPr>
  </w:style>
  <w:style w:type="paragraph" w:styleId="Oaaeeoaoaeno" w:customStyle="1">
    <w:name w:val="#Oaaeeoa oaeno"/>
    <w:basedOn w:val="Normal"/>
    <w:uiPriority w:val="99"/>
    <w:qFormat/>
    <w:rsid w:val="000642e5"/>
    <w:pPr>
      <w:overflowPunct w:val="false"/>
    </w:pPr>
    <w:rPr>
      <w:sz w:val="20"/>
      <w:szCs w:val="20"/>
    </w:rPr>
  </w:style>
  <w:style w:type="paragraph" w:styleId="315" w:customStyle="1">
    <w:name w:val="Основной текст с отступом 31"/>
    <w:basedOn w:val="Normal"/>
    <w:uiPriority w:val="99"/>
    <w:qFormat/>
    <w:rsid w:val="000642e5"/>
    <w:pPr>
      <w:widowControl w:val="false"/>
      <w:tabs>
        <w:tab w:val="clear" w:pos="709"/>
        <w:tab w:val="left" w:pos="0" w:leader="none"/>
      </w:tabs>
      <w:overflowPunct w:val="false"/>
      <w:ind w:hanging="11" w:end="21"/>
      <w:jc w:val="both"/>
    </w:pPr>
    <w:rPr>
      <w:rFonts w:ascii="Bookman Old Style" w:hAnsi="Bookman Old Style"/>
      <w:i/>
      <w:color w:val="000000"/>
      <w:szCs w:val="20"/>
    </w:rPr>
  </w:style>
  <w:style w:type="paragraph" w:styleId="316" w:customStyle="1">
    <w:name w:val="Основной текст 31"/>
    <w:basedOn w:val="Normal"/>
    <w:uiPriority w:val="99"/>
    <w:qFormat/>
    <w:rsid w:val="000642e5"/>
    <w:pPr>
      <w:widowControl w:val="false"/>
      <w:overflowPunct w:val="false"/>
      <w:jc w:val="both"/>
    </w:pPr>
    <w:rPr>
      <w:rFonts w:ascii="Tahoma" w:hAnsi="Tahoma"/>
      <w:color w:val="000000"/>
      <w:szCs w:val="20"/>
    </w:rPr>
  </w:style>
  <w:style w:type="paragraph" w:styleId="a0" w:customStyle="1">
    <w:name w:val="a0"/>
    <w:basedOn w:val="Normal"/>
    <w:uiPriority w:val="99"/>
    <w:qFormat/>
    <w:rsid w:val="000642e5"/>
    <w:pPr>
      <w:spacing w:beforeAutospacing="1" w:afterAutospacing="1"/>
    </w:pPr>
    <w:rPr>
      <w:rFonts w:ascii="Arial Unicode MS" w:hAnsi="Arial Unicode MS" w:eastAsia="Arial Unicode MS" w:cs="Arial Unicode MS"/>
    </w:rPr>
  </w:style>
  <w:style w:type="paragraph" w:styleId="1KGK9" w:customStyle="1">
    <w:name w:val="1KG=K9"/>
    <w:uiPriority w:val="99"/>
    <w:qFormat/>
    <w:rsid w:val="000642e5"/>
    <w:pPr>
      <w:widowControl/>
      <w:suppressAutoHyphens w:val="true"/>
      <w:bidi w:val="0"/>
      <w:snapToGrid w:val="false"/>
      <w:spacing w:lineRule="auto" w:line="240" w:before="0" w:after="0"/>
      <w:jc w:val="start"/>
    </w:pPr>
    <w:rPr>
      <w:rFonts w:ascii="Arial" w:hAnsi="Arial" w:eastAsia="Times New Roman" w:cs="Times New Roman"/>
      <w:color w:val="auto"/>
      <w:kern w:val="0"/>
      <w:sz w:val="24"/>
      <w:szCs w:val="20"/>
      <w:lang w:val="en-AU" w:eastAsia="en-US" w:bidi="ar-SA"/>
    </w:rPr>
  </w:style>
  <w:style w:type="paragraph" w:styleId="Style46" w:customStyle="1">
    <w:name w:val="#Таблица цифры"/>
    <w:basedOn w:val="Normal"/>
    <w:uiPriority w:val="99"/>
    <w:qFormat/>
    <w:rsid w:val="000642e5"/>
    <w:pPr>
      <w:jc w:val="center"/>
    </w:pPr>
    <w:rPr>
      <w:sz w:val="20"/>
      <w:szCs w:val="20"/>
    </w:rPr>
  </w:style>
  <w:style w:type="paragraph" w:styleId="Style47" w:customStyle="1">
    <w:name w:val="Стиль"/>
    <w:uiPriority w:val="99"/>
    <w:qFormat/>
    <w:rsid w:val="000642e5"/>
    <w:pPr>
      <w:widowControl w:val="false"/>
      <w:suppressAutoHyphens w:val="true"/>
      <w:bidi w:val="0"/>
      <w:spacing w:lineRule="auto" w:line="240" w:before="0" w:after="0"/>
      <w:jc w:val="start"/>
    </w:pPr>
    <w:rPr>
      <w:rFonts w:ascii="Arial" w:hAnsi="Arial" w:eastAsia="Times New Roman" w:cs="Arial"/>
      <w:color w:val="auto"/>
      <w:kern w:val="0"/>
      <w:sz w:val="24"/>
      <w:szCs w:val="24"/>
      <w:lang w:val="ru-RU" w:eastAsia="ru-RU" w:bidi="ar-SA"/>
    </w:rPr>
  </w:style>
  <w:style w:type="paragraph" w:styleId="Style48" w:customStyle="1">
    <w:name w:val="Знак"/>
    <w:basedOn w:val="Normal"/>
    <w:next w:val="Heading2"/>
    <w:autoRedefine/>
    <w:qFormat/>
    <w:rsid w:val="000642e5"/>
    <w:pPr>
      <w:spacing w:lineRule="exact" w:line="240" w:before="0" w:after="160"/>
      <w:jc w:val="both"/>
    </w:pPr>
    <w:rPr>
      <w:szCs w:val="20"/>
      <w:lang w:val="en-US"/>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uiPriority w:val="99"/>
    <w:qFormat/>
    <w:rsid w:val="000642e5"/>
    <w:pPr>
      <w:spacing w:beforeAutospacing="1" w:afterAutospacing="1"/>
    </w:pPr>
    <w:rPr>
      <w:rFonts w:ascii="Tahoma" w:hAnsi="Tahoma"/>
      <w:sz w:val="20"/>
      <w:szCs w:val="20"/>
      <w:lang w:val="en-US"/>
    </w:rPr>
  </w:style>
  <w:style w:type="paragraph" w:styleId="mark-" w:customStyle="1">
    <w:name w:val="mark -"/>
    <w:basedOn w:val="Style44"/>
    <w:uiPriority w:val="99"/>
    <w:qFormat/>
    <w:rsid w:val="000642e5"/>
    <w:pPr>
      <w:numPr>
        <w:ilvl w:val="0"/>
        <w:numId w:val="5"/>
      </w:numPr>
      <w:tabs>
        <w:tab w:val="clear" w:pos="708"/>
        <w:tab w:val="right" w:pos="10490" w:leader="dot"/>
      </w:tabs>
      <w:jc w:val="start"/>
    </w:pPr>
    <w:rPr/>
  </w:style>
  <w:style w:type="paragraph" w:styleId="CharCharCharChar" w:customStyle="1">
    <w:name w:val="Знак Знак Char Char Знак Знак Char Char Знак Знак Знак Знак Знак Знак"/>
    <w:basedOn w:val="Normal"/>
    <w:uiPriority w:val="99"/>
    <w:qFormat/>
    <w:rsid w:val="000642e5"/>
    <w:pPr>
      <w:spacing w:lineRule="exact" w:line="240" w:before="0" w:after="160"/>
    </w:pPr>
    <w:rPr>
      <w:rFonts w:ascii="Verdana" w:hAnsi="Verdana"/>
      <w:lang w:val="en-US"/>
    </w:rPr>
  </w:style>
  <w:style w:type="paragraph" w:styleId="ConsCell" w:customStyle="1">
    <w:name w:val="ConsCell"/>
    <w:uiPriority w:val="99"/>
    <w:qFormat/>
    <w:rsid w:val="000642e5"/>
    <w:pPr>
      <w:widowControl w:val="false"/>
      <w:suppressAutoHyphens w:val="true"/>
      <w:bidi w:val="0"/>
      <w:spacing w:lineRule="auto" w:line="240" w:before="0" w:after="0"/>
      <w:jc w:val="start"/>
    </w:pPr>
    <w:rPr>
      <w:rFonts w:ascii="Arial" w:hAnsi="Arial" w:eastAsia="Times New Roman" w:cs="Arial"/>
      <w:color w:val="auto"/>
      <w:kern w:val="0"/>
      <w:sz w:val="20"/>
      <w:szCs w:val="20"/>
      <w:lang w:val="ru-RU" w:eastAsia="ru-RU" w:bidi="ar-SA"/>
    </w:rPr>
  </w:style>
  <w:style w:type="paragraph" w:styleId="ReportLevel1" w:customStyle="1">
    <w:name w:val="Report Level 1"/>
    <w:basedOn w:val="Normal"/>
    <w:next w:val="Normal"/>
    <w:uiPriority w:val="99"/>
    <w:qFormat/>
    <w:rsid w:val="000642e5"/>
    <w:pPr>
      <w:numPr>
        <w:ilvl w:val="0"/>
        <w:numId w:val="6"/>
      </w:numPr>
      <w:spacing w:before="60" w:after="0"/>
      <w:outlineLvl w:val="0"/>
    </w:pPr>
    <w:rPr>
      <w:rFonts w:ascii="Arial" w:hAnsi="Arial" w:eastAsia="MS Mincho" w:cs="Arial"/>
      <w:b/>
      <w:bCs/>
      <w:caps/>
    </w:rPr>
  </w:style>
  <w:style w:type="paragraph" w:styleId="ReportLevel2" w:customStyle="1">
    <w:name w:val="Report Level 2"/>
    <w:basedOn w:val="ReportLevel1"/>
    <w:next w:val="Normal"/>
    <w:uiPriority w:val="99"/>
    <w:qFormat/>
    <w:rsid w:val="000642e5"/>
    <w:pPr>
      <w:spacing w:before="240" w:after="0"/>
      <w:outlineLvl w:val="1"/>
    </w:pPr>
    <w:rPr>
      <w:caps w:val="false"/>
      <w:smallCaps w:val="false"/>
    </w:rPr>
  </w:style>
  <w:style w:type="paragraph" w:styleId="ReportLevel3" w:customStyle="1">
    <w:name w:val="Report Level 3"/>
    <w:basedOn w:val="ReportLevel1"/>
    <w:next w:val="Normal"/>
    <w:uiPriority w:val="99"/>
    <w:qFormat/>
    <w:rsid w:val="000642e5"/>
    <w:pPr>
      <w:tabs>
        <w:tab w:val="clear" w:pos="709"/>
        <w:tab w:val="left" w:pos="2160" w:leader="none"/>
      </w:tabs>
      <w:spacing w:before="260" w:after="0"/>
      <w:outlineLvl w:val="2"/>
    </w:pPr>
    <w:rPr>
      <w:caps w:val="false"/>
      <w:smallCaps w:val="false"/>
      <w:sz w:val="20"/>
      <w:szCs w:val="20"/>
    </w:rPr>
  </w:style>
  <w:style w:type="paragraph" w:styleId="ReportLevel4" w:customStyle="1">
    <w:name w:val="Report Level 4"/>
    <w:basedOn w:val="ReportLevel3"/>
    <w:next w:val="Normal"/>
    <w:uiPriority w:val="99"/>
    <w:qFormat/>
    <w:rsid w:val="000642e5"/>
    <w:pPr>
      <w:outlineLvl w:val="3"/>
    </w:pPr>
    <w:rPr/>
  </w:style>
  <w:style w:type="paragraph" w:styleId="52" w:customStyle="1">
    <w:name w:val="Основной текст5"/>
    <w:basedOn w:val="Normal"/>
    <w:link w:val="Style18"/>
    <w:qFormat/>
    <w:rsid w:val="000642e5"/>
    <w:pPr>
      <w:shd w:val="clear" w:color="auto" w:fill="FFFFFF"/>
      <w:spacing w:lineRule="atLeast" w:line="240"/>
      <w:ind w:hanging="360"/>
    </w:pPr>
    <w:rPr>
      <w:sz w:val="27"/>
    </w:rPr>
  </w:style>
  <w:style w:type="paragraph" w:styleId="142" w:customStyle="1">
    <w:name w:val="Заголовок №1"/>
    <w:basedOn w:val="Normal"/>
    <w:link w:val="13"/>
    <w:uiPriority w:val="99"/>
    <w:qFormat/>
    <w:rsid w:val="000642e5"/>
    <w:pPr>
      <w:shd w:val="clear" w:color="auto" w:fill="FFFFFF"/>
      <w:spacing w:lineRule="atLeast" w:line="240" w:before="0" w:after="60"/>
      <w:ind w:hanging="360"/>
      <w:jc w:val="both"/>
      <w:outlineLvl w:val="0"/>
    </w:pPr>
    <w:rPr>
      <w:sz w:val="27"/>
    </w:rPr>
  </w:style>
  <w:style w:type="paragraph" w:styleId="219" w:customStyle="1">
    <w:name w:val="Заголовок №2"/>
    <w:basedOn w:val="Normal"/>
    <w:link w:val="23"/>
    <w:uiPriority w:val="99"/>
    <w:qFormat/>
    <w:rsid w:val="000642e5"/>
    <w:pPr>
      <w:shd w:val="clear" w:color="auto" w:fill="FFFFFF"/>
      <w:spacing w:lineRule="atLeast" w:line="240" w:before="0" w:after="540"/>
      <w:ind w:hanging="340"/>
      <w:outlineLvl w:val="1"/>
    </w:pPr>
    <w:rPr>
      <w:sz w:val="27"/>
    </w:rPr>
  </w:style>
  <w:style w:type="paragraph" w:styleId="220" w:customStyle="1">
    <w:name w:val="Абзац списка2"/>
    <w:basedOn w:val="Normal"/>
    <w:uiPriority w:val="34"/>
    <w:qFormat/>
    <w:rsid w:val="00c32c24"/>
    <w:pPr>
      <w:spacing w:before="0" w:after="0"/>
      <w:ind w:start="720"/>
      <w:contextualSpacing/>
    </w:pPr>
    <w:rPr/>
  </w:style>
  <w:style w:type="paragraph" w:styleId="35" w:customStyle="1">
    <w:name w:val="Абзац списка3"/>
    <w:basedOn w:val="Normal"/>
    <w:uiPriority w:val="34"/>
    <w:qFormat/>
    <w:rsid w:val="00985a0e"/>
    <w:pPr>
      <w:spacing w:before="0" w:after="0"/>
      <w:ind w:start="720"/>
      <w:contextualSpacing/>
    </w:pPr>
    <w:rPr/>
  </w:style>
  <w:style w:type="paragraph" w:styleId="ConsPlusTitle" w:customStyle="1">
    <w:name w:val="ConsPlusTitle"/>
    <w:uiPriority w:val="99"/>
    <w:qFormat/>
    <w:rsid w:val="00067fe8"/>
    <w:pPr>
      <w:widowControl/>
      <w:suppressAutoHyphens w:val="true"/>
      <w:bidi w:val="0"/>
      <w:spacing w:lineRule="auto" w:line="240" w:before="0" w:after="0"/>
      <w:jc w:val="start"/>
    </w:pPr>
    <w:rPr>
      <w:rFonts w:ascii="Times New Roman" w:hAnsi="Times New Roman" w:eastAsia="Times New Roman" w:cs="Times New Roman"/>
      <w:b/>
      <w:bCs/>
      <w:color w:val="auto"/>
      <w:kern w:val="0"/>
      <w:sz w:val="26"/>
      <w:szCs w:val="26"/>
      <w:lang w:val="ru-RU" w:eastAsia="ru-RU" w:bidi="ar-SA"/>
    </w:rPr>
  </w:style>
  <w:style w:type="paragraph" w:styleId="HTMLAddress">
    <w:name w:val="HTML Address"/>
    <w:basedOn w:val="Normal"/>
    <w:link w:val="HTML1"/>
    <w:semiHidden/>
    <w:unhideWhenUsed/>
    <w:qFormat/>
    <w:rsid w:val="005b2a9e"/>
    <w:pPr>
      <w:spacing w:before="0" w:after="60"/>
      <w:jc w:val="both"/>
    </w:pPr>
    <w:rPr>
      <w:i/>
      <w:iCs/>
    </w:rPr>
  </w:style>
  <w:style w:type="paragraph" w:styleId="TOC3">
    <w:name w:val="toc 3"/>
    <w:basedOn w:val="Normal"/>
    <w:next w:val="Normal"/>
    <w:autoRedefine/>
    <w:uiPriority w:val="39"/>
    <w:semiHidden/>
    <w:unhideWhenUsed/>
    <w:rsid w:val="005b2a9e"/>
    <w:pPr>
      <w:ind w:start="480"/>
    </w:pPr>
    <w:rPr/>
  </w:style>
  <w:style w:type="paragraph" w:styleId="TOC4">
    <w:name w:val="toc 4"/>
    <w:basedOn w:val="Normal"/>
    <w:next w:val="Normal"/>
    <w:autoRedefine/>
    <w:uiPriority w:val="39"/>
    <w:semiHidden/>
    <w:unhideWhenUsed/>
    <w:rsid w:val="005b2a9e"/>
    <w:pPr>
      <w:ind w:start="720"/>
    </w:pPr>
    <w:rPr/>
  </w:style>
  <w:style w:type="paragraph" w:styleId="TOC5">
    <w:name w:val="toc 5"/>
    <w:basedOn w:val="Normal"/>
    <w:next w:val="Normal"/>
    <w:autoRedefine/>
    <w:uiPriority w:val="39"/>
    <w:semiHidden/>
    <w:unhideWhenUsed/>
    <w:rsid w:val="005b2a9e"/>
    <w:pPr>
      <w:ind w:start="960"/>
    </w:pPr>
    <w:rPr/>
  </w:style>
  <w:style w:type="paragraph" w:styleId="TOC6">
    <w:name w:val="toc 6"/>
    <w:basedOn w:val="Normal"/>
    <w:next w:val="Normal"/>
    <w:autoRedefine/>
    <w:uiPriority w:val="39"/>
    <w:semiHidden/>
    <w:unhideWhenUsed/>
    <w:rsid w:val="005b2a9e"/>
    <w:pPr>
      <w:ind w:start="1200"/>
    </w:pPr>
    <w:rPr/>
  </w:style>
  <w:style w:type="paragraph" w:styleId="TOC7">
    <w:name w:val="toc 7"/>
    <w:basedOn w:val="Normal"/>
    <w:next w:val="Normal"/>
    <w:autoRedefine/>
    <w:uiPriority w:val="39"/>
    <w:semiHidden/>
    <w:unhideWhenUsed/>
    <w:rsid w:val="005b2a9e"/>
    <w:pPr>
      <w:ind w:start="1440"/>
    </w:pPr>
    <w:rPr/>
  </w:style>
  <w:style w:type="paragraph" w:styleId="TOC8">
    <w:name w:val="toc 8"/>
    <w:basedOn w:val="Normal"/>
    <w:next w:val="Normal"/>
    <w:autoRedefine/>
    <w:uiPriority w:val="39"/>
    <w:semiHidden/>
    <w:unhideWhenUsed/>
    <w:rsid w:val="005b2a9e"/>
    <w:pPr>
      <w:ind w:start="1680"/>
    </w:pPr>
    <w:rPr/>
  </w:style>
  <w:style w:type="paragraph" w:styleId="TOC9">
    <w:name w:val="toc 9"/>
    <w:basedOn w:val="Normal"/>
    <w:next w:val="Normal"/>
    <w:autoRedefine/>
    <w:uiPriority w:val="39"/>
    <w:semiHidden/>
    <w:unhideWhenUsed/>
    <w:rsid w:val="005b2a9e"/>
    <w:pPr>
      <w:ind w:start="1920"/>
    </w:pPr>
    <w:rPr/>
  </w:style>
  <w:style w:type="paragraph" w:styleId="NormalIndent">
    <w:name w:val="Normal Indent"/>
    <w:basedOn w:val="Normal"/>
    <w:uiPriority w:val="99"/>
    <w:semiHidden/>
    <w:unhideWhenUsed/>
    <w:qFormat/>
    <w:rsid w:val="005b2a9e"/>
    <w:pPr>
      <w:spacing w:before="0" w:after="60"/>
      <w:ind w:start="708"/>
      <w:jc w:val="both"/>
    </w:pPr>
    <w:rPr/>
  </w:style>
  <w:style w:type="paragraph" w:styleId="EnvelopeAddress">
    <w:name w:val="envelope address"/>
    <w:basedOn w:val="Normal"/>
    <w:uiPriority w:val="99"/>
    <w:semiHidden/>
    <w:unhideWhenUsed/>
    <w:rsid w:val="005b2a9e"/>
    <w:pPr>
      <w:spacing w:before="0" w:after="60"/>
      <w:ind w:start="2880"/>
      <w:jc w:val="both"/>
    </w:pPr>
    <w:rPr>
      <w:rFonts w:ascii="Arial" w:hAnsi="Arial" w:cs="Arial"/>
    </w:rPr>
  </w:style>
  <w:style w:type="paragraph" w:styleId="EnvelopeReturn">
    <w:name w:val="envelope return"/>
    <w:basedOn w:val="Normal"/>
    <w:uiPriority w:val="99"/>
    <w:semiHidden/>
    <w:unhideWhenUsed/>
    <w:rsid w:val="005b2a9e"/>
    <w:pPr>
      <w:spacing w:before="0" w:after="60"/>
      <w:jc w:val="both"/>
    </w:pPr>
    <w:rPr>
      <w:rFonts w:ascii="Arial" w:hAnsi="Arial" w:cs="Arial"/>
      <w:sz w:val="20"/>
      <w:szCs w:val="20"/>
    </w:rPr>
  </w:style>
  <w:style w:type="paragraph" w:styleId="ListNumber">
    <w:name w:val="List Number"/>
    <w:basedOn w:val="Normal"/>
    <w:uiPriority w:val="99"/>
    <w:semiHidden/>
    <w:unhideWhenUsed/>
    <w:rsid w:val="005b2a9e"/>
    <w:pPr>
      <w:tabs>
        <w:tab w:val="clear" w:pos="709"/>
        <w:tab w:val="left" w:pos="360" w:leader="none"/>
      </w:tabs>
      <w:spacing w:before="0" w:after="60"/>
      <w:ind w:hanging="360" w:start="360"/>
      <w:jc w:val="both"/>
    </w:pPr>
    <w:rPr>
      <w:szCs w:val="20"/>
    </w:rPr>
  </w:style>
  <w:style w:type="paragraph" w:styleId="List3">
    <w:name w:val="List 3"/>
    <w:basedOn w:val="Normal"/>
    <w:uiPriority w:val="99"/>
    <w:semiHidden/>
    <w:unhideWhenUsed/>
    <w:qFormat/>
    <w:rsid w:val="005b2a9e"/>
    <w:pPr>
      <w:spacing w:before="0" w:after="60"/>
      <w:ind w:hanging="283" w:start="849"/>
      <w:jc w:val="both"/>
    </w:pPr>
    <w:rPr/>
  </w:style>
  <w:style w:type="paragraph" w:styleId="List4">
    <w:name w:val="List 4"/>
    <w:basedOn w:val="Normal"/>
    <w:uiPriority w:val="99"/>
    <w:semiHidden/>
    <w:unhideWhenUsed/>
    <w:qFormat/>
    <w:rsid w:val="005b2a9e"/>
    <w:pPr>
      <w:spacing w:before="0" w:after="60"/>
      <w:ind w:hanging="283" w:start="1132"/>
      <w:jc w:val="both"/>
    </w:pPr>
    <w:rPr/>
  </w:style>
  <w:style w:type="paragraph" w:styleId="List5">
    <w:name w:val="List 5"/>
    <w:basedOn w:val="Normal"/>
    <w:uiPriority w:val="99"/>
    <w:semiHidden/>
    <w:unhideWhenUsed/>
    <w:qFormat/>
    <w:rsid w:val="005b2a9e"/>
    <w:pPr>
      <w:spacing w:before="0" w:after="60"/>
      <w:ind w:hanging="283" w:start="1415"/>
      <w:jc w:val="both"/>
    </w:pPr>
    <w:rPr/>
  </w:style>
  <w:style w:type="paragraph" w:styleId="ListBullet4">
    <w:name w:val="List Bullet 4"/>
    <w:basedOn w:val="Normal"/>
    <w:autoRedefine/>
    <w:uiPriority w:val="99"/>
    <w:semiHidden/>
    <w:unhideWhenUsed/>
    <w:rsid w:val="005b2a9e"/>
    <w:pPr>
      <w:tabs>
        <w:tab w:val="clear" w:pos="709"/>
        <w:tab w:val="left" w:pos="1209" w:leader="none"/>
      </w:tabs>
      <w:spacing w:before="0" w:after="60"/>
      <w:ind w:hanging="360" w:start="1209"/>
      <w:jc w:val="both"/>
    </w:pPr>
    <w:rPr>
      <w:szCs w:val="20"/>
    </w:rPr>
  </w:style>
  <w:style w:type="paragraph" w:styleId="ListBullet5">
    <w:name w:val="List Bullet 5"/>
    <w:basedOn w:val="Normal"/>
    <w:autoRedefine/>
    <w:uiPriority w:val="99"/>
    <w:semiHidden/>
    <w:unhideWhenUsed/>
    <w:rsid w:val="005b2a9e"/>
    <w:pPr>
      <w:tabs>
        <w:tab w:val="clear" w:pos="709"/>
        <w:tab w:val="left" w:pos="1492" w:leader="none"/>
      </w:tabs>
      <w:spacing w:before="0" w:after="60"/>
      <w:ind w:hanging="360" w:start="1492"/>
      <w:jc w:val="both"/>
    </w:pPr>
    <w:rPr>
      <w:szCs w:val="20"/>
    </w:rPr>
  </w:style>
  <w:style w:type="paragraph" w:styleId="ListNumber3">
    <w:name w:val="List Number 3"/>
    <w:basedOn w:val="Normal"/>
    <w:uiPriority w:val="99"/>
    <w:semiHidden/>
    <w:unhideWhenUsed/>
    <w:rsid w:val="005b2a9e"/>
    <w:pPr>
      <w:tabs>
        <w:tab w:val="clear" w:pos="709"/>
        <w:tab w:val="left" w:pos="926" w:leader="none"/>
      </w:tabs>
      <w:spacing w:before="0" w:after="60"/>
      <w:ind w:hanging="360" w:start="926"/>
      <w:jc w:val="both"/>
    </w:pPr>
    <w:rPr>
      <w:szCs w:val="20"/>
    </w:rPr>
  </w:style>
  <w:style w:type="paragraph" w:styleId="ListNumber4">
    <w:name w:val="List Number 4"/>
    <w:basedOn w:val="Normal"/>
    <w:uiPriority w:val="99"/>
    <w:semiHidden/>
    <w:unhideWhenUsed/>
    <w:rsid w:val="005b2a9e"/>
    <w:pPr>
      <w:tabs>
        <w:tab w:val="clear" w:pos="709"/>
        <w:tab w:val="left" w:pos="1209" w:leader="none"/>
      </w:tabs>
      <w:spacing w:before="0" w:after="60"/>
      <w:ind w:hanging="360" w:start="1209"/>
      <w:jc w:val="both"/>
    </w:pPr>
    <w:rPr>
      <w:szCs w:val="20"/>
    </w:rPr>
  </w:style>
  <w:style w:type="paragraph" w:styleId="ListNumber5">
    <w:name w:val="List Number 5"/>
    <w:basedOn w:val="Normal"/>
    <w:uiPriority w:val="99"/>
    <w:semiHidden/>
    <w:unhideWhenUsed/>
    <w:rsid w:val="005b2a9e"/>
    <w:pPr>
      <w:tabs>
        <w:tab w:val="clear" w:pos="709"/>
        <w:tab w:val="left" w:pos="1492" w:leader="none"/>
      </w:tabs>
      <w:spacing w:before="0" w:after="60"/>
      <w:ind w:hanging="360" w:start="1492"/>
      <w:jc w:val="both"/>
    </w:pPr>
    <w:rPr/>
  </w:style>
  <w:style w:type="paragraph" w:styleId="Closing">
    <w:name w:val="Closing"/>
    <w:basedOn w:val="Normal"/>
    <w:link w:val="Style21"/>
    <w:uiPriority w:val="99"/>
    <w:semiHidden/>
    <w:unhideWhenUsed/>
    <w:rsid w:val="005b2a9e"/>
    <w:pPr>
      <w:spacing w:before="0" w:after="60"/>
      <w:ind w:start="4252"/>
      <w:jc w:val="both"/>
    </w:pPr>
    <w:rPr/>
  </w:style>
  <w:style w:type="paragraph" w:styleId="Signature">
    <w:name w:val="Signature"/>
    <w:basedOn w:val="Normal"/>
    <w:link w:val="Style22"/>
    <w:uiPriority w:val="99"/>
    <w:semiHidden/>
    <w:unhideWhenUsed/>
    <w:rsid w:val="005b2a9e"/>
    <w:pPr>
      <w:spacing w:before="0" w:after="60"/>
      <w:ind w:start="4252"/>
      <w:jc w:val="both"/>
    </w:pPr>
    <w:rPr/>
  </w:style>
  <w:style w:type="paragraph" w:styleId="ListContinue">
    <w:name w:val="List Continue"/>
    <w:basedOn w:val="Normal"/>
    <w:uiPriority w:val="99"/>
    <w:semiHidden/>
    <w:unhideWhenUsed/>
    <w:rsid w:val="005b2a9e"/>
    <w:pPr>
      <w:spacing w:before="0" w:after="120"/>
      <w:ind w:start="283"/>
      <w:jc w:val="both"/>
    </w:pPr>
    <w:rPr/>
  </w:style>
  <w:style w:type="paragraph" w:styleId="ListContinue3">
    <w:name w:val="List Continue 3"/>
    <w:basedOn w:val="Normal"/>
    <w:uiPriority w:val="99"/>
    <w:semiHidden/>
    <w:unhideWhenUsed/>
    <w:rsid w:val="005b2a9e"/>
    <w:pPr>
      <w:spacing w:before="0" w:after="120"/>
      <w:ind w:start="849"/>
      <w:jc w:val="both"/>
    </w:pPr>
    <w:rPr/>
  </w:style>
  <w:style w:type="paragraph" w:styleId="ListContinue4">
    <w:name w:val="List Continue 4"/>
    <w:basedOn w:val="Normal"/>
    <w:uiPriority w:val="99"/>
    <w:semiHidden/>
    <w:unhideWhenUsed/>
    <w:rsid w:val="005b2a9e"/>
    <w:pPr>
      <w:spacing w:before="0" w:after="120"/>
      <w:ind w:start="1132"/>
      <w:jc w:val="both"/>
    </w:pPr>
    <w:rPr/>
  </w:style>
  <w:style w:type="paragraph" w:styleId="ListContinue5">
    <w:name w:val="List Continue 5"/>
    <w:basedOn w:val="Normal"/>
    <w:uiPriority w:val="99"/>
    <w:semiHidden/>
    <w:unhideWhenUsed/>
    <w:rsid w:val="005b2a9e"/>
    <w:pPr>
      <w:spacing w:before="0" w:after="120"/>
      <w:ind w:start="1415"/>
      <w:jc w:val="both"/>
    </w:pPr>
    <w:rPr/>
  </w:style>
  <w:style w:type="paragraph" w:styleId="MessageHeader">
    <w:name w:val="Message Header"/>
    <w:basedOn w:val="Normal"/>
    <w:link w:val="Style23"/>
    <w:uiPriority w:val="99"/>
    <w:semiHidden/>
    <w:unhideWhenUsed/>
    <w:qFormat/>
    <w:rsid w:val="005b2a9e"/>
    <w:pPr>
      <w:pBdr>
        <w:top w:val="single" w:sz="6" w:space="1" w:color="000000"/>
        <w:left w:val="single" w:sz="6" w:space="1" w:color="000000"/>
        <w:bottom w:val="single" w:sz="6" w:space="1" w:color="000000"/>
        <w:right w:val="single" w:sz="6" w:space="1" w:color="000000"/>
      </w:pBdr>
      <w:shd w:val="pct20" w:color="auto" w:fill="auto"/>
      <w:spacing w:before="0" w:after="60"/>
      <w:ind w:hanging="1134" w:start="1134"/>
      <w:jc w:val="both"/>
    </w:pPr>
    <w:rPr>
      <w:rFonts w:ascii="Arial" w:hAnsi="Arial"/>
    </w:rPr>
  </w:style>
  <w:style w:type="paragraph" w:styleId="Salutation">
    <w:name w:val="Salutation"/>
    <w:basedOn w:val="Normal"/>
    <w:next w:val="Normal"/>
    <w:link w:val="Style24"/>
    <w:uiPriority w:val="99"/>
    <w:semiHidden/>
    <w:unhideWhenUsed/>
    <w:rsid w:val="005b2a9e"/>
    <w:pPr>
      <w:spacing w:before="0" w:after="60"/>
      <w:jc w:val="both"/>
    </w:pPr>
    <w:rPr/>
  </w:style>
  <w:style w:type="paragraph" w:styleId="BodyTextFirstIndent">
    <w:name w:val="Body Text First Indent"/>
    <w:basedOn w:val="BodyText"/>
    <w:link w:val="Style25"/>
    <w:uiPriority w:val="99"/>
    <w:semiHidden/>
    <w:unhideWhenUsed/>
    <w:rsid w:val="005b2a9e"/>
    <w:pPr>
      <w:ind w:firstLine="210"/>
      <w:jc w:val="both"/>
    </w:pPr>
    <w:rPr/>
  </w:style>
  <w:style w:type="paragraph" w:styleId="BodyTextFirstIndent2">
    <w:name w:val="Body Text First Indent 2"/>
    <w:basedOn w:val="BodyText2"/>
    <w:link w:val="27"/>
    <w:uiPriority w:val="99"/>
    <w:semiHidden/>
    <w:unhideWhenUsed/>
    <w:qFormat/>
    <w:rsid w:val="005b2a9e"/>
    <w:pPr>
      <w:widowControl/>
      <w:spacing w:before="0" w:after="120"/>
      <w:ind w:firstLine="210" w:start="283"/>
    </w:pPr>
    <w:rPr>
      <w:i w:val="false"/>
      <w:szCs w:val="24"/>
      <w:lang w:val="ru-RU"/>
    </w:rPr>
  </w:style>
  <w:style w:type="paragraph" w:styleId="143" w:customStyle="1">
    <w:name w:val="Заголовок записки1"/>
    <w:basedOn w:val="Normal"/>
    <w:next w:val="Normal"/>
    <w:link w:val="Style26"/>
    <w:uiPriority w:val="99"/>
    <w:semiHidden/>
    <w:unhideWhenUsed/>
    <w:qFormat/>
    <w:rsid w:val="005b2a9e"/>
    <w:pPr>
      <w:spacing w:before="0" w:after="60"/>
      <w:jc w:val="both"/>
    </w:pPr>
    <w:rPr/>
  </w:style>
  <w:style w:type="paragraph" w:styleId="BlockText">
    <w:name w:val="Block Text"/>
    <w:basedOn w:val="Normal"/>
    <w:uiPriority w:val="99"/>
    <w:semiHidden/>
    <w:unhideWhenUsed/>
    <w:qFormat/>
    <w:rsid w:val="005b2a9e"/>
    <w:pPr>
      <w:spacing w:before="0" w:after="120"/>
      <w:ind w:start="1440" w:end="1440"/>
      <w:jc w:val="both"/>
    </w:pPr>
    <w:rPr>
      <w:szCs w:val="20"/>
    </w:rPr>
  </w:style>
  <w:style w:type="paragraph" w:styleId="DocumentMap">
    <w:name w:val="Document Map"/>
    <w:basedOn w:val="Normal"/>
    <w:link w:val="Style27"/>
    <w:uiPriority w:val="99"/>
    <w:semiHidden/>
    <w:unhideWhenUsed/>
    <w:qFormat/>
    <w:rsid w:val="005b2a9e"/>
    <w:pPr>
      <w:jc w:val="both"/>
    </w:pPr>
    <w:rPr>
      <w:rFonts w:ascii="Tahoma" w:hAnsi="Tahoma" w:cs="Tahoma"/>
      <w:sz w:val="16"/>
      <w:szCs w:val="16"/>
    </w:rPr>
  </w:style>
  <w:style w:type="paragraph" w:styleId="PlainText">
    <w:name w:val="Plain Text"/>
    <w:basedOn w:val="Normal"/>
    <w:link w:val="Style28"/>
    <w:uiPriority w:val="99"/>
    <w:semiHidden/>
    <w:unhideWhenUsed/>
    <w:qFormat/>
    <w:rsid w:val="005b2a9e"/>
    <w:pPr/>
    <w:rPr>
      <w:rFonts w:ascii="Courier New" w:hAnsi="Courier New"/>
      <w:sz w:val="20"/>
      <w:szCs w:val="20"/>
    </w:rPr>
  </w:style>
  <w:style w:type="paragraph" w:styleId="E-mailSignature">
    <w:name w:val="E-mail Signature"/>
    <w:basedOn w:val="Normal"/>
    <w:link w:val="Style29"/>
    <w:uiPriority w:val="99"/>
    <w:semiHidden/>
    <w:unhideWhenUsed/>
    <w:qFormat/>
    <w:rsid w:val="005b2a9e"/>
    <w:pPr>
      <w:spacing w:before="0" w:after="60"/>
      <w:jc w:val="both"/>
    </w:pPr>
    <w:rPr/>
  </w:style>
  <w:style w:type="paragraph" w:styleId="IndexHeading">
    <w:name w:val="index heading"/>
    <w:basedOn w:val="user2"/>
    <w:pPr/>
    <w:rPr/>
  </w:style>
  <w:style w:type="paragraph" w:styleId="TOCHeading">
    <w:name w:val="TOC Heading"/>
    <w:basedOn w:val="Heading1"/>
    <w:next w:val="Normal"/>
    <w:uiPriority w:val="39"/>
    <w:semiHidden/>
    <w:unhideWhenUsed/>
    <w:qFormat/>
    <w:rsid w:val="005b2a9e"/>
    <w:pPr>
      <w:jc w:val="start"/>
      <w:outlineLvl w:val="9"/>
    </w:pPr>
    <w:rPr>
      <w:rFonts w:ascii="Cambria" w:hAnsi="Cambria" w:eastAsia="Times New Roman" w:cs="Times New Roman"/>
    </w:rPr>
  </w:style>
  <w:style w:type="paragraph" w:styleId="144" w:customStyle="1">
    <w:name w:val="1"/>
    <w:basedOn w:val="Normal"/>
    <w:uiPriority w:val="99"/>
    <w:qFormat/>
    <w:rsid w:val="005b2a9e"/>
    <w:pPr>
      <w:spacing w:lineRule="exact" w:line="240" w:before="0" w:after="160"/>
    </w:pPr>
    <w:rPr>
      <w:rFonts w:eastAsia="Calibri"/>
      <w:sz w:val="20"/>
      <w:szCs w:val="20"/>
      <w:lang w:eastAsia="zh-CN"/>
    </w:rPr>
  </w:style>
  <w:style w:type="paragraph" w:styleId="Style49" w:customStyle="1">
    <w:name w:val="Раздел"/>
    <w:basedOn w:val="Normal"/>
    <w:uiPriority w:val="99"/>
    <w:semiHidden/>
    <w:qFormat/>
    <w:rsid w:val="005b2a9e"/>
    <w:pPr>
      <w:tabs>
        <w:tab w:val="clear" w:pos="709"/>
        <w:tab w:val="left" w:pos="1440" w:leader="none"/>
      </w:tabs>
      <w:spacing w:before="120" w:after="120"/>
      <w:ind w:hanging="720" w:start="720"/>
      <w:jc w:val="center"/>
    </w:pPr>
    <w:rPr>
      <w:rFonts w:ascii="Arial Narrow" w:hAnsi="Arial Narrow"/>
      <w:b/>
      <w:sz w:val="28"/>
      <w:szCs w:val="20"/>
    </w:rPr>
  </w:style>
  <w:style w:type="paragraph" w:styleId="36" w:customStyle="1">
    <w:name w:val="Раздел 3"/>
    <w:basedOn w:val="Normal"/>
    <w:uiPriority w:val="99"/>
    <w:semiHidden/>
    <w:qFormat/>
    <w:rsid w:val="005b2a9e"/>
    <w:pPr>
      <w:tabs>
        <w:tab w:val="clear" w:pos="709"/>
        <w:tab w:val="left" w:pos="360" w:leader="none"/>
      </w:tabs>
      <w:spacing w:before="120" w:after="120"/>
      <w:ind w:hanging="360" w:start="360"/>
      <w:jc w:val="center"/>
    </w:pPr>
    <w:rPr>
      <w:b/>
      <w:szCs w:val="20"/>
    </w:rPr>
  </w:style>
  <w:style w:type="paragraph" w:styleId="Style50" w:customStyle="1">
    <w:name w:val="Условия контракта"/>
    <w:basedOn w:val="Normal"/>
    <w:uiPriority w:val="99"/>
    <w:semiHidden/>
    <w:qFormat/>
    <w:rsid w:val="005b2a9e"/>
    <w:pPr>
      <w:tabs>
        <w:tab w:val="clear" w:pos="709"/>
        <w:tab w:val="left" w:pos="567" w:leader="none"/>
      </w:tabs>
      <w:spacing w:before="240" w:after="120"/>
      <w:ind w:hanging="567" w:start="567"/>
      <w:jc w:val="both"/>
    </w:pPr>
    <w:rPr>
      <w:b/>
      <w:szCs w:val="20"/>
    </w:rPr>
  </w:style>
  <w:style w:type="paragraph" w:styleId="Style51" w:customStyle="1">
    <w:name w:val="Тендерные данные"/>
    <w:basedOn w:val="Normal"/>
    <w:uiPriority w:val="99"/>
    <w:semiHidden/>
    <w:qFormat/>
    <w:rsid w:val="005b2a9e"/>
    <w:pPr>
      <w:tabs>
        <w:tab w:val="clear" w:pos="709"/>
        <w:tab w:val="left" w:pos="1985" w:leader="none"/>
      </w:tabs>
      <w:spacing w:before="120" w:after="60"/>
      <w:jc w:val="both"/>
    </w:pPr>
    <w:rPr>
      <w:b/>
      <w:szCs w:val="20"/>
    </w:rPr>
  </w:style>
  <w:style w:type="paragraph" w:styleId="Style52" w:customStyle="1">
    <w:name w:val="Подраздел"/>
    <w:basedOn w:val="Normal"/>
    <w:uiPriority w:val="99"/>
    <w:semiHidden/>
    <w:qFormat/>
    <w:rsid w:val="005b2a9e"/>
    <w:pPr>
      <w:suppressAutoHyphens w:val="true"/>
      <w:spacing w:before="240" w:after="120"/>
      <w:jc w:val="center"/>
    </w:pPr>
    <w:rPr>
      <w:rFonts w:ascii="TimesDL" w:hAnsi="TimesDL"/>
      <w:b/>
      <w:smallCaps/>
      <w:spacing w:val="-2"/>
      <w:szCs w:val="20"/>
    </w:rPr>
  </w:style>
  <w:style w:type="paragraph" w:styleId="Style53" w:customStyle="1">
    <w:name w:val="Пункт"/>
    <w:basedOn w:val="Normal"/>
    <w:uiPriority w:val="99"/>
    <w:qFormat/>
    <w:rsid w:val="005b2a9e"/>
    <w:pPr>
      <w:tabs>
        <w:tab w:val="clear" w:pos="709"/>
        <w:tab w:val="left" w:pos="1980" w:leader="none"/>
      </w:tabs>
      <w:ind w:hanging="504" w:start="1404"/>
      <w:jc w:val="both"/>
    </w:pPr>
    <w:rPr>
      <w:szCs w:val="28"/>
    </w:rPr>
  </w:style>
  <w:style w:type="paragraph" w:styleId="Style54" w:customStyle="1">
    <w:name w:val="Таблица шапка"/>
    <w:basedOn w:val="Normal"/>
    <w:uiPriority w:val="99"/>
    <w:qFormat/>
    <w:rsid w:val="005b2a9e"/>
    <w:pPr>
      <w:keepNext w:val="true"/>
      <w:spacing w:before="40" w:after="40"/>
      <w:ind w:start="57" w:end="57"/>
    </w:pPr>
    <w:rPr>
      <w:sz w:val="18"/>
      <w:szCs w:val="18"/>
    </w:rPr>
  </w:style>
  <w:style w:type="paragraph" w:styleId="Style55" w:customStyle="1">
    <w:name w:val="Таблица текст"/>
    <w:basedOn w:val="Normal"/>
    <w:uiPriority w:val="99"/>
    <w:qFormat/>
    <w:rsid w:val="005b2a9e"/>
    <w:pPr>
      <w:spacing w:before="40" w:after="40"/>
      <w:ind w:start="57" w:end="57"/>
    </w:pPr>
    <w:rPr/>
  </w:style>
  <w:style w:type="paragraph" w:styleId="Style56" w:customStyle="1">
    <w:name w:val="пункт"/>
    <w:basedOn w:val="Normal"/>
    <w:uiPriority w:val="99"/>
    <w:qFormat/>
    <w:rsid w:val="005b2a9e"/>
    <w:pPr>
      <w:tabs>
        <w:tab w:val="clear" w:pos="709"/>
        <w:tab w:val="left" w:pos="1135" w:leader="none"/>
      </w:tabs>
      <w:spacing w:before="60" w:after="60"/>
      <w:ind w:firstLine="567" w:start="-283"/>
    </w:pPr>
    <w:rPr/>
  </w:style>
  <w:style w:type="paragraph" w:styleId="232" w:customStyle="1">
    <w:name w:val="Знак Знак23 Знак Знак Знак"/>
    <w:basedOn w:val="Normal"/>
    <w:uiPriority w:val="99"/>
    <w:qFormat/>
    <w:rsid w:val="005b2a9e"/>
    <w:pPr>
      <w:spacing w:lineRule="exact" w:line="240" w:before="0" w:after="160"/>
    </w:pPr>
    <w:rPr>
      <w:rFonts w:eastAsia="Calibri"/>
      <w:sz w:val="20"/>
      <w:szCs w:val="20"/>
      <w:lang w:eastAsia="zh-CN"/>
    </w:rPr>
  </w:style>
  <w:style w:type="paragraph" w:styleId="233" w:customStyle="1">
    <w:name w:val="Знак Знак23 Знак Знак Знак Знак"/>
    <w:basedOn w:val="Normal"/>
    <w:uiPriority w:val="99"/>
    <w:qFormat/>
    <w:rsid w:val="005b2a9e"/>
    <w:pPr>
      <w:spacing w:lineRule="exact" w:line="240" w:before="0" w:after="160"/>
    </w:pPr>
    <w:rPr>
      <w:rFonts w:eastAsia="Calibri"/>
      <w:sz w:val="20"/>
      <w:szCs w:val="20"/>
      <w:lang w:eastAsia="zh-CN"/>
    </w:rPr>
  </w:style>
  <w:style w:type="paragraph" w:styleId="Style57" w:customStyle="1">
    <w:name w:val="Знак Знак Знак Знак Знак Знак Знак"/>
    <w:basedOn w:val="Normal"/>
    <w:uiPriority w:val="99"/>
    <w:qFormat/>
    <w:rsid w:val="005b2a9e"/>
    <w:pPr>
      <w:spacing w:lineRule="exact" w:line="240" w:before="0" w:after="160"/>
    </w:pPr>
    <w:rPr>
      <w:rFonts w:eastAsia="Calibri"/>
      <w:sz w:val="20"/>
      <w:szCs w:val="20"/>
      <w:lang w:eastAsia="zh-CN"/>
    </w:rPr>
  </w:style>
  <w:style w:type="paragraph" w:styleId="145" w:customStyle="1">
    <w:name w:val="Список многоуровневый 1"/>
    <w:basedOn w:val="Normal"/>
    <w:uiPriority w:val="99"/>
    <w:qFormat/>
    <w:rsid w:val="005b2a9e"/>
    <w:pPr>
      <w:tabs>
        <w:tab w:val="clear" w:pos="709"/>
        <w:tab w:val="left" w:pos="432" w:leader="none"/>
      </w:tabs>
      <w:spacing w:before="0" w:after="60"/>
      <w:ind w:hanging="431" w:start="431"/>
      <w:jc w:val="both"/>
    </w:pPr>
    <w:rPr/>
  </w:style>
  <w:style w:type="paragraph" w:styleId="2311" w:customStyle="1">
    <w:name w:val="Знак Знак23 Знак Знак Знак Знак1"/>
    <w:basedOn w:val="Normal"/>
    <w:autoRedefine/>
    <w:uiPriority w:val="99"/>
    <w:qFormat/>
    <w:rsid w:val="005b2a9e"/>
    <w:pPr>
      <w:spacing w:before="60" w:after="60"/>
    </w:pPr>
    <w:rPr>
      <w:rFonts w:eastAsia="Calibri"/>
      <w:sz w:val="20"/>
      <w:szCs w:val="20"/>
      <w:lang w:eastAsia="zh-CN"/>
    </w:rPr>
  </w:style>
  <w:style w:type="paragraph" w:styleId="Instruction" w:customStyle="1">
    <w:name w:val="Instruction"/>
    <w:basedOn w:val="BodyText2"/>
    <w:uiPriority w:val="99"/>
    <w:semiHidden/>
    <w:qFormat/>
    <w:rsid w:val="005b2a9e"/>
    <w:pPr>
      <w:widowControl/>
      <w:tabs>
        <w:tab w:val="clear" w:pos="709"/>
        <w:tab w:val="left" w:pos="360" w:leader="none"/>
      </w:tabs>
      <w:spacing w:before="180" w:after="60"/>
      <w:ind w:hanging="360" w:start="360"/>
    </w:pPr>
    <w:rPr>
      <w:b/>
      <w:bCs/>
      <w:i w:val="false"/>
      <w:szCs w:val="24"/>
      <w:lang w:val="ru-RU"/>
    </w:rPr>
  </w:style>
  <w:style w:type="paragraph" w:styleId="Style58" w:customStyle="1">
    <w:name w:val="текст таблицы"/>
    <w:basedOn w:val="Normal"/>
    <w:uiPriority w:val="99"/>
    <w:qFormat/>
    <w:rsid w:val="005b2a9e"/>
    <w:pPr>
      <w:spacing w:before="120" w:after="0"/>
      <w:ind w:end="-102"/>
    </w:pPr>
    <w:rPr/>
  </w:style>
  <w:style w:type="paragraph" w:styleId="ConsPlusCell" w:customStyle="1">
    <w:name w:val="ConsPlusCell"/>
    <w:uiPriority w:val="99"/>
    <w:qFormat/>
    <w:rsid w:val="005b2a9e"/>
    <w:pPr>
      <w:widowControl/>
      <w:suppressAutoHyphens w:val="true"/>
      <w:bidi w:val="0"/>
      <w:spacing w:lineRule="auto" w:line="240" w:before="0" w:after="0"/>
      <w:jc w:val="start"/>
    </w:pPr>
    <w:rPr>
      <w:rFonts w:ascii="Arial" w:hAnsi="Arial" w:eastAsia="Times New Roman" w:cs="Arial"/>
      <w:color w:val="auto"/>
      <w:kern w:val="0"/>
      <w:sz w:val="20"/>
      <w:szCs w:val="20"/>
      <w:lang w:val="ru-RU" w:eastAsia="ru-RU" w:bidi="ar-SA"/>
    </w:rPr>
  </w:style>
  <w:style w:type="paragraph" w:styleId="1CharChar" w:customStyle="1">
    <w:name w:val="1 Знак Char Знак Char Знак"/>
    <w:basedOn w:val="Normal"/>
    <w:uiPriority w:val="99"/>
    <w:qFormat/>
    <w:rsid w:val="005b2a9e"/>
    <w:pPr>
      <w:spacing w:lineRule="exact" w:line="240" w:before="0" w:after="160"/>
    </w:pPr>
    <w:rPr>
      <w:rFonts w:eastAsia="Calibri"/>
      <w:sz w:val="20"/>
      <w:szCs w:val="20"/>
      <w:lang w:eastAsia="zh-CN"/>
    </w:rPr>
  </w:style>
  <w:style w:type="paragraph" w:styleId="Style59" w:customStyle="1">
    <w:name w:val="Знак Знак Знак Знак"/>
    <w:basedOn w:val="Normal"/>
    <w:qFormat/>
    <w:rsid w:val="005b2a9e"/>
    <w:pPr>
      <w:spacing w:lineRule="exact" w:line="240" w:before="0" w:after="160"/>
    </w:pPr>
    <w:rPr>
      <w:rFonts w:eastAsia="Calibri"/>
      <w:sz w:val="20"/>
      <w:szCs w:val="20"/>
      <w:lang w:eastAsia="zh-CN"/>
    </w:rPr>
  </w:style>
  <w:style w:type="paragraph" w:styleId="Style60" w:customStyle="1">
    <w:name w:val="Знак Знак Знак Знак Знак Знак"/>
    <w:basedOn w:val="Normal"/>
    <w:uiPriority w:val="99"/>
    <w:qFormat/>
    <w:rsid w:val="005b2a9e"/>
    <w:pPr>
      <w:spacing w:lineRule="exact" w:line="240" w:before="0" w:after="160"/>
    </w:pPr>
    <w:rPr>
      <w:rFonts w:eastAsia="Calibri"/>
      <w:sz w:val="20"/>
      <w:szCs w:val="20"/>
      <w:lang w:eastAsia="zh-CN"/>
    </w:rPr>
  </w:style>
  <w:style w:type="paragraph" w:styleId="Style61" w:customStyle="1">
    <w:name w:val="Дефис"/>
    <w:basedOn w:val="ListParagraph"/>
    <w:link w:val="Style30"/>
    <w:uiPriority w:val="99"/>
    <w:qFormat/>
    <w:rsid w:val="005b2a9e"/>
    <w:pPr>
      <w:numPr>
        <w:ilvl w:val="0"/>
        <w:numId w:val="7"/>
      </w:numPr>
    </w:pPr>
    <w:rPr>
      <w:lang w:val="en-US"/>
    </w:rPr>
  </w:style>
  <w:style w:type="paragraph" w:styleId="Style62" w:customStyle="1">
    <w:name w:val="шапка таблицы"/>
    <w:basedOn w:val="Normal"/>
    <w:uiPriority w:val="99"/>
    <w:qFormat/>
    <w:rsid w:val="005b2a9e"/>
    <w:pPr>
      <w:jc w:val="center"/>
    </w:pPr>
    <w:rPr>
      <w:rFonts w:cs="Courier New"/>
      <w:b/>
      <w:sz w:val="20"/>
      <w:szCs w:val="20"/>
      <w:lang w:val="en-US" w:bidi="en-US"/>
    </w:rPr>
  </w:style>
  <w:style w:type="paragraph" w:styleId="Style210" w:customStyle="1">
    <w:name w:val="Style2"/>
    <w:basedOn w:val="Normal"/>
    <w:uiPriority w:val="99"/>
    <w:qFormat/>
    <w:rsid w:val="005b2a9e"/>
    <w:pPr>
      <w:widowControl w:val="false"/>
      <w:spacing w:lineRule="exact" w:line="283"/>
    </w:pPr>
    <w:rPr/>
  </w:style>
  <w:style w:type="paragraph" w:styleId="201" w:customStyle="1">
    <w:name w:val="Знак Знак20 Знак Знак Знак Знак Знак Знак Знак Знак"/>
    <w:basedOn w:val="Normal"/>
    <w:uiPriority w:val="99"/>
    <w:qFormat/>
    <w:rsid w:val="005b2a9e"/>
    <w:pPr>
      <w:spacing w:beforeAutospacing="1" w:afterAutospacing="1"/>
    </w:pPr>
    <w:rPr>
      <w:rFonts w:ascii="Tahoma" w:hAnsi="Tahoma"/>
      <w:sz w:val="20"/>
      <w:szCs w:val="20"/>
      <w:lang w:val="en-US"/>
    </w:rPr>
  </w:style>
  <w:style w:type="paragraph" w:styleId="202" w:customStyle="1">
    <w:name w:val="Знак Знак20 Знак Знак Знак Знак Знак Знак Знак Знак Знак Знак"/>
    <w:basedOn w:val="Normal"/>
    <w:uiPriority w:val="99"/>
    <w:qFormat/>
    <w:rsid w:val="005b2a9e"/>
    <w:pPr>
      <w:spacing w:beforeAutospacing="1" w:afterAutospacing="1"/>
    </w:pPr>
    <w:rPr>
      <w:rFonts w:ascii="Tahoma" w:hAnsi="Tahoma"/>
      <w:sz w:val="20"/>
      <w:szCs w:val="20"/>
      <w:lang w:val="en-US"/>
    </w:rPr>
  </w:style>
  <w:style w:type="paragraph" w:styleId="203" w:customStyle="1">
    <w:name w:val="Знак Знак20 Знак Знак Знак Знак Знак Знак Знак Знак Знак Знак Знак Знак Знак Знак"/>
    <w:basedOn w:val="Normal"/>
    <w:uiPriority w:val="99"/>
    <w:qFormat/>
    <w:rsid w:val="005b2a9e"/>
    <w:pPr>
      <w:spacing w:beforeAutospacing="1" w:afterAutospacing="1"/>
    </w:pPr>
    <w:rPr>
      <w:rFonts w:ascii="Tahoma" w:hAnsi="Tahoma"/>
      <w:sz w:val="20"/>
      <w:szCs w:val="20"/>
      <w:lang w:val="en-US"/>
    </w:rPr>
  </w:style>
  <w:style w:type="paragraph" w:styleId="xl27" w:customStyle="1">
    <w:name w:val="xl27"/>
    <w:basedOn w:val="Normal"/>
    <w:uiPriority w:val="99"/>
    <w:qFormat/>
    <w:rsid w:val="005b2a9e"/>
    <w:pPr>
      <w:spacing w:beforeAutospacing="1" w:afterAutospacing="1"/>
    </w:pPr>
    <w:rPr>
      <w:rFonts w:ascii="Times New Roman CYR" w:hAnsi="Times New Roman CYR" w:cs="Times New Roman CYR"/>
    </w:rPr>
  </w:style>
  <w:style w:type="paragraph" w:styleId="Style63" w:customStyle="1">
    <w:name w:val="Знак Знак Знак Знак Знак Знак Знак Знак Знак Знак"/>
    <w:basedOn w:val="Normal"/>
    <w:uiPriority w:val="99"/>
    <w:qFormat/>
    <w:rsid w:val="005b2a9e"/>
    <w:pPr>
      <w:spacing w:beforeAutospacing="1" w:afterAutospacing="1"/>
    </w:pPr>
    <w:rPr>
      <w:rFonts w:ascii="Tahoma" w:hAnsi="Tahoma"/>
      <w:sz w:val="20"/>
      <w:szCs w:val="20"/>
      <w:lang w:val="en-US"/>
    </w:rPr>
  </w:style>
  <w:style w:type="paragraph" w:styleId="xl76" w:customStyle="1">
    <w:name w:val="xl76"/>
    <w:basedOn w:val="Normal"/>
    <w:uiPriority w:val="99"/>
    <w:qFormat/>
    <w:rsid w:val="005b2a9e"/>
    <w:pPr>
      <w:pBdr>
        <w:left w:val="single" w:sz="4" w:space="0" w:color="000000"/>
        <w:bottom w:val="single" w:sz="4" w:space="0" w:color="000000"/>
        <w:right w:val="single" w:sz="4" w:space="0" w:color="000000"/>
      </w:pBdr>
      <w:spacing w:beforeAutospacing="1" w:afterAutospacing="1"/>
      <w:jc w:val="both"/>
    </w:pPr>
    <w:rPr>
      <w:rFonts w:eastAsia="Arial Unicode MS"/>
    </w:rPr>
  </w:style>
  <w:style w:type="paragraph" w:styleId="iaui" w:customStyle="1">
    <w:name w:val="iau?i"/>
    <w:basedOn w:val="BodyText"/>
    <w:uiPriority w:val="99"/>
    <w:qFormat/>
    <w:rsid w:val="005b2a9e"/>
    <w:pPr>
      <w:ind w:firstLine="720"/>
      <w:jc w:val="both"/>
    </w:pPr>
    <w:rPr>
      <w:szCs w:val="20"/>
    </w:rPr>
  </w:style>
  <w:style w:type="paragraph" w:styleId="xl26" w:customStyle="1">
    <w:name w:val="xl26"/>
    <w:basedOn w:val="Normal"/>
    <w:uiPriority w:val="99"/>
    <w:qFormat/>
    <w:rsid w:val="005b2a9e"/>
    <w:pPr>
      <w:spacing w:beforeAutospacing="1" w:afterAutospacing="1"/>
      <w:jc w:val="center"/>
    </w:pPr>
    <w:rPr>
      <w:rFonts w:ascii="Times New Roman CYR" w:hAnsi="Times New Roman CYR" w:cs="Times New Roman CYR"/>
      <w:b/>
      <w:bCs/>
    </w:rPr>
  </w:style>
  <w:style w:type="paragraph" w:styleId="xl24" w:customStyle="1">
    <w:name w:val="xl24"/>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Unicode MS" w:hAnsi="Arial Unicode MS" w:eastAsia="Arial Unicode MS" w:cs="Arial Unicode MS"/>
    </w:rPr>
  </w:style>
  <w:style w:type="paragraph" w:styleId="xl25" w:customStyle="1">
    <w:name w:val="xl25"/>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eastAsia="Arial Unicode MS" w:cs="Arial"/>
      <w:b/>
      <w:bCs/>
    </w:rPr>
  </w:style>
  <w:style w:type="paragraph" w:styleId="xl28" w:customStyle="1">
    <w:name w:val="xl28"/>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eastAsia="Arial Unicode MS" w:cs="Arial"/>
      <w:b/>
      <w:bCs/>
      <w:i/>
      <w:iCs/>
    </w:rPr>
  </w:style>
  <w:style w:type="paragraph" w:styleId="xl29" w:customStyle="1">
    <w:name w:val="xl29"/>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eastAsia="Arial Unicode MS" w:cs="Arial"/>
      <w:b/>
      <w:bCs/>
      <w:i/>
      <w:iCs/>
    </w:rPr>
  </w:style>
  <w:style w:type="paragraph" w:styleId="xl30" w:customStyle="1">
    <w:name w:val="xl30"/>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eastAsia="Arial Unicode MS" w:cs="Arial"/>
    </w:rPr>
  </w:style>
  <w:style w:type="paragraph" w:styleId="xl31" w:customStyle="1">
    <w:name w:val="xl31"/>
    <w:basedOn w:val="Normal"/>
    <w:uiPriority w:val="99"/>
    <w:qFormat/>
    <w:rsid w:val="005b2a9e"/>
    <w:pPr>
      <w:pBdr>
        <w:left w:val="single" w:sz="4" w:space="0" w:color="000000"/>
        <w:bottom w:val="single" w:sz="4" w:space="0" w:color="000000"/>
        <w:right w:val="single" w:sz="4" w:space="0" w:color="000000"/>
      </w:pBdr>
      <w:spacing w:beforeAutospacing="1" w:afterAutospacing="1"/>
    </w:pPr>
    <w:rPr>
      <w:rFonts w:ascii="Arial" w:hAnsi="Arial" w:eastAsia="Arial Unicode MS" w:cs="Arial"/>
    </w:rPr>
  </w:style>
  <w:style w:type="paragraph" w:styleId="font5" w:customStyle="1">
    <w:name w:val="font5"/>
    <w:basedOn w:val="Normal"/>
    <w:uiPriority w:val="99"/>
    <w:qFormat/>
    <w:rsid w:val="005b2a9e"/>
    <w:pPr>
      <w:spacing w:beforeAutospacing="1" w:afterAutospacing="1"/>
    </w:pPr>
    <w:rPr>
      <w:rFonts w:eastAsia="Arial Unicode MS"/>
    </w:rPr>
  </w:style>
  <w:style w:type="paragraph" w:styleId="Style64" w:customStyle="1">
    <w:name w:val="Заявление"/>
    <w:basedOn w:val="Normal"/>
    <w:uiPriority w:val="99"/>
    <w:qFormat/>
    <w:rsid w:val="005b2a9e"/>
    <w:pPr>
      <w:spacing w:before="0" w:after="120"/>
      <w:ind w:firstLine="720"/>
      <w:jc w:val="both"/>
    </w:pPr>
    <w:rPr>
      <w:szCs w:val="20"/>
    </w:rPr>
  </w:style>
  <w:style w:type="paragraph" w:styleId="xl87" w:customStyle="1">
    <w:name w:val="xl87"/>
    <w:basedOn w:val="Normal"/>
    <w:uiPriority w:val="99"/>
    <w:qFormat/>
    <w:rsid w:val="005b2a9e"/>
    <w:pPr>
      <w:spacing w:beforeAutospacing="1" w:afterAutospacing="1"/>
      <w:jc w:val="center"/>
    </w:pPr>
    <w:rPr>
      <w:b/>
      <w:bCs/>
    </w:rPr>
  </w:style>
  <w:style w:type="paragraph" w:styleId="xl37" w:customStyle="1">
    <w:name w:val="xl37"/>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oaaeeoa" w:customStyle="1">
    <w:name w:val="oaaeeoa"/>
    <w:basedOn w:val="Normal"/>
    <w:uiPriority w:val="99"/>
    <w:qFormat/>
    <w:rsid w:val="005b2a9e"/>
    <w:pPr>
      <w:jc w:val="center"/>
    </w:pPr>
    <w:rPr>
      <w:szCs w:val="20"/>
    </w:rPr>
  </w:style>
  <w:style w:type="paragraph" w:styleId="Style65" w:customStyle="1">
    <w:name w:val="обычн БО"/>
    <w:basedOn w:val="Normal"/>
    <w:uiPriority w:val="99"/>
    <w:qFormat/>
    <w:rsid w:val="005b2a9e"/>
    <w:pPr>
      <w:jc w:val="both"/>
    </w:pPr>
    <w:rPr>
      <w:rFonts w:ascii="Arial" w:hAnsi="Arial" w:cs="Arial"/>
    </w:rPr>
  </w:style>
  <w:style w:type="paragraph" w:styleId="222" w:customStyle="1">
    <w:name w:val="заголовок 2"/>
    <w:basedOn w:val="Normal"/>
    <w:next w:val="Normal"/>
    <w:uiPriority w:val="99"/>
    <w:qFormat/>
    <w:rsid w:val="005b2a9e"/>
    <w:pPr>
      <w:keepNext w:val="true"/>
      <w:jc w:val="both"/>
    </w:pPr>
    <w:rPr>
      <w:b/>
      <w:sz w:val="28"/>
      <w:szCs w:val="20"/>
    </w:rPr>
  </w:style>
  <w:style w:type="paragraph" w:styleId="Style66" w:customStyle="1">
    <w:name w:val="Îáû÷íûé"/>
    <w:qFormat/>
    <w:rsid w:val="005b2a9e"/>
    <w:pPr>
      <w:widowControl/>
      <w:suppressAutoHyphens w:val="true"/>
      <w:bidi w:val="0"/>
      <w:spacing w:lineRule="auto" w:line="240" w:before="0" w:after="0"/>
      <w:jc w:val="start"/>
    </w:pPr>
    <w:rPr>
      <w:rFonts w:ascii="Times New Roman" w:hAnsi="Times New Roman" w:eastAsia="Times New Roman" w:cs="Times New Roman"/>
      <w:color w:val="auto"/>
      <w:kern w:val="0"/>
      <w:sz w:val="20"/>
      <w:szCs w:val="20"/>
      <w:lang w:val="en-US" w:eastAsia="ru-RU" w:bidi="ar-SA"/>
    </w:rPr>
  </w:style>
  <w:style w:type="paragraph" w:styleId="xl32" w:customStyle="1">
    <w:name w:val="xl32"/>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rPr>
  </w:style>
  <w:style w:type="paragraph" w:styleId="xl33" w:customStyle="1">
    <w:name w:val="xl33"/>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34" w:customStyle="1">
    <w:name w:val="xl34"/>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rPr>
  </w:style>
  <w:style w:type="paragraph" w:styleId="xl35" w:customStyle="1">
    <w:name w:val="xl35"/>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rPr>
  </w:style>
  <w:style w:type="paragraph" w:styleId="xl36" w:customStyle="1">
    <w:name w:val="xl36"/>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38" w:customStyle="1">
    <w:name w:val="xl38"/>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rPr>
  </w:style>
  <w:style w:type="paragraph" w:styleId="xl39" w:customStyle="1">
    <w:name w:val="xl39"/>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jc w:val="end"/>
    </w:pPr>
    <w:rPr>
      <w:rFonts w:ascii="Arial" w:hAnsi="Arial" w:cs="Arial"/>
    </w:rPr>
  </w:style>
  <w:style w:type="paragraph" w:styleId="xl40" w:customStyle="1">
    <w:name w:val="xl40"/>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rPr>
  </w:style>
  <w:style w:type="paragraph" w:styleId="xl41" w:customStyle="1">
    <w:name w:val="xl41"/>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rPr>
  </w:style>
  <w:style w:type="paragraph" w:styleId="xl42" w:customStyle="1">
    <w:name w:val="xl42"/>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rPr>
  </w:style>
  <w:style w:type="paragraph" w:styleId="xl43" w:customStyle="1">
    <w:name w:val="xl43"/>
    <w:basedOn w:val="Normal"/>
    <w:uiPriority w:val="99"/>
    <w:qFormat/>
    <w:rsid w:val="005b2a9e"/>
    <w:pPr>
      <w:pBdr>
        <w:top w:val="single" w:sz="4" w:space="0" w:color="000000"/>
        <w:left w:val="single" w:sz="4" w:space="0" w:color="000000"/>
        <w:right w:val="single" w:sz="4" w:space="0" w:color="000000"/>
      </w:pBdr>
      <w:spacing w:beforeAutospacing="1" w:afterAutospacing="1"/>
    </w:pPr>
    <w:rPr/>
  </w:style>
  <w:style w:type="paragraph" w:styleId="xl44" w:customStyle="1">
    <w:name w:val="xl44"/>
    <w:basedOn w:val="Normal"/>
    <w:uiPriority w:val="99"/>
    <w:qFormat/>
    <w:rsid w:val="005b2a9e"/>
    <w:pPr>
      <w:pBdr>
        <w:left w:val="single" w:sz="4" w:space="0" w:color="000000"/>
        <w:bottom w:val="single" w:sz="4" w:space="0" w:color="000000"/>
        <w:right w:val="single" w:sz="4" w:space="0" w:color="000000"/>
      </w:pBdr>
      <w:spacing w:beforeAutospacing="1" w:afterAutospacing="1"/>
    </w:pPr>
    <w:rPr/>
  </w:style>
  <w:style w:type="paragraph" w:styleId="xl45" w:customStyle="1">
    <w:name w:val="xl45"/>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rPr>
  </w:style>
  <w:style w:type="paragraph" w:styleId="xl46" w:customStyle="1">
    <w:name w:val="xl46"/>
    <w:basedOn w:val="Normal"/>
    <w:uiPriority w:val="99"/>
    <w:qFormat/>
    <w:rsid w:val="005b2a9e"/>
    <w:pPr>
      <w:pBdr>
        <w:left w:val="single" w:sz="4" w:space="0" w:color="000000"/>
        <w:bottom w:val="single" w:sz="4" w:space="0" w:color="000000"/>
        <w:right w:val="single" w:sz="4" w:space="0" w:color="000000"/>
      </w:pBdr>
      <w:spacing w:beforeAutospacing="1" w:afterAutospacing="1"/>
      <w:jc w:val="center"/>
    </w:pPr>
    <w:rPr>
      <w:rFonts w:ascii="Arial" w:hAnsi="Arial" w:cs="Arial"/>
    </w:rPr>
  </w:style>
  <w:style w:type="paragraph" w:styleId="xl47" w:customStyle="1">
    <w:name w:val="xl47"/>
    <w:basedOn w:val="Normal"/>
    <w:uiPriority w:val="99"/>
    <w:qFormat/>
    <w:rsid w:val="005b2a9e"/>
    <w:pPr>
      <w:pBdr>
        <w:left w:val="single" w:sz="4" w:space="0" w:color="000000"/>
        <w:bottom w:val="single" w:sz="4" w:space="0" w:color="000000"/>
        <w:right w:val="single" w:sz="4" w:space="0" w:color="000000"/>
      </w:pBdr>
      <w:spacing w:beforeAutospacing="1" w:afterAutospacing="1"/>
      <w:jc w:val="center"/>
    </w:pPr>
    <w:rPr>
      <w:rFonts w:ascii="Arial" w:hAnsi="Arial" w:cs="Arial"/>
    </w:rPr>
  </w:style>
  <w:style w:type="paragraph" w:styleId="xl48" w:customStyle="1">
    <w:name w:val="xl48"/>
    <w:basedOn w:val="Normal"/>
    <w:uiPriority w:val="99"/>
    <w:qFormat/>
    <w:rsid w:val="005b2a9e"/>
    <w:pPr>
      <w:pBdr>
        <w:top w:val="single" w:sz="4" w:space="0" w:color="000000"/>
        <w:left w:val="single" w:sz="4" w:space="0" w:color="000000"/>
        <w:right w:val="single" w:sz="4" w:space="0" w:color="000000"/>
      </w:pBdr>
      <w:spacing w:beforeAutospacing="1" w:afterAutospacing="1"/>
      <w:jc w:val="center"/>
    </w:pPr>
    <w:rPr>
      <w:rFonts w:ascii="Arial" w:hAnsi="Arial" w:cs="Arial"/>
    </w:rPr>
  </w:style>
  <w:style w:type="paragraph" w:styleId="xl49" w:customStyle="1">
    <w:name w:val="xl49"/>
    <w:basedOn w:val="Normal"/>
    <w:uiPriority w:val="99"/>
    <w:qFormat/>
    <w:rsid w:val="005b2a9e"/>
    <w:pPr>
      <w:pBdr>
        <w:left w:val="single" w:sz="4" w:space="0" w:color="000000"/>
        <w:right w:val="single" w:sz="4" w:space="0" w:color="000000"/>
      </w:pBdr>
      <w:spacing w:beforeAutospacing="1" w:afterAutospacing="1"/>
      <w:jc w:val="center"/>
    </w:pPr>
    <w:rPr>
      <w:rFonts w:ascii="Arial" w:hAnsi="Arial" w:cs="Arial"/>
    </w:rPr>
  </w:style>
  <w:style w:type="paragraph" w:styleId="xl50" w:customStyle="1">
    <w:name w:val="xl50"/>
    <w:basedOn w:val="Normal"/>
    <w:uiPriority w:val="99"/>
    <w:qFormat/>
    <w:rsid w:val="005b2a9e"/>
    <w:pPr>
      <w:pBdr>
        <w:left w:val="single" w:sz="4" w:space="0" w:color="000000"/>
        <w:bottom w:val="single" w:sz="4" w:space="0" w:color="000000"/>
        <w:right w:val="single" w:sz="4" w:space="0" w:color="000000"/>
      </w:pBdr>
      <w:spacing w:beforeAutospacing="1" w:afterAutospacing="1"/>
      <w:jc w:val="center"/>
    </w:pPr>
    <w:rPr>
      <w:rFonts w:ascii="Arial" w:hAnsi="Arial" w:cs="Arial"/>
    </w:rPr>
  </w:style>
  <w:style w:type="paragraph" w:styleId="xl51" w:customStyle="1">
    <w:name w:val="xl51"/>
    <w:basedOn w:val="Normal"/>
    <w:uiPriority w:val="99"/>
    <w:qFormat/>
    <w:rsid w:val="005b2a9e"/>
    <w:pPr>
      <w:pBdr>
        <w:top w:val="single" w:sz="4" w:space="0" w:color="000000"/>
        <w:left w:val="single" w:sz="4" w:space="0" w:color="000000"/>
        <w:right w:val="single" w:sz="4" w:space="0" w:color="000000"/>
      </w:pBdr>
      <w:spacing w:beforeAutospacing="1" w:afterAutospacing="1"/>
    </w:pPr>
    <w:rPr>
      <w:rFonts w:ascii="Arial" w:hAnsi="Arial" w:cs="Arial"/>
    </w:rPr>
  </w:style>
  <w:style w:type="paragraph" w:styleId="xl52" w:customStyle="1">
    <w:name w:val="xl52"/>
    <w:basedOn w:val="Normal"/>
    <w:uiPriority w:val="99"/>
    <w:qFormat/>
    <w:rsid w:val="005b2a9e"/>
    <w:pPr>
      <w:pBdr>
        <w:left w:val="single" w:sz="4" w:space="0" w:color="000000"/>
        <w:bottom w:val="single" w:sz="4" w:space="0" w:color="000000"/>
        <w:right w:val="single" w:sz="4" w:space="0" w:color="000000"/>
      </w:pBdr>
      <w:spacing w:beforeAutospacing="1" w:afterAutospacing="1"/>
    </w:pPr>
    <w:rPr>
      <w:rFonts w:ascii="Arial" w:hAnsi="Arial" w:cs="Arial"/>
    </w:rPr>
  </w:style>
  <w:style w:type="paragraph" w:styleId="xl53" w:customStyle="1">
    <w:name w:val="xl53"/>
    <w:basedOn w:val="Normal"/>
    <w:uiPriority w:val="99"/>
    <w:qFormat/>
    <w:rsid w:val="005b2a9e"/>
    <w:pPr>
      <w:pBdr>
        <w:top w:val="single" w:sz="4" w:space="0" w:color="000000"/>
        <w:left w:val="single" w:sz="4" w:space="0" w:color="000000"/>
        <w:right w:val="single" w:sz="4" w:space="0" w:color="000000"/>
      </w:pBdr>
      <w:spacing w:beforeAutospacing="1" w:afterAutospacing="1"/>
      <w:jc w:val="end"/>
    </w:pPr>
    <w:rPr>
      <w:rFonts w:ascii="Arial" w:hAnsi="Arial" w:cs="Arial"/>
    </w:rPr>
  </w:style>
  <w:style w:type="paragraph" w:styleId="xl54" w:customStyle="1">
    <w:name w:val="xl54"/>
    <w:basedOn w:val="Normal"/>
    <w:uiPriority w:val="99"/>
    <w:qFormat/>
    <w:rsid w:val="005b2a9e"/>
    <w:pPr>
      <w:pBdr>
        <w:left w:val="single" w:sz="4" w:space="0" w:color="000000"/>
        <w:bottom w:val="single" w:sz="4" w:space="0" w:color="000000"/>
        <w:right w:val="single" w:sz="4" w:space="0" w:color="000000"/>
      </w:pBdr>
      <w:spacing w:beforeAutospacing="1" w:afterAutospacing="1"/>
      <w:jc w:val="end"/>
    </w:pPr>
    <w:rPr>
      <w:rFonts w:ascii="Arial" w:hAnsi="Arial" w:cs="Arial"/>
    </w:rPr>
  </w:style>
  <w:style w:type="paragraph" w:styleId="xl55" w:customStyle="1">
    <w:name w:val="xl55"/>
    <w:basedOn w:val="Normal"/>
    <w:uiPriority w:val="99"/>
    <w:qFormat/>
    <w:rsid w:val="005b2a9e"/>
    <w:pPr>
      <w:pBdr>
        <w:left w:val="single" w:sz="4" w:space="0" w:color="000000"/>
        <w:bottom w:val="single" w:sz="4" w:space="0" w:color="000000"/>
        <w:right w:val="single" w:sz="4" w:space="0" w:color="000000"/>
      </w:pBdr>
      <w:spacing w:beforeAutospacing="1" w:afterAutospacing="1"/>
    </w:pPr>
    <w:rPr>
      <w:rFonts w:ascii="Arial" w:hAnsi="Arial" w:cs="Arial"/>
    </w:rPr>
  </w:style>
  <w:style w:type="paragraph" w:styleId="xl56" w:customStyle="1">
    <w:name w:val="xl56"/>
    <w:basedOn w:val="Normal"/>
    <w:uiPriority w:val="99"/>
    <w:qFormat/>
    <w:rsid w:val="005b2a9e"/>
    <w:pPr>
      <w:pBdr>
        <w:top w:val="single" w:sz="4" w:space="0" w:color="000000"/>
        <w:left w:val="single" w:sz="4" w:space="0" w:color="000000"/>
        <w:right w:val="single" w:sz="4" w:space="0" w:color="000000"/>
      </w:pBdr>
      <w:spacing w:beforeAutospacing="1" w:afterAutospacing="1"/>
    </w:pPr>
    <w:rPr>
      <w:rFonts w:ascii="Arial" w:hAnsi="Arial" w:cs="Arial"/>
    </w:rPr>
  </w:style>
  <w:style w:type="paragraph" w:styleId="xl57" w:customStyle="1">
    <w:name w:val="xl57"/>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jc w:val="end"/>
    </w:pPr>
    <w:rPr>
      <w:rFonts w:ascii="Arial" w:hAnsi="Arial" w:cs="Arial"/>
    </w:rPr>
  </w:style>
  <w:style w:type="paragraph" w:styleId="xl58" w:customStyle="1">
    <w:name w:val="xl58"/>
    <w:basedOn w:val="Normal"/>
    <w:uiPriority w:val="99"/>
    <w:qFormat/>
    <w:rsid w:val="005b2a9e"/>
    <w:pPr>
      <w:pBdr>
        <w:left w:val="single" w:sz="4" w:space="0" w:color="000000"/>
        <w:right w:val="single" w:sz="4" w:space="0" w:color="000000"/>
      </w:pBdr>
      <w:spacing w:beforeAutospacing="1" w:afterAutospacing="1"/>
    </w:pPr>
    <w:rPr>
      <w:rFonts w:ascii="Arial" w:hAnsi="Arial" w:cs="Arial"/>
    </w:rPr>
  </w:style>
  <w:style w:type="paragraph" w:styleId="xl59" w:customStyle="1">
    <w:name w:val="xl59"/>
    <w:basedOn w:val="Normal"/>
    <w:uiPriority w:val="99"/>
    <w:qFormat/>
    <w:rsid w:val="005b2a9e"/>
    <w:pPr>
      <w:pBdr>
        <w:left w:val="single" w:sz="4" w:space="0" w:color="000000"/>
        <w:bottom w:val="single" w:sz="4" w:space="0" w:color="000000"/>
        <w:right w:val="single" w:sz="4" w:space="0" w:color="000000"/>
      </w:pBdr>
      <w:spacing w:beforeAutospacing="1" w:afterAutospacing="1"/>
    </w:pPr>
    <w:rPr>
      <w:rFonts w:ascii="Arial" w:hAnsi="Arial" w:cs="Arial"/>
    </w:rPr>
  </w:style>
  <w:style w:type="paragraph" w:styleId="xl60" w:customStyle="1">
    <w:name w:val="xl60"/>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rPr>
  </w:style>
  <w:style w:type="paragraph" w:styleId="xl61" w:customStyle="1">
    <w:name w:val="xl61"/>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rPr>
  </w:style>
  <w:style w:type="paragraph" w:styleId="xl62" w:customStyle="1">
    <w:name w:val="xl62"/>
    <w:basedOn w:val="Normal"/>
    <w:uiPriority w:val="99"/>
    <w:qFormat/>
    <w:rsid w:val="005b2a9e"/>
    <w:pPr>
      <w:pBdr>
        <w:left w:val="single" w:sz="4" w:space="0" w:color="000000"/>
        <w:bottom w:val="single" w:sz="4" w:space="0" w:color="000000"/>
        <w:right w:val="single" w:sz="4" w:space="0" w:color="000000"/>
      </w:pBdr>
      <w:spacing w:beforeAutospacing="1" w:afterAutospacing="1"/>
      <w:jc w:val="center"/>
    </w:pPr>
    <w:rPr/>
  </w:style>
  <w:style w:type="paragraph" w:styleId="xl63" w:customStyle="1">
    <w:name w:val="xl63"/>
    <w:basedOn w:val="Normal"/>
    <w:uiPriority w:val="99"/>
    <w:qFormat/>
    <w:rsid w:val="005b2a9e"/>
    <w:pPr>
      <w:pBdr>
        <w:left w:val="single" w:sz="4" w:space="0" w:color="000000"/>
        <w:bottom w:val="single" w:sz="4" w:space="0" w:color="000000"/>
        <w:right w:val="single" w:sz="4" w:space="0" w:color="000000"/>
      </w:pBdr>
      <w:spacing w:beforeAutospacing="1" w:afterAutospacing="1"/>
      <w:jc w:val="center"/>
    </w:pPr>
    <w:rPr/>
  </w:style>
  <w:style w:type="paragraph" w:styleId="xl64" w:customStyle="1">
    <w:name w:val="xl64"/>
    <w:basedOn w:val="Normal"/>
    <w:uiPriority w:val="99"/>
    <w:qFormat/>
    <w:rsid w:val="005b2a9e"/>
    <w:pPr>
      <w:pBdr>
        <w:left w:val="single" w:sz="4" w:space="0" w:color="000000"/>
        <w:bottom w:val="single" w:sz="4" w:space="0" w:color="000000"/>
        <w:right w:val="single" w:sz="4" w:space="0" w:color="000000"/>
      </w:pBdr>
      <w:spacing w:beforeAutospacing="1" w:afterAutospacing="1"/>
      <w:jc w:val="center"/>
    </w:pPr>
    <w:rPr>
      <w:rFonts w:ascii="Arial" w:hAnsi="Arial" w:cs="Arial"/>
    </w:rPr>
  </w:style>
  <w:style w:type="paragraph" w:styleId="xl65" w:customStyle="1">
    <w:name w:val="xl65"/>
    <w:basedOn w:val="Normal"/>
    <w:uiPriority w:val="99"/>
    <w:qFormat/>
    <w:rsid w:val="005b2a9e"/>
    <w:pPr>
      <w:pBdr>
        <w:left w:val="single" w:sz="4" w:space="0" w:color="000000"/>
        <w:bottom w:val="single" w:sz="4" w:space="0" w:color="000000"/>
        <w:right w:val="single" w:sz="4" w:space="0" w:color="000000"/>
      </w:pBdr>
      <w:spacing w:beforeAutospacing="1" w:afterAutospacing="1"/>
      <w:jc w:val="center"/>
    </w:pPr>
    <w:rPr/>
  </w:style>
  <w:style w:type="paragraph" w:styleId="xl66" w:customStyle="1">
    <w:name w:val="xl66"/>
    <w:basedOn w:val="Normal"/>
    <w:uiPriority w:val="99"/>
    <w:qFormat/>
    <w:rsid w:val="005b2a9e"/>
    <w:pPr>
      <w:pBdr>
        <w:left w:val="single" w:sz="4" w:space="0" w:color="000000"/>
        <w:right w:val="single" w:sz="4" w:space="0" w:color="000000"/>
      </w:pBdr>
      <w:spacing w:beforeAutospacing="1" w:afterAutospacing="1"/>
    </w:pPr>
    <w:rPr/>
  </w:style>
  <w:style w:type="paragraph" w:styleId="xl67" w:customStyle="1">
    <w:name w:val="xl67"/>
    <w:basedOn w:val="Normal"/>
    <w:uiPriority w:val="99"/>
    <w:qFormat/>
    <w:rsid w:val="005b2a9e"/>
    <w:pPr>
      <w:pBdr>
        <w:left w:val="single" w:sz="4" w:space="0" w:color="000000"/>
        <w:bottom w:val="single" w:sz="4" w:space="0" w:color="000000"/>
        <w:right w:val="single" w:sz="4" w:space="0" w:color="000000"/>
      </w:pBdr>
      <w:spacing w:beforeAutospacing="1" w:afterAutospacing="1"/>
      <w:jc w:val="center"/>
    </w:pPr>
    <w:rPr/>
  </w:style>
  <w:style w:type="paragraph" w:styleId="xl68" w:customStyle="1">
    <w:name w:val="xl68"/>
    <w:basedOn w:val="Normal"/>
    <w:uiPriority w:val="99"/>
    <w:qFormat/>
    <w:rsid w:val="005b2a9e"/>
    <w:pPr>
      <w:pBdr>
        <w:top w:val="single" w:sz="4" w:space="0" w:color="000000"/>
        <w:left w:val="single" w:sz="4" w:space="0" w:color="000000"/>
        <w:bottom w:val="single" w:sz="4" w:space="0" w:color="000000"/>
      </w:pBdr>
      <w:spacing w:beforeAutospacing="1" w:afterAutospacing="1"/>
      <w:jc w:val="center"/>
    </w:pPr>
    <w:rPr>
      <w:rFonts w:ascii="Arial" w:hAnsi="Arial" w:cs="Arial"/>
      <w:b/>
      <w:bCs/>
    </w:rPr>
  </w:style>
  <w:style w:type="paragraph" w:styleId="xl69" w:customStyle="1">
    <w:name w:val="xl69"/>
    <w:basedOn w:val="Normal"/>
    <w:uiPriority w:val="99"/>
    <w:qFormat/>
    <w:rsid w:val="005b2a9e"/>
    <w:pPr>
      <w:pBdr>
        <w:top w:val="single" w:sz="4" w:space="0" w:color="000000"/>
        <w:bottom w:val="single" w:sz="4" w:space="0" w:color="000000"/>
      </w:pBdr>
      <w:spacing w:beforeAutospacing="1" w:afterAutospacing="1"/>
      <w:jc w:val="center"/>
    </w:pPr>
    <w:rPr>
      <w:rFonts w:ascii="Arial" w:hAnsi="Arial" w:cs="Arial"/>
      <w:b/>
      <w:bCs/>
    </w:rPr>
  </w:style>
  <w:style w:type="paragraph" w:styleId="xl70" w:customStyle="1">
    <w:name w:val="xl70"/>
    <w:basedOn w:val="Normal"/>
    <w:uiPriority w:val="99"/>
    <w:qFormat/>
    <w:rsid w:val="005b2a9e"/>
    <w:pPr>
      <w:pBdr>
        <w:top w:val="single" w:sz="4" w:space="0" w:color="000000"/>
        <w:bottom w:val="single" w:sz="4" w:space="0" w:color="000000"/>
        <w:right w:val="single" w:sz="4" w:space="0" w:color="000000"/>
      </w:pBdr>
      <w:spacing w:beforeAutospacing="1" w:afterAutospacing="1"/>
      <w:jc w:val="center"/>
    </w:pPr>
    <w:rPr>
      <w:rFonts w:ascii="Arial" w:hAnsi="Arial" w:cs="Arial"/>
      <w:b/>
      <w:bCs/>
    </w:rPr>
  </w:style>
  <w:style w:type="paragraph" w:styleId="xl71" w:customStyle="1">
    <w:name w:val="xl71"/>
    <w:basedOn w:val="Normal"/>
    <w:uiPriority w:val="99"/>
    <w:qFormat/>
    <w:rsid w:val="005b2a9e"/>
    <w:pPr>
      <w:pBdr>
        <w:top w:val="single" w:sz="4" w:space="0" w:color="000000"/>
        <w:left w:val="single" w:sz="4" w:space="0" w:color="000000"/>
        <w:bottom w:val="single" w:sz="4" w:space="0" w:color="000000"/>
      </w:pBdr>
      <w:spacing w:beforeAutospacing="1" w:afterAutospacing="1"/>
      <w:jc w:val="center"/>
    </w:pPr>
    <w:rPr>
      <w:rFonts w:ascii="Arial" w:hAnsi="Arial" w:cs="Arial"/>
      <w:i/>
      <w:iCs/>
    </w:rPr>
  </w:style>
  <w:style w:type="paragraph" w:styleId="xl72" w:customStyle="1">
    <w:name w:val="xl72"/>
    <w:basedOn w:val="Normal"/>
    <w:uiPriority w:val="99"/>
    <w:qFormat/>
    <w:rsid w:val="005b2a9e"/>
    <w:pPr>
      <w:pBdr>
        <w:top w:val="single" w:sz="4" w:space="0" w:color="000000"/>
        <w:bottom w:val="single" w:sz="4" w:space="0" w:color="000000"/>
      </w:pBdr>
      <w:spacing w:beforeAutospacing="1" w:afterAutospacing="1"/>
      <w:jc w:val="center"/>
    </w:pPr>
    <w:rPr>
      <w:rFonts w:ascii="Arial" w:hAnsi="Arial" w:cs="Arial"/>
      <w:i/>
      <w:iCs/>
    </w:rPr>
  </w:style>
  <w:style w:type="paragraph" w:styleId="xl73" w:customStyle="1">
    <w:name w:val="xl73"/>
    <w:basedOn w:val="Normal"/>
    <w:uiPriority w:val="99"/>
    <w:qFormat/>
    <w:rsid w:val="005b2a9e"/>
    <w:pPr>
      <w:pBdr>
        <w:top w:val="single" w:sz="4" w:space="0" w:color="000000"/>
        <w:bottom w:val="single" w:sz="4" w:space="0" w:color="000000"/>
        <w:right w:val="single" w:sz="4" w:space="0" w:color="000000"/>
      </w:pBdr>
      <w:spacing w:beforeAutospacing="1" w:afterAutospacing="1"/>
      <w:jc w:val="center"/>
    </w:pPr>
    <w:rPr>
      <w:rFonts w:ascii="Arial" w:hAnsi="Arial" w:cs="Arial"/>
      <w:i/>
      <w:iCs/>
    </w:rPr>
  </w:style>
  <w:style w:type="paragraph" w:styleId="xl74" w:customStyle="1">
    <w:name w:val="xl74"/>
    <w:basedOn w:val="Normal"/>
    <w:uiPriority w:val="99"/>
    <w:qFormat/>
    <w:rsid w:val="005b2a9e"/>
    <w:pPr>
      <w:pBdr>
        <w:top w:val="single" w:sz="4" w:space="0" w:color="000000"/>
        <w:left w:val="single" w:sz="4" w:space="0" w:color="000000"/>
        <w:right w:val="single" w:sz="4" w:space="0" w:color="000000"/>
      </w:pBdr>
      <w:spacing w:beforeAutospacing="1" w:afterAutospacing="1"/>
      <w:jc w:val="center"/>
    </w:pPr>
    <w:rPr/>
  </w:style>
  <w:style w:type="paragraph" w:styleId="xl75" w:customStyle="1">
    <w:name w:val="xl75"/>
    <w:basedOn w:val="Normal"/>
    <w:uiPriority w:val="99"/>
    <w:qFormat/>
    <w:rsid w:val="005b2a9e"/>
    <w:pPr>
      <w:pBdr>
        <w:left w:val="single" w:sz="4" w:space="0" w:color="000000"/>
        <w:right w:val="single" w:sz="4" w:space="0" w:color="000000"/>
      </w:pBdr>
      <w:spacing w:beforeAutospacing="1" w:afterAutospacing="1"/>
      <w:jc w:val="center"/>
    </w:pPr>
    <w:rPr/>
  </w:style>
  <w:style w:type="paragraph" w:styleId="xl77" w:customStyle="1">
    <w:name w:val="xl77"/>
    <w:basedOn w:val="Normal"/>
    <w:uiPriority w:val="99"/>
    <w:qFormat/>
    <w:rsid w:val="005b2a9e"/>
    <w:pPr>
      <w:pBdr>
        <w:left w:val="single" w:sz="4" w:space="0" w:color="000000"/>
        <w:right w:val="single" w:sz="4" w:space="0" w:color="000000"/>
      </w:pBdr>
      <w:spacing w:beforeAutospacing="1" w:afterAutospacing="1"/>
      <w:jc w:val="center"/>
    </w:pPr>
    <w:rPr>
      <w:rFonts w:ascii="Arial" w:hAnsi="Arial" w:cs="Arial"/>
    </w:rPr>
  </w:style>
  <w:style w:type="paragraph" w:styleId="xl78" w:customStyle="1">
    <w:name w:val="xl78"/>
    <w:basedOn w:val="Normal"/>
    <w:uiPriority w:val="99"/>
    <w:qFormat/>
    <w:rsid w:val="005b2a9e"/>
    <w:pPr>
      <w:pBdr>
        <w:left w:val="single" w:sz="4" w:space="0" w:color="000000"/>
        <w:bottom w:val="single" w:sz="4" w:space="0" w:color="000000"/>
        <w:right w:val="single" w:sz="4" w:space="0" w:color="000000"/>
      </w:pBdr>
      <w:spacing w:beforeAutospacing="1" w:afterAutospacing="1"/>
      <w:jc w:val="center"/>
    </w:pPr>
    <w:rPr>
      <w:rFonts w:ascii="Arial" w:hAnsi="Arial" w:cs="Arial"/>
    </w:rPr>
  </w:style>
  <w:style w:type="paragraph" w:styleId="xl79" w:customStyle="1">
    <w:name w:val="xl79"/>
    <w:basedOn w:val="Normal"/>
    <w:uiPriority w:val="99"/>
    <w:qFormat/>
    <w:rsid w:val="005b2a9e"/>
    <w:pPr>
      <w:pBdr>
        <w:top w:val="single" w:sz="4" w:space="0" w:color="000000"/>
        <w:left w:val="single" w:sz="4" w:space="0" w:color="000000"/>
        <w:right w:val="single" w:sz="4" w:space="0" w:color="000000"/>
      </w:pBdr>
      <w:spacing w:beforeAutospacing="1" w:afterAutospacing="1"/>
      <w:jc w:val="center"/>
    </w:pPr>
    <w:rPr/>
  </w:style>
  <w:style w:type="paragraph" w:styleId="xl80" w:customStyle="1">
    <w:name w:val="xl80"/>
    <w:basedOn w:val="Normal"/>
    <w:uiPriority w:val="99"/>
    <w:qFormat/>
    <w:rsid w:val="005b2a9e"/>
    <w:pPr>
      <w:pBdr>
        <w:left w:val="single" w:sz="4" w:space="0" w:color="000000"/>
        <w:right w:val="single" w:sz="4" w:space="0" w:color="000000"/>
      </w:pBdr>
      <w:spacing w:beforeAutospacing="1" w:afterAutospacing="1"/>
      <w:jc w:val="center"/>
    </w:pPr>
    <w:rPr/>
  </w:style>
  <w:style w:type="paragraph" w:styleId="xl81" w:customStyle="1">
    <w:name w:val="xl81"/>
    <w:basedOn w:val="Normal"/>
    <w:uiPriority w:val="99"/>
    <w:qFormat/>
    <w:rsid w:val="005b2a9e"/>
    <w:pPr>
      <w:pBdr>
        <w:top w:val="single" w:sz="4" w:space="0" w:color="000000"/>
        <w:left w:val="single" w:sz="4" w:space="0" w:color="000000"/>
        <w:right w:val="single" w:sz="4" w:space="0" w:color="000000"/>
      </w:pBdr>
      <w:spacing w:beforeAutospacing="1" w:afterAutospacing="1"/>
      <w:jc w:val="center"/>
    </w:pPr>
    <w:rPr>
      <w:rFonts w:ascii="Arial" w:hAnsi="Arial" w:cs="Arial"/>
    </w:rPr>
  </w:style>
  <w:style w:type="paragraph" w:styleId="xl82" w:customStyle="1">
    <w:name w:val="xl82"/>
    <w:basedOn w:val="Normal"/>
    <w:uiPriority w:val="99"/>
    <w:qFormat/>
    <w:rsid w:val="005b2a9e"/>
    <w:pPr>
      <w:pBdr>
        <w:left w:val="single" w:sz="4" w:space="0" w:color="000000"/>
        <w:right w:val="single" w:sz="4" w:space="0" w:color="000000"/>
      </w:pBdr>
      <w:spacing w:beforeAutospacing="1" w:afterAutospacing="1"/>
      <w:jc w:val="center"/>
    </w:pPr>
    <w:rPr>
      <w:rFonts w:ascii="Arial" w:hAnsi="Arial" w:cs="Arial"/>
    </w:rPr>
  </w:style>
  <w:style w:type="paragraph" w:styleId="xl83" w:customStyle="1">
    <w:name w:val="xl83"/>
    <w:basedOn w:val="Normal"/>
    <w:uiPriority w:val="99"/>
    <w:qFormat/>
    <w:rsid w:val="005b2a9e"/>
    <w:pPr>
      <w:pBdr>
        <w:top w:val="single" w:sz="4" w:space="0" w:color="000000"/>
        <w:left w:val="single" w:sz="4" w:space="0" w:color="000000"/>
        <w:right w:val="single" w:sz="4" w:space="0" w:color="000000"/>
      </w:pBdr>
      <w:spacing w:beforeAutospacing="1" w:afterAutospacing="1"/>
      <w:jc w:val="center"/>
    </w:pPr>
    <w:rPr>
      <w:rFonts w:ascii="Arial" w:hAnsi="Arial" w:cs="Arial"/>
    </w:rPr>
  </w:style>
  <w:style w:type="paragraph" w:styleId="xl84" w:customStyle="1">
    <w:name w:val="xl84"/>
    <w:basedOn w:val="Normal"/>
    <w:uiPriority w:val="99"/>
    <w:qFormat/>
    <w:rsid w:val="005b2a9e"/>
    <w:pPr>
      <w:pBdr>
        <w:left w:val="single" w:sz="4" w:space="0" w:color="000000"/>
        <w:bottom w:val="single" w:sz="4" w:space="0" w:color="000000"/>
        <w:right w:val="single" w:sz="4" w:space="0" w:color="000000"/>
      </w:pBdr>
      <w:spacing w:beforeAutospacing="1" w:afterAutospacing="1"/>
      <w:jc w:val="center"/>
    </w:pPr>
    <w:rPr>
      <w:rFonts w:ascii="Arial" w:hAnsi="Arial" w:cs="Arial"/>
    </w:rPr>
  </w:style>
  <w:style w:type="paragraph" w:styleId="xl85" w:customStyle="1">
    <w:name w:val="xl85"/>
    <w:basedOn w:val="Normal"/>
    <w:uiPriority w:val="99"/>
    <w:qFormat/>
    <w:rsid w:val="005b2a9e"/>
    <w:pPr>
      <w:pBdr>
        <w:top w:val="single" w:sz="4" w:space="0" w:color="000000"/>
        <w:left w:val="single" w:sz="4" w:space="0" w:color="000000"/>
        <w:right w:val="single" w:sz="4" w:space="0" w:color="000000"/>
      </w:pBdr>
      <w:spacing w:beforeAutospacing="1" w:afterAutospacing="1"/>
      <w:jc w:val="center"/>
    </w:pPr>
    <w:rPr>
      <w:rFonts w:ascii="Arial" w:hAnsi="Arial" w:cs="Arial"/>
    </w:rPr>
  </w:style>
  <w:style w:type="paragraph" w:styleId="xl86" w:customStyle="1">
    <w:name w:val="xl86"/>
    <w:basedOn w:val="Normal"/>
    <w:uiPriority w:val="99"/>
    <w:qFormat/>
    <w:rsid w:val="005b2a9e"/>
    <w:pPr>
      <w:pBdr>
        <w:left w:val="single" w:sz="4" w:space="0" w:color="000000"/>
        <w:right w:val="single" w:sz="4" w:space="0" w:color="000000"/>
      </w:pBdr>
      <w:spacing w:beforeAutospacing="1" w:afterAutospacing="1"/>
      <w:jc w:val="center"/>
    </w:pPr>
    <w:rPr>
      <w:rFonts w:ascii="Arial" w:hAnsi="Arial" w:cs="Arial"/>
    </w:rPr>
  </w:style>
  <w:style w:type="paragraph" w:styleId="xl88" w:customStyle="1">
    <w:name w:val="xl88"/>
    <w:basedOn w:val="Normal"/>
    <w:uiPriority w:val="99"/>
    <w:qFormat/>
    <w:rsid w:val="005b2a9e"/>
    <w:pPr>
      <w:spacing w:beforeAutospacing="1" w:afterAutospacing="1"/>
      <w:jc w:val="center"/>
    </w:pPr>
    <w:rPr>
      <w:b/>
      <w:bCs/>
    </w:rPr>
  </w:style>
  <w:style w:type="paragraph" w:styleId="xl89" w:customStyle="1">
    <w:name w:val="xl89"/>
    <w:basedOn w:val="Normal"/>
    <w:uiPriority w:val="99"/>
    <w:qFormat/>
    <w:rsid w:val="005b2a9e"/>
    <w:pPr>
      <w:pBdr>
        <w:top w:val="single" w:sz="4" w:space="0" w:color="000000"/>
        <w:left w:val="single" w:sz="4" w:space="0" w:color="000000"/>
        <w:bottom w:val="single" w:sz="4" w:space="0" w:color="000000"/>
      </w:pBdr>
      <w:spacing w:beforeAutospacing="1" w:afterAutospacing="1"/>
      <w:jc w:val="center"/>
    </w:pPr>
    <w:rPr>
      <w:b/>
      <w:bCs/>
    </w:rPr>
  </w:style>
  <w:style w:type="paragraph" w:styleId="xl90" w:customStyle="1">
    <w:name w:val="xl90"/>
    <w:basedOn w:val="Normal"/>
    <w:uiPriority w:val="99"/>
    <w:qFormat/>
    <w:rsid w:val="005b2a9e"/>
    <w:pPr>
      <w:pBdr>
        <w:top w:val="single" w:sz="4" w:space="0" w:color="000000"/>
        <w:bottom w:val="single" w:sz="4" w:space="0" w:color="000000"/>
        <w:right w:val="single" w:sz="4" w:space="0" w:color="000000"/>
      </w:pBdr>
      <w:spacing w:beforeAutospacing="1" w:afterAutospacing="1"/>
      <w:jc w:val="center"/>
    </w:pPr>
    <w:rPr>
      <w:b/>
      <w:bCs/>
    </w:rPr>
  </w:style>
  <w:style w:type="paragraph" w:styleId="Style67" w:customStyle="1">
    <w:name w:val="мой"/>
    <w:basedOn w:val="Normal"/>
    <w:uiPriority w:val="99"/>
    <w:qFormat/>
    <w:rsid w:val="005b2a9e"/>
    <w:pPr/>
    <w:rPr>
      <w:rFonts w:ascii="Arial" w:hAnsi="Arial"/>
      <w:szCs w:val="20"/>
    </w:rPr>
  </w:style>
  <w:style w:type="paragraph" w:styleId="72" w:customStyle="1">
    <w:name w:val="заголовок 7"/>
    <w:basedOn w:val="Normal"/>
    <w:next w:val="Normal"/>
    <w:uiPriority w:val="99"/>
    <w:qFormat/>
    <w:rsid w:val="005b2a9e"/>
    <w:pPr>
      <w:widowControl w:val="false"/>
      <w:spacing w:before="240" w:after="60"/>
      <w:jc w:val="both"/>
    </w:pPr>
    <w:rPr>
      <w:rFonts w:ascii="Arial" w:hAnsi="Arial"/>
      <w:szCs w:val="20"/>
    </w:rPr>
  </w:style>
  <w:style w:type="paragraph" w:styleId="Normal2" w:customStyle="1">
    <w:name w:val="Normal Знак"/>
    <w:link w:val="Normal1"/>
    <w:qFormat/>
    <w:rsid w:val="005b2a9e"/>
    <w:pPr>
      <w:widowControl/>
      <w:suppressAutoHyphens w:val="true"/>
      <w:bidi w:val="0"/>
      <w:spacing w:lineRule="auto" w:line="240" w:before="0" w:after="0"/>
      <w:jc w:val="start"/>
    </w:pPr>
    <w:rPr>
      <w:rFonts w:ascii="Tms Rmn" w:hAnsi="Tms Rmn" w:eastAsia="Calibri" w:cs="" w:cstheme="minorBidi" w:eastAsiaTheme="minorHAnsi"/>
      <w:color w:val="auto"/>
      <w:kern w:val="0"/>
      <w:sz w:val="22"/>
      <w:szCs w:val="22"/>
      <w:lang w:val="ru-RU" w:eastAsia="en-US" w:bidi="ar-SA"/>
    </w:rPr>
  </w:style>
  <w:style w:type="paragraph" w:styleId="Style68" w:customStyle="1">
    <w:name w:val="Основной текст бул"/>
    <w:basedOn w:val="Normal"/>
    <w:uiPriority w:val="99"/>
    <w:qFormat/>
    <w:rsid w:val="005b2a9e"/>
    <w:pPr/>
    <w:rPr>
      <w:szCs w:val="20"/>
      <w:lang w:val="en-GB"/>
    </w:rPr>
  </w:style>
  <w:style w:type="paragraph" w:styleId="Style69" w:customStyle="1">
    <w:name w:val="НумерСписокМногоУровн"/>
    <w:basedOn w:val="Normal"/>
    <w:next w:val="List"/>
    <w:uiPriority w:val="99"/>
    <w:qFormat/>
    <w:rsid w:val="005b2a9e"/>
    <w:pPr>
      <w:tabs>
        <w:tab w:val="clear" w:pos="709"/>
        <w:tab w:val="left" w:pos="360" w:leader="none"/>
      </w:tabs>
      <w:ind w:hanging="360" w:start="360"/>
      <w:jc w:val="both"/>
    </w:pPr>
    <w:rPr>
      <w:szCs w:val="20"/>
    </w:rPr>
  </w:style>
  <w:style w:type="paragraph" w:styleId="consnormal11" w:customStyle="1">
    <w:name w:val="consnormal1"/>
    <w:basedOn w:val="Normal"/>
    <w:uiPriority w:val="99"/>
    <w:qFormat/>
    <w:rsid w:val="005b2a9e"/>
    <w:pPr>
      <w:ind w:firstLine="720" w:end="19772"/>
    </w:pPr>
    <w:rPr>
      <w:rFonts w:ascii="Arial" w:hAnsi="Arial" w:cs="Arial"/>
      <w:sz w:val="20"/>
      <w:szCs w:val="20"/>
    </w:rPr>
  </w:style>
  <w:style w:type="paragraph" w:styleId="37" w:customStyle="1">
    <w:name w:val="Знак3"/>
    <w:basedOn w:val="Normal"/>
    <w:uiPriority w:val="99"/>
    <w:qFormat/>
    <w:rsid w:val="005b2a9e"/>
    <w:pPr>
      <w:spacing w:beforeAutospacing="1" w:afterAutospacing="1"/>
    </w:pPr>
    <w:rPr>
      <w:rFonts w:ascii="Tahoma" w:hAnsi="Tahoma"/>
      <w:sz w:val="20"/>
      <w:szCs w:val="20"/>
      <w:lang w:val="en-US"/>
    </w:rPr>
  </w:style>
  <w:style w:type="paragraph" w:styleId="223" w:customStyle="1">
    <w:name w:val="Знак Знак Знак2 Знак"/>
    <w:basedOn w:val="Normal"/>
    <w:uiPriority w:val="99"/>
    <w:qFormat/>
    <w:rsid w:val="005b2a9e"/>
    <w:pPr>
      <w:widowControl w:val="false"/>
      <w:spacing w:lineRule="exact" w:line="240" w:before="0" w:after="160"/>
      <w:jc w:val="end"/>
    </w:pPr>
    <w:rPr>
      <w:sz w:val="20"/>
      <w:szCs w:val="20"/>
      <w:lang w:val="en-GB"/>
    </w:rPr>
  </w:style>
  <w:style w:type="paragraph" w:styleId="Style70" w:customStyle="1">
    <w:name w:val="А. часть_раздела"/>
    <w:basedOn w:val="Heading2"/>
    <w:autoRedefine/>
    <w:uiPriority w:val="99"/>
    <w:qFormat/>
    <w:rsid w:val="005b2a9e"/>
    <w:pPr>
      <w:keepLines w:val="false"/>
      <w:tabs>
        <w:tab w:val="clear" w:pos="709"/>
        <w:tab w:val="left" w:pos="1080" w:leader="none"/>
      </w:tabs>
      <w:spacing w:before="240" w:after="60"/>
      <w:ind w:end="-1"/>
    </w:pPr>
    <w:rPr>
      <w:rFonts w:eastAsia="Times New Roman" w:cs="Times New Roman"/>
      <w:szCs w:val="28"/>
    </w:rPr>
  </w:style>
  <w:style w:type="paragraph" w:styleId="Style71" w:customStyle="1">
    <w:name w:val="Заголовок статьи"/>
    <w:basedOn w:val="Normal"/>
    <w:next w:val="Normal"/>
    <w:uiPriority w:val="99"/>
    <w:qFormat/>
    <w:rsid w:val="005b2a9e"/>
    <w:pPr>
      <w:widowControl w:val="false"/>
      <w:ind w:hanging="892" w:start="1612"/>
      <w:jc w:val="both"/>
    </w:pPr>
    <w:rPr>
      <w:rFonts w:ascii="Arial" w:hAnsi="Arial" w:cs="Arial"/>
      <w:sz w:val="20"/>
      <w:szCs w:val="20"/>
    </w:rPr>
  </w:style>
  <w:style w:type="paragraph" w:styleId="Style72" w:customStyle="1">
    <w:name w:val="Комментарий"/>
    <w:basedOn w:val="Normal"/>
    <w:next w:val="Normal"/>
    <w:uiPriority w:val="99"/>
    <w:qFormat/>
    <w:rsid w:val="005b2a9e"/>
    <w:pPr>
      <w:widowControl w:val="false"/>
      <w:ind w:start="170"/>
      <w:jc w:val="both"/>
    </w:pPr>
    <w:rPr>
      <w:rFonts w:ascii="Arial" w:hAnsi="Arial" w:cs="Arial"/>
      <w:i/>
      <w:iCs/>
      <w:color w:val="800080"/>
      <w:sz w:val="20"/>
      <w:szCs w:val="20"/>
    </w:rPr>
  </w:style>
  <w:style w:type="paragraph" w:styleId="146" w:customStyle="1">
    <w:name w:val="Заголовок1"/>
    <w:basedOn w:val="Normal"/>
    <w:next w:val="BodyText"/>
    <w:uiPriority w:val="99"/>
    <w:qFormat/>
    <w:rsid w:val="005b2a9e"/>
    <w:pPr>
      <w:keepNext w:val="true"/>
      <w:suppressAutoHyphens w:val="true"/>
      <w:spacing w:before="240" w:after="240"/>
      <w:jc w:val="center"/>
    </w:pPr>
    <w:rPr>
      <w:b/>
      <w:caps/>
      <w:sz w:val="28"/>
      <w:szCs w:val="28"/>
    </w:rPr>
  </w:style>
  <w:style w:type="paragraph" w:styleId="Style73" w:customStyle="1">
    <w:name w:val="Штамп"/>
    <w:basedOn w:val="Normal"/>
    <w:uiPriority w:val="99"/>
    <w:qFormat/>
    <w:rsid w:val="005b2a9e"/>
    <w:pPr>
      <w:widowControl w:val="false"/>
    </w:pPr>
    <w:rPr>
      <w:sz w:val="18"/>
      <w:szCs w:val="20"/>
    </w:rPr>
  </w:style>
  <w:style w:type="paragraph" w:styleId="Style74" w:customStyle="1">
    <w:name w:val="Заголовок разд."/>
    <w:basedOn w:val="Normal"/>
    <w:next w:val="Normal"/>
    <w:uiPriority w:val="99"/>
    <w:qFormat/>
    <w:rsid w:val="005b2a9e"/>
    <w:pPr>
      <w:snapToGrid w:val="false"/>
      <w:spacing w:before="120" w:after="120"/>
      <w:jc w:val="center"/>
    </w:pPr>
    <w:rPr>
      <w:caps/>
      <w:szCs w:val="20"/>
      <w:lang w:val="en-US"/>
    </w:rPr>
  </w:style>
  <w:style w:type="paragraph" w:styleId="Style75" w:customStyle="1">
    <w:name w:val="Осн. текст"/>
    <w:basedOn w:val="Normal"/>
    <w:uiPriority w:val="99"/>
    <w:qFormat/>
    <w:rsid w:val="005b2a9e"/>
    <w:pPr>
      <w:spacing w:before="0" w:after="120"/>
      <w:ind w:firstLine="709"/>
      <w:jc w:val="both"/>
    </w:pPr>
    <w:rPr>
      <w:szCs w:val="20"/>
    </w:rPr>
  </w:style>
  <w:style w:type="paragraph" w:styleId="Style76" w:customStyle="1">
    <w:name w:val="Заголовок подразд."/>
    <w:basedOn w:val="Normal"/>
    <w:next w:val="Normal"/>
    <w:uiPriority w:val="99"/>
    <w:qFormat/>
    <w:rsid w:val="005b2a9e"/>
    <w:pPr>
      <w:spacing w:before="240" w:after="360"/>
      <w:jc w:val="center"/>
    </w:pPr>
    <w:rPr>
      <w:smallCaps/>
      <w:szCs w:val="20"/>
    </w:rPr>
  </w:style>
  <w:style w:type="paragraph" w:styleId="Style77" w:customStyle="1">
    <w:name w:val="Осн.текст"/>
    <w:basedOn w:val="Normal"/>
    <w:uiPriority w:val="99"/>
    <w:qFormat/>
    <w:rsid w:val="005b2a9e"/>
    <w:pPr>
      <w:spacing w:before="0" w:after="120"/>
      <w:ind w:firstLine="709"/>
      <w:jc w:val="both"/>
    </w:pPr>
    <w:rPr>
      <w:szCs w:val="20"/>
    </w:rPr>
  </w:style>
  <w:style w:type="paragraph" w:styleId="Style78" w:customStyle="1">
    <w:name w:val="Заг.таблицы"/>
    <w:basedOn w:val="Normal"/>
    <w:uiPriority w:val="99"/>
    <w:qFormat/>
    <w:rsid w:val="005b2a9e"/>
    <w:pPr>
      <w:keepNext w:val="true"/>
      <w:ind w:firstLine="709"/>
      <w:jc w:val="center"/>
    </w:pPr>
    <w:rPr>
      <w:rFonts w:ascii="Arial" w:hAnsi="Arial"/>
      <w:szCs w:val="20"/>
    </w:rPr>
  </w:style>
  <w:style w:type="paragraph" w:styleId="Style79" w:customStyle="1">
    <w:name w:val="назв.табл."/>
    <w:basedOn w:val="Normal"/>
    <w:uiPriority w:val="99"/>
    <w:qFormat/>
    <w:rsid w:val="005b2a9e"/>
    <w:pPr>
      <w:spacing w:before="0" w:after="120"/>
      <w:jc w:val="end"/>
    </w:pPr>
    <w:rPr>
      <w:szCs w:val="20"/>
    </w:rPr>
  </w:style>
  <w:style w:type="paragraph" w:styleId="Style80" w:customStyle="1">
    <w:name w:val="Наз.таблицы"/>
    <w:basedOn w:val="Normal"/>
    <w:uiPriority w:val="99"/>
    <w:qFormat/>
    <w:rsid w:val="005b2a9e"/>
    <w:pPr>
      <w:keepNext w:val="true"/>
      <w:spacing w:before="0" w:after="120"/>
      <w:jc w:val="center"/>
    </w:pPr>
    <w:rPr>
      <w:sz w:val="20"/>
      <w:szCs w:val="20"/>
      <w:lang w:val="en-US"/>
    </w:rPr>
  </w:style>
  <w:style w:type="paragraph" w:styleId="Style81" w:customStyle="1">
    <w:name w:val="Текст табл."/>
    <w:basedOn w:val="Normal"/>
    <w:uiPriority w:val="99"/>
    <w:qFormat/>
    <w:rsid w:val="005b2a9e"/>
    <w:pPr>
      <w:jc w:val="both"/>
    </w:pPr>
    <w:rPr>
      <w:sz w:val="20"/>
      <w:szCs w:val="20"/>
      <w:lang w:val="en-US"/>
    </w:rPr>
  </w:style>
  <w:style w:type="paragraph" w:styleId="Style82" w:customStyle="1">
    <w:name w:val="Шапка табличная"/>
    <w:basedOn w:val="Normal"/>
    <w:next w:val="Normal"/>
    <w:uiPriority w:val="99"/>
    <w:qFormat/>
    <w:rsid w:val="005b2a9e"/>
    <w:pPr>
      <w:keepNext w:val="true"/>
      <w:pageBreakBefore/>
      <w:jc w:val="center"/>
    </w:pPr>
    <w:rPr>
      <w:szCs w:val="20"/>
    </w:rPr>
  </w:style>
  <w:style w:type="paragraph" w:styleId="224" w:customStyle="1">
    <w:name w:val="Заг.2"/>
    <w:basedOn w:val="Normal"/>
    <w:next w:val="Normal"/>
    <w:uiPriority w:val="99"/>
    <w:qFormat/>
    <w:rsid w:val="005b2a9e"/>
    <w:pPr>
      <w:keepNext w:val="true"/>
      <w:keepLines/>
      <w:suppressAutoHyphens w:val="true"/>
      <w:spacing w:before="240" w:after="240"/>
      <w:jc w:val="center"/>
      <w:outlineLvl w:val="1"/>
    </w:pPr>
    <w:rPr>
      <w:smallCaps/>
      <w:kern w:val="2"/>
      <w:szCs w:val="20"/>
    </w:rPr>
  </w:style>
  <w:style w:type="paragraph" w:styleId="1111" w:customStyle="1">
    <w:name w:val="Стиль Основной текст + 11 пт полужирный курсив По центру После:..."/>
    <w:basedOn w:val="BodyText"/>
    <w:uiPriority w:val="99"/>
    <w:qFormat/>
    <w:rsid w:val="005b2a9e"/>
    <w:pPr>
      <w:keepNext w:val="true"/>
      <w:spacing w:before="0" w:after="60"/>
      <w:ind w:firstLine="567"/>
      <w:jc w:val="center"/>
    </w:pPr>
    <w:rPr>
      <w:rFonts w:ascii="Arial" w:hAnsi="Arial"/>
      <w:b/>
      <w:bCs/>
      <w:i/>
      <w:iCs/>
      <w:lang w:val="en-US"/>
    </w:rPr>
  </w:style>
  <w:style w:type="paragraph" w:styleId="Style83" w:customStyle="1">
    <w:name w:val="Текст табличный"/>
    <w:basedOn w:val="Normal"/>
    <w:uiPriority w:val="99"/>
    <w:qFormat/>
    <w:rsid w:val="005b2a9e"/>
    <w:pPr>
      <w:jc w:val="both"/>
    </w:pPr>
    <w:rPr>
      <w:szCs w:val="20"/>
    </w:rPr>
  </w:style>
  <w:style w:type="paragraph" w:styleId="2110" w:customStyle="1">
    <w:name w:val="Основной текст с отступом 21"/>
    <w:basedOn w:val="Normal"/>
    <w:uiPriority w:val="99"/>
    <w:qFormat/>
    <w:rsid w:val="005b2a9e"/>
    <w:pPr>
      <w:ind w:firstLine="851"/>
      <w:jc w:val="both"/>
    </w:pPr>
    <w:rPr>
      <w:spacing w:val="4"/>
      <w:sz w:val="28"/>
      <w:szCs w:val="20"/>
    </w:rPr>
  </w:style>
  <w:style w:type="paragraph" w:styleId="225" w:customStyle="1">
    <w:name w:val="Основной текст 22"/>
    <w:basedOn w:val="Normal"/>
    <w:uiPriority w:val="99"/>
    <w:qFormat/>
    <w:rsid w:val="005b2a9e"/>
    <w:pPr>
      <w:ind w:firstLine="851"/>
      <w:jc w:val="both"/>
    </w:pPr>
    <w:rPr>
      <w:spacing w:val="4"/>
      <w:szCs w:val="20"/>
    </w:rPr>
  </w:style>
  <w:style w:type="paragraph" w:styleId="font7" w:customStyle="1">
    <w:name w:val="font7"/>
    <w:basedOn w:val="Normal"/>
    <w:uiPriority w:val="99"/>
    <w:qFormat/>
    <w:rsid w:val="005b2a9e"/>
    <w:pPr>
      <w:spacing w:beforeAutospacing="1" w:afterAutospacing="1"/>
    </w:pPr>
    <w:rPr>
      <w:rFonts w:eastAsia="Arial Unicode MS"/>
      <w:color w:val="000000"/>
    </w:rPr>
  </w:style>
  <w:style w:type="paragraph" w:styleId="147" w:customStyle="1">
    <w:name w:val="Основной текст с отступом1"/>
    <w:basedOn w:val="Normal"/>
    <w:uiPriority w:val="99"/>
    <w:qFormat/>
    <w:rsid w:val="005b2a9e"/>
    <w:pPr>
      <w:spacing w:before="0" w:after="120"/>
      <w:ind w:start="283"/>
    </w:pPr>
    <w:rPr/>
  </w:style>
  <w:style w:type="paragraph" w:styleId="CharChar" w:customStyle="1">
    <w:name w:val="Char Char"/>
    <w:basedOn w:val="Normal"/>
    <w:uiPriority w:val="99"/>
    <w:qFormat/>
    <w:rsid w:val="005b2a9e"/>
    <w:pPr>
      <w:spacing w:lineRule="exact" w:line="240" w:before="0" w:after="160"/>
    </w:pPr>
    <w:rPr>
      <w:rFonts w:ascii="Verdana" w:hAnsi="Verdana"/>
      <w:sz w:val="20"/>
      <w:szCs w:val="20"/>
      <w:lang w:val="en-US"/>
    </w:rPr>
  </w:style>
  <w:style w:type="paragraph" w:styleId="FR3" w:customStyle="1">
    <w:name w:val="FR3"/>
    <w:uiPriority w:val="99"/>
    <w:qFormat/>
    <w:rsid w:val="005b2a9e"/>
    <w:pPr>
      <w:widowControl w:val="false"/>
      <w:suppressAutoHyphens w:val="true"/>
      <w:bidi w:val="0"/>
      <w:spacing w:lineRule="auto" w:line="480" w:before="0" w:after="0"/>
      <w:jc w:val="both"/>
    </w:pPr>
    <w:rPr>
      <w:rFonts w:ascii="Times New Roman" w:hAnsi="Times New Roman" w:eastAsia="Times New Roman" w:cs="Times New Roman"/>
      <w:color w:val="auto"/>
      <w:kern w:val="0"/>
      <w:sz w:val="24"/>
      <w:szCs w:val="24"/>
      <w:lang w:val="ru-RU" w:eastAsia="ru-RU" w:bidi="ar-SA"/>
    </w:rPr>
  </w:style>
  <w:style w:type="paragraph" w:styleId="Style84" w:customStyle="1">
    <w:name w:val="ТаблНумер"/>
    <w:basedOn w:val="Normal"/>
    <w:uiPriority w:val="99"/>
    <w:qFormat/>
    <w:rsid w:val="005b2a9e"/>
    <w:pPr>
      <w:tabs>
        <w:tab w:val="clear" w:pos="709"/>
        <w:tab w:val="left" w:pos="432" w:leader="none"/>
      </w:tabs>
      <w:ind w:hanging="432" w:start="432"/>
      <w:jc w:val="center"/>
    </w:pPr>
    <w:rPr>
      <w:rFonts w:ascii="Arial" w:hAnsi="Arial"/>
      <w:szCs w:val="20"/>
    </w:rPr>
  </w:style>
  <w:style w:type="paragraph" w:styleId="ConsTitle" w:customStyle="1">
    <w:name w:val="ConsTitle"/>
    <w:uiPriority w:val="99"/>
    <w:qFormat/>
    <w:rsid w:val="005b2a9e"/>
    <w:pPr>
      <w:widowControl w:val="false"/>
      <w:suppressAutoHyphens w:val="true"/>
      <w:bidi w:val="0"/>
      <w:spacing w:lineRule="auto" w:line="240" w:before="0" w:after="0"/>
      <w:ind w:end="19772"/>
      <w:jc w:val="start"/>
    </w:pPr>
    <w:rPr>
      <w:rFonts w:ascii="Arial" w:hAnsi="Arial" w:eastAsia="Times New Roman" w:cs="Arial"/>
      <w:b/>
      <w:bCs/>
      <w:color w:val="auto"/>
      <w:kern w:val="0"/>
      <w:sz w:val="18"/>
      <w:szCs w:val="18"/>
      <w:lang w:val="ru-RU" w:eastAsia="ru-RU" w:bidi="ar-SA"/>
    </w:rPr>
  </w:style>
  <w:style w:type="paragraph" w:styleId="Style85" w:customStyle="1">
    <w:name w:val="Списки"/>
    <w:basedOn w:val="Normal"/>
    <w:uiPriority w:val="99"/>
    <w:qFormat/>
    <w:rsid w:val="005b2a9e"/>
    <w:pPr>
      <w:tabs>
        <w:tab w:val="clear" w:pos="709"/>
        <w:tab w:val="left" w:pos="1260" w:leader="none"/>
      </w:tabs>
      <w:spacing w:before="120" w:after="120"/>
      <w:jc w:val="both"/>
    </w:pPr>
    <w:rPr>
      <w:szCs w:val="28"/>
    </w:rPr>
  </w:style>
  <w:style w:type="paragraph" w:styleId="FR2" w:customStyle="1">
    <w:name w:val="FR2"/>
    <w:uiPriority w:val="99"/>
    <w:qFormat/>
    <w:rsid w:val="005b2a9e"/>
    <w:pPr>
      <w:widowControl w:val="false"/>
      <w:suppressAutoHyphens w:val="true"/>
      <w:bidi w:val="0"/>
      <w:spacing w:lineRule="auto" w:line="240" w:before="0" w:after="0"/>
      <w:jc w:val="both"/>
    </w:pPr>
    <w:rPr>
      <w:rFonts w:ascii="Arial" w:hAnsi="Arial" w:eastAsia="Times New Roman" w:cs="Arial"/>
      <w:color w:val="auto"/>
      <w:kern w:val="0"/>
      <w:sz w:val="12"/>
      <w:szCs w:val="12"/>
      <w:lang w:val="ru-RU" w:eastAsia="ru-RU" w:bidi="ar-SA"/>
    </w:rPr>
  </w:style>
  <w:style w:type="paragraph" w:styleId="53" w:customStyle="1">
    <w:name w:val="заголовок 5"/>
    <w:basedOn w:val="Normal"/>
    <w:next w:val="Normal"/>
    <w:uiPriority w:val="99"/>
    <w:qFormat/>
    <w:rsid w:val="005b2a9e"/>
    <w:pPr>
      <w:keepNext w:val="true"/>
      <w:jc w:val="both"/>
    </w:pPr>
    <w:rPr>
      <w:szCs w:val="20"/>
    </w:rPr>
  </w:style>
  <w:style w:type="paragraph" w:styleId="38" w:customStyle="1">
    <w:name w:val="Знак3 Знак Знак Знак"/>
    <w:basedOn w:val="Normal"/>
    <w:uiPriority w:val="99"/>
    <w:qFormat/>
    <w:rsid w:val="005b2a9e"/>
    <w:pPr>
      <w:spacing w:beforeAutospacing="1" w:afterAutospacing="1"/>
    </w:pPr>
    <w:rPr>
      <w:rFonts w:ascii="Tahoma" w:hAnsi="Tahoma"/>
      <w:sz w:val="20"/>
      <w:szCs w:val="20"/>
      <w:lang w:val="en-US"/>
    </w:rPr>
  </w:style>
  <w:style w:type="paragraph" w:styleId="Style86" w:customStyle="1">
    <w:name w:val="Таблицы (моноширинный)"/>
    <w:basedOn w:val="Normal"/>
    <w:next w:val="Normal"/>
    <w:uiPriority w:val="99"/>
    <w:qFormat/>
    <w:rsid w:val="005b2a9e"/>
    <w:pPr>
      <w:widowControl w:val="false"/>
      <w:jc w:val="both"/>
    </w:pPr>
    <w:rPr>
      <w:rFonts w:ascii="Courier New" w:hAnsi="Courier New" w:cs="Courier New"/>
      <w:sz w:val="20"/>
      <w:szCs w:val="20"/>
    </w:rPr>
  </w:style>
  <w:style w:type="paragraph" w:styleId="formattext" w:customStyle="1">
    <w:name w:val="formattext"/>
    <w:uiPriority w:val="99"/>
    <w:qFormat/>
    <w:rsid w:val="005b2a9e"/>
    <w:pPr>
      <w:widowControl w:val="false"/>
      <w:suppressAutoHyphens w:val="true"/>
      <w:bidi w:val="0"/>
      <w:spacing w:lineRule="auto" w:line="240" w:before="0" w:after="0"/>
      <w:jc w:val="start"/>
    </w:pPr>
    <w:rPr>
      <w:rFonts w:ascii="Times New Roman" w:hAnsi="Times New Roman" w:eastAsia="Times New Roman" w:cs="Times New Roman"/>
      <w:color w:val="auto"/>
      <w:kern w:val="0"/>
      <w:sz w:val="18"/>
      <w:szCs w:val="18"/>
      <w:lang w:val="ru-RU" w:eastAsia="ru-RU" w:bidi="ar-SA"/>
    </w:rPr>
  </w:style>
  <w:style w:type="paragraph" w:styleId="1112" w:customStyle="1">
    <w:name w:val="Заголовок 11"/>
    <w:basedOn w:val="Normal"/>
    <w:next w:val="Normal"/>
    <w:uiPriority w:val="99"/>
    <w:qFormat/>
    <w:rsid w:val="005b2a9e"/>
    <w:pPr>
      <w:keepNext w:val="true"/>
      <w:tabs>
        <w:tab w:val="clear" w:pos="709"/>
        <w:tab w:val="left" w:pos="720" w:leader="none"/>
      </w:tabs>
      <w:spacing w:before="240" w:after="60"/>
      <w:ind w:hanging="360" w:start="360"/>
      <w:jc w:val="center"/>
    </w:pPr>
    <w:rPr>
      <w:b/>
      <w:caps/>
      <w:kern w:val="2"/>
      <w:szCs w:val="20"/>
    </w:rPr>
  </w:style>
  <w:style w:type="paragraph" w:styleId="iauiAI" w:customStyle="1">
    <w:name w:val="iau?i AI"/>
    <w:basedOn w:val="Normal"/>
    <w:uiPriority w:val="99"/>
    <w:qFormat/>
    <w:rsid w:val="005b2a9e"/>
    <w:pPr>
      <w:widowControl w:val="false"/>
      <w:jc w:val="both"/>
    </w:pPr>
    <w:rPr>
      <w:rFonts w:ascii="Arial" w:hAnsi="Arial"/>
      <w:szCs w:val="20"/>
    </w:rPr>
  </w:style>
  <w:style w:type="paragraph" w:styleId="41" w:customStyle="1">
    <w:name w:val="Основной текст 4"/>
    <w:basedOn w:val="225"/>
    <w:uiPriority w:val="99"/>
    <w:qFormat/>
    <w:rsid w:val="005b2a9e"/>
    <w:pPr>
      <w:widowControl w:val="false"/>
      <w:spacing w:before="0" w:after="120"/>
      <w:ind w:firstLine="720" w:start="283"/>
    </w:pPr>
    <w:rPr>
      <w:rFonts w:ascii="Arial" w:hAnsi="Arial"/>
      <w:spacing w:val="0"/>
    </w:rPr>
  </w:style>
  <w:style w:type="paragraph" w:styleId="Style87" w:customStyle="1">
    <w:name w:val="Обычный без отступа"/>
    <w:basedOn w:val="Normal"/>
    <w:next w:val="Normal"/>
    <w:uiPriority w:val="99"/>
    <w:qFormat/>
    <w:rsid w:val="005b2a9e"/>
    <w:pPr>
      <w:jc w:val="both"/>
    </w:pPr>
    <w:rPr>
      <w:szCs w:val="20"/>
    </w:rPr>
  </w:style>
  <w:style w:type="paragraph" w:styleId="---11" w:customStyle="1">
    <w:name w:val="Олег-таблица-лево-11"/>
    <w:basedOn w:val="BodyTextIndent"/>
    <w:uiPriority w:val="99"/>
    <w:qFormat/>
    <w:rsid w:val="005b2a9e"/>
    <w:pPr>
      <w:spacing w:before="60" w:after="60"/>
      <w:ind w:start="0"/>
      <w:jc w:val="both"/>
    </w:pPr>
    <w:rPr>
      <w:rFonts w:ascii="Arial" w:hAnsi="Arial"/>
      <w:bCs/>
      <w:szCs w:val="20"/>
    </w:rPr>
  </w:style>
  <w:style w:type="paragraph" w:styleId="148" w:customStyle="1">
    <w:name w:val="заголовок 1"/>
    <w:basedOn w:val="Normal"/>
    <w:next w:val="Normal"/>
    <w:uiPriority w:val="99"/>
    <w:qFormat/>
    <w:rsid w:val="005b2a9e"/>
    <w:pPr>
      <w:keepLines/>
      <w:widowControl w:val="false"/>
      <w:tabs>
        <w:tab w:val="clear" w:pos="709"/>
        <w:tab w:val="left" w:pos="432" w:leader="none"/>
      </w:tabs>
      <w:spacing w:before="360" w:after="0"/>
      <w:ind w:hanging="709" w:start="709"/>
      <w:jc w:val="both"/>
    </w:pPr>
    <w:rPr>
      <w:rFonts w:ascii="Times" w:hAnsi="Times"/>
      <w:szCs w:val="20"/>
      <w:lang w:val="de-DE" w:eastAsia="zh-CN"/>
    </w:rPr>
  </w:style>
  <w:style w:type="paragraph" w:styleId="Normal11" w:customStyle="1">
    <w:name w:val="Normal1"/>
    <w:uiPriority w:val="99"/>
    <w:qFormat/>
    <w:rsid w:val="005b2a9e"/>
    <w:pPr>
      <w:widowControl w:val="false"/>
      <w:suppressAutoHyphens w:val="true"/>
      <w:bidi w:val="0"/>
      <w:snapToGrid w:val="false"/>
      <w:spacing w:lineRule="auto" w:line="336" w:before="0" w:after="0"/>
      <w:ind w:firstLine="20"/>
      <w:jc w:val="start"/>
    </w:pPr>
    <w:rPr>
      <w:rFonts w:ascii="Times New Roman" w:hAnsi="Times New Roman" w:eastAsia="Times New Roman" w:cs="Times New Roman"/>
      <w:color w:val="auto"/>
      <w:kern w:val="0"/>
      <w:sz w:val="20"/>
      <w:szCs w:val="20"/>
      <w:lang w:val="ru-RU" w:eastAsia="ru-RU" w:bidi="ar-SA"/>
    </w:rPr>
  </w:style>
  <w:style w:type="paragraph" w:styleId="2-11" w:customStyle="1">
    <w:name w:val="содержание2-11"/>
    <w:basedOn w:val="Normal"/>
    <w:uiPriority w:val="99"/>
    <w:qFormat/>
    <w:rsid w:val="005b2a9e"/>
    <w:pPr>
      <w:spacing w:before="120" w:after="0"/>
      <w:jc w:val="both"/>
    </w:pPr>
    <w:rPr/>
  </w:style>
  <w:style w:type="paragraph" w:styleId="Style88" w:customStyle="1">
    <w:name w:val="Основной текст отчета"/>
    <w:basedOn w:val="Normal"/>
    <w:uiPriority w:val="99"/>
    <w:qFormat/>
    <w:rsid w:val="005b2a9e"/>
    <w:pPr>
      <w:ind w:firstLine="426"/>
      <w:jc w:val="both"/>
    </w:pPr>
    <w:rPr>
      <w:rFonts w:ascii="Arial" w:hAnsi="Arial"/>
      <w:szCs w:val="20"/>
    </w:rPr>
  </w:style>
  <w:style w:type="paragraph" w:styleId="Style89" w:customStyle="1">
    <w:name w:val="Основной абзац"/>
    <w:basedOn w:val="Normal"/>
    <w:uiPriority w:val="99"/>
    <w:qFormat/>
    <w:rsid w:val="005b2a9e"/>
    <w:pPr>
      <w:spacing w:lineRule="auto" w:line="360"/>
      <w:ind w:firstLine="567"/>
      <w:jc w:val="both"/>
    </w:pPr>
    <w:rPr>
      <w:szCs w:val="20"/>
    </w:rPr>
  </w:style>
  <w:style w:type="paragraph" w:styleId="1310" w:customStyle="1">
    <w:name w:val="Обычный + 13 пт"/>
    <w:basedOn w:val="Normal"/>
    <w:link w:val="131"/>
    <w:qFormat/>
    <w:rsid w:val="005b2a9e"/>
    <w:pPr>
      <w:ind w:firstLine="567"/>
      <w:outlineLvl w:val="0"/>
    </w:pPr>
    <w:rPr>
      <w:b/>
      <w:bCs/>
      <w:sz w:val="36"/>
      <w:szCs w:val="36"/>
    </w:rPr>
  </w:style>
  <w:style w:type="paragraph" w:styleId="39" w:customStyle="1">
    <w:name w:val="Знак3 Знак Знак"/>
    <w:basedOn w:val="Normal"/>
    <w:uiPriority w:val="99"/>
    <w:qFormat/>
    <w:rsid w:val="005b2a9e"/>
    <w:pPr>
      <w:spacing w:beforeAutospacing="1" w:afterAutospacing="1"/>
    </w:pPr>
    <w:rPr>
      <w:rFonts w:ascii="Tahoma" w:hAnsi="Tahoma"/>
      <w:sz w:val="20"/>
      <w:szCs w:val="20"/>
      <w:lang w:val="en-US"/>
    </w:rPr>
  </w:style>
  <w:style w:type="paragraph" w:styleId="Style710" w:customStyle="1">
    <w:name w:val="Style7"/>
    <w:basedOn w:val="Normal"/>
    <w:uiPriority w:val="99"/>
    <w:qFormat/>
    <w:rsid w:val="005b2a9e"/>
    <w:pPr>
      <w:widowControl w:val="false"/>
      <w:spacing w:lineRule="exact" w:line="274"/>
      <w:jc w:val="center"/>
    </w:pPr>
    <w:rPr/>
  </w:style>
  <w:style w:type="paragraph" w:styleId="Style341" w:customStyle="1">
    <w:name w:val="Style34"/>
    <w:basedOn w:val="Normal"/>
    <w:uiPriority w:val="99"/>
    <w:qFormat/>
    <w:rsid w:val="005b2a9e"/>
    <w:pPr>
      <w:widowControl w:val="false"/>
      <w:spacing w:lineRule="exact" w:line="281"/>
      <w:ind w:firstLine="742"/>
      <w:jc w:val="both"/>
    </w:pPr>
    <w:rPr/>
  </w:style>
  <w:style w:type="paragraph" w:styleId="Style351" w:customStyle="1">
    <w:name w:val="Style35"/>
    <w:basedOn w:val="Normal"/>
    <w:uiPriority w:val="99"/>
    <w:qFormat/>
    <w:rsid w:val="005b2a9e"/>
    <w:pPr>
      <w:widowControl w:val="false"/>
      <w:spacing w:lineRule="exact" w:line="274"/>
      <w:ind w:firstLine="713"/>
      <w:jc w:val="both"/>
    </w:pPr>
    <w:rPr/>
  </w:style>
  <w:style w:type="paragraph" w:styleId="149" w:customStyle="1">
    <w:name w:val="Основной текст1"/>
    <w:basedOn w:val="Normal"/>
    <w:uiPriority w:val="99"/>
    <w:qFormat/>
    <w:rsid w:val="005b2a9e"/>
    <w:pPr>
      <w:widowControl w:val="false"/>
      <w:shd w:val="clear" w:color="auto" w:fill="FFFFFF"/>
      <w:spacing w:lineRule="exact" w:line="320"/>
      <w:jc w:val="both"/>
    </w:pPr>
    <w:rPr>
      <w:sz w:val="27"/>
      <w:szCs w:val="27"/>
    </w:rPr>
  </w:style>
  <w:style w:type="paragraph" w:styleId="204" w:customStyle="1">
    <w:name w:val="Знак Знак20 Знак Знак Знак Знак Знак Знак Знак Знак Знак Знак Знак Знак"/>
    <w:basedOn w:val="Normal"/>
    <w:uiPriority w:val="99"/>
    <w:qFormat/>
    <w:rsid w:val="005b2a9e"/>
    <w:pPr>
      <w:spacing w:beforeAutospacing="1" w:afterAutospacing="1"/>
    </w:pPr>
    <w:rPr>
      <w:rFonts w:ascii="Tahoma" w:hAnsi="Tahoma"/>
      <w:sz w:val="20"/>
      <w:szCs w:val="20"/>
      <w:lang w:val="en-US"/>
    </w:rPr>
  </w:style>
  <w:style w:type="paragraph" w:styleId="o" w:customStyle="1">
    <w:name w:val="o?"/>
    <w:basedOn w:val="iaui"/>
    <w:uiPriority w:val="99"/>
    <w:qFormat/>
    <w:rsid w:val="005b2a9e"/>
    <w:pPr>
      <w:ind w:hanging="0"/>
      <w:jc w:val="start"/>
    </w:pPr>
    <w:rPr>
      <w:b/>
    </w:rPr>
  </w:style>
  <w:style w:type="paragraph" w:styleId="310" w:customStyle="1">
    <w:name w:val="Стиль3 Знак Знак"/>
    <w:basedOn w:val="FootnoteText"/>
    <w:uiPriority w:val="99"/>
    <w:qFormat/>
    <w:rsid w:val="005b2a9e"/>
    <w:pPr>
      <w:widowControl w:val="false"/>
      <w:tabs>
        <w:tab w:val="clear" w:pos="709"/>
        <w:tab w:val="left" w:pos="227" w:leader="none"/>
      </w:tabs>
      <w:jc w:val="both"/>
    </w:pPr>
    <w:rPr>
      <w:rFonts w:ascii="Calibri" w:hAnsi="Calibri" w:eastAsia="Calibri"/>
      <w:sz w:val="24"/>
      <w:lang w:eastAsia="en-US"/>
    </w:rPr>
  </w:style>
  <w:style w:type="paragraph" w:styleId="FORMATTEXT1" w:customStyle="1">
    <w:name w:val=".FORMATTEXT"/>
    <w:uiPriority w:val="99"/>
    <w:qFormat/>
    <w:rsid w:val="001546fe"/>
    <w:pPr>
      <w:widowControl w:val="false"/>
      <w:suppressAutoHyphens w:val="true"/>
      <w:bidi w:val="0"/>
      <w:spacing w:lineRule="auto" w:line="240" w:before="0" w:after="0"/>
      <w:jc w:val="start"/>
    </w:pPr>
    <w:rPr>
      <w:rFonts w:ascii="Times New Roman" w:hAnsi="Times New Roman" w:eastAsia="Times New Roman" w:cs="Times New Roman"/>
      <w:color w:val="auto"/>
      <w:kern w:val="0"/>
      <w:sz w:val="24"/>
      <w:szCs w:val="24"/>
      <w:lang w:val="ru-RU" w:eastAsia="ru-RU" w:bidi="ar-SA"/>
    </w:rPr>
  </w:style>
  <w:style w:type="paragraph" w:styleId="-" w:customStyle="1">
    <w:name w:val="Контракт-пункт"/>
    <w:basedOn w:val="Normal"/>
    <w:uiPriority w:val="99"/>
    <w:qFormat/>
    <w:rsid w:val="004253c6"/>
    <w:pPr>
      <w:numPr>
        <w:ilvl w:val="1"/>
        <w:numId w:val="8"/>
      </w:numPr>
      <w:jc w:val="both"/>
    </w:pPr>
    <w:rPr/>
  </w:style>
  <w:style w:type="paragraph" w:styleId="-1" w:customStyle="1">
    <w:name w:val="Контракт-раздел"/>
    <w:basedOn w:val="Normal"/>
    <w:next w:val="-"/>
    <w:uiPriority w:val="99"/>
    <w:qFormat/>
    <w:rsid w:val="004253c6"/>
    <w:pPr>
      <w:keepNext w:val="true"/>
      <w:numPr>
        <w:ilvl w:val="0"/>
        <w:numId w:val="8"/>
      </w:numPr>
      <w:tabs>
        <w:tab w:val="clear" w:pos="709"/>
        <w:tab w:val="left" w:pos="540" w:leader="none"/>
      </w:tabs>
      <w:suppressAutoHyphens w:val="true"/>
      <w:spacing w:before="360" w:after="120"/>
      <w:jc w:val="center"/>
      <w:outlineLvl w:val="3"/>
    </w:pPr>
    <w:rPr>
      <w:b/>
      <w:bCs/>
      <w:smallCaps/>
    </w:rPr>
  </w:style>
  <w:style w:type="paragraph" w:styleId="-2" w:customStyle="1">
    <w:name w:val="Контракт-подпункт"/>
    <w:basedOn w:val="Normal"/>
    <w:uiPriority w:val="99"/>
    <w:qFormat/>
    <w:rsid w:val="004253c6"/>
    <w:pPr>
      <w:numPr>
        <w:ilvl w:val="2"/>
        <w:numId w:val="8"/>
      </w:numPr>
      <w:jc w:val="both"/>
    </w:pPr>
    <w:rPr/>
  </w:style>
  <w:style w:type="paragraph" w:styleId="-3" w:customStyle="1">
    <w:name w:val="Контракт-подподпункт"/>
    <w:basedOn w:val="Normal"/>
    <w:uiPriority w:val="99"/>
    <w:qFormat/>
    <w:rsid w:val="004253c6"/>
    <w:pPr>
      <w:numPr>
        <w:ilvl w:val="3"/>
        <w:numId w:val="8"/>
      </w:numPr>
      <w:jc w:val="both"/>
    </w:pPr>
    <w:rPr/>
  </w:style>
  <w:style w:type="paragraph" w:styleId="TableText" w:customStyle="1">
    <w:name w:val="Table Text"/>
    <w:basedOn w:val="Normal"/>
    <w:uiPriority w:val="99"/>
    <w:qFormat/>
    <w:rsid w:val="004253c6"/>
    <w:pPr>
      <w:widowControl w:val="false"/>
      <w:jc w:val="end"/>
    </w:pPr>
    <w:rPr/>
  </w:style>
  <w:style w:type="paragraph" w:styleId="font6" w:customStyle="1">
    <w:name w:val="font6"/>
    <w:basedOn w:val="Normal"/>
    <w:uiPriority w:val="99"/>
    <w:qFormat/>
    <w:rsid w:val="004253c6"/>
    <w:pPr>
      <w:spacing w:beforeAutospacing="1" w:afterAutospacing="1"/>
    </w:pPr>
    <w:rPr>
      <w:rFonts w:ascii="Arial" w:hAnsi="Arial" w:cs="Arial"/>
      <w:sz w:val="20"/>
      <w:szCs w:val="20"/>
    </w:rPr>
  </w:style>
  <w:style w:type="paragraph" w:styleId="font8" w:customStyle="1">
    <w:name w:val="font8"/>
    <w:basedOn w:val="Normal"/>
    <w:uiPriority w:val="99"/>
    <w:qFormat/>
    <w:rsid w:val="004253c6"/>
    <w:pPr>
      <w:spacing w:beforeAutospacing="1" w:afterAutospacing="1"/>
    </w:pPr>
    <w:rPr>
      <w:rFonts w:ascii="Arial" w:hAnsi="Arial" w:cs="Arial"/>
      <w:sz w:val="20"/>
      <w:szCs w:val="20"/>
    </w:rPr>
  </w:style>
  <w:style w:type="paragraph" w:styleId="font9" w:customStyle="1">
    <w:name w:val="font9"/>
    <w:basedOn w:val="Normal"/>
    <w:uiPriority w:val="99"/>
    <w:qFormat/>
    <w:rsid w:val="004253c6"/>
    <w:pPr>
      <w:spacing w:beforeAutospacing="1" w:afterAutospacing="1"/>
    </w:pPr>
    <w:rPr>
      <w:rFonts w:ascii="Arial" w:hAnsi="Arial" w:cs="Arial"/>
      <w:sz w:val="20"/>
      <w:szCs w:val="20"/>
    </w:rPr>
  </w:style>
  <w:style w:type="paragraph" w:styleId="font10" w:customStyle="1">
    <w:name w:val="font10"/>
    <w:basedOn w:val="Normal"/>
    <w:uiPriority w:val="99"/>
    <w:qFormat/>
    <w:rsid w:val="004253c6"/>
    <w:pPr>
      <w:spacing w:beforeAutospacing="1" w:afterAutospacing="1"/>
    </w:pPr>
    <w:rPr>
      <w:rFonts w:ascii="Tahoma" w:hAnsi="Tahoma" w:cs="Tahoma"/>
      <w:b/>
      <w:bCs/>
      <w:color w:val="000000"/>
      <w:sz w:val="20"/>
      <w:szCs w:val="20"/>
    </w:rPr>
  </w:style>
  <w:style w:type="paragraph" w:styleId="xl91" w:customStyle="1">
    <w:name w:val="xl91"/>
    <w:basedOn w:val="Normal"/>
    <w:uiPriority w:val="99"/>
    <w:qFormat/>
    <w:rsid w:val="004253c6"/>
    <w:pPr>
      <w:pBdr>
        <w:left w:val="single" w:sz="4" w:space="0" w:color="000000"/>
        <w:bottom w:val="single" w:sz="4" w:space="0" w:color="000000"/>
        <w:right w:val="single" w:sz="4" w:space="0" w:color="000000"/>
      </w:pBdr>
      <w:spacing w:beforeAutospacing="1" w:afterAutospacing="1"/>
    </w:pPr>
    <w:rPr>
      <w:rFonts w:ascii="Arial" w:hAnsi="Arial" w:cs="Arial"/>
      <w:color w:val="000000"/>
    </w:rPr>
  </w:style>
  <w:style w:type="paragraph" w:styleId="xl92" w:customStyle="1">
    <w:name w:val="xl92"/>
    <w:basedOn w:val="Normal"/>
    <w:uiPriority w:val="99"/>
    <w:qFormat/>
    <w:rsid w:val="004253c6"/>
    <w:pPr>
      <w:spacing w:beforeAutospacing="1" w:afterAutospacing="1"/>
    </w:pPr>
    <w:rPr/>
  </w:style>
  <w:style w:type="paragraph" w:styleId="xl93" w:customStyle="1">
    <w:name w:val="xl93"/>
    <w:basedOn w:val="Normal"/>
    <w:uiPriority w:val="99"/>
    <w:qFormat/>
    <w:rsid w:val="004253c6"/>
    <w:pPr>
      <w:pBdr>
        <w:top w:val="single" w:sz="4" w:space="0" w:color="000000"/>
        <w:left w:val="single" w:sz="4" w:space="0" w:color="000000"/>
        <w:bottom w:val="single" w:sz="4" w:space="0" w:color="000000"/>
        <w:right w:val="single" w:sz="4" w:space="0" w:color="000000"/>
      </w:pBdr>
      <w:spacing w:beforeAutospacing="1" w:afterAutospacing="1"/>
    </w:pPr>
    <w:rPr>
      <w:color w:val="000000"/>
    </w:rPr>
  </w:style>
  <w:style w:type="paragraph" w:styleId="xl94" w:customStyle="1">
    <w:name w:val="xl94"/>
    <w:basedOn w:val="Normal"/>
    <w:uiPriority w:val="99"/>
    <w:qFormat/>
    <w:rsid w:val="004253c6"/>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rPr>
  </w:style>
  <w:style w:type="paragraph" w:styleId="150" w:customStyle="1">
    <w:name w:val="Название1"/>
    <w:autoRedefine/>
    <w:uiPriority w:val="99"/>
    <w:qFormat/>
    <w:rsid w:val="004253c6"/>
    <w:pPr>
      <w:widowContro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bidi w:val="0"/>
      <w:spacing w:lineRule="auto" w:line="240" w:before="0" w:after="0"/>
      <w:jc w:val="center"/>
      <w:outlineLvl w:val="0"/>
    </w:pPr>
    <w:rPr>
      <w:rFonts w:ascii="Times New Roman" w:hAnsi="Times New Roman" w:eastAsia="ヒラギノ角ゴ Pro W3" w:cs="Times New Roman"/>
      <w:b/>
      <w:color w:val="000000"/>
      <w:kern w:val="2"/>
      <w:sz w:val="24"/>
      <w:szCs w:val="24"/>
      <w:lang w:val="ru-RU" w:eastAsia="ru-RU" w:bidi="ar-SA"/>
    </w:rPr>
  </w:style>
  <w:style w:type="paragraph" w:styleId="Style90" w:customStyle="1">
    <w:name w:val="для рисунка"/>
    <w:basedOn w:val="BodyText"/>
    <w:uiPriority w:val="99"/>
    <w:qFormat/>
    <w:rsid w:val="004253c6"/>
    <w:pPr>
      <w:keepNext w:val="true"/>
      <w:suppressAutoHyphens w:val="true"/>
      <w:spacing w:before="120" w:after="120"/>
      <w:jc w:val="center"/>
    </w:pPr>
    <w:rPr>
      <w:rFonts w:ascii="Journal" w:hAnsi="Journal"/>
      <w:lang w:eastAsia="ar-SA"/>
    </w:rPr>
  </w:style>
  <w:style w:type="paragraph" w:styleId="Style91" w:customStyle="1">
    <w:name w:val="Свободная форма"/>
    <w:uiPriority w:val="99"/>
    <w:qFormat/>
    <w:rsid w:val="004253c6"/>
    <w:pPr>
      <w:widowControl/>
      <w:suppressAutoHyphens w:val="true"/>
      <w:bidi w:val="0"/>
      <w:spacing w:lineRule="auto" w:line="240" w:before="0" w:after="0"/>
      <w:jc w:val="start"/>
    </w:pPr>
    <w:rPr>
      <w:rFonts w:ascii="Times New Roman" w:hAnsi="Times New Roman" w:eastAsia="ヒラギノ角ゴ Pro W3" w:cs="Times New Roman"/>
      <w:color w:val="000000"/>
      <w:kern w:val="0"/>
      <w:sz w:val="20"/>
      <w:szCs w:val="20"/>
      <w:lang w:val="ru-RU" w:eastAsia="ru-RU" w:bidi="ar-SA"/>
    </w:rPr>
  </w:style>
  <w:style w:type="paragraph" w:styleId="Style510" w:customStyle="1">
    <w:name w:val="Style5"/>
    <w:basedOn w:val="Normal"/>
    <w:uiPriority w:val="99"/>
    <w:qFormat/>
    <w:rsid w:val="004253c6"/>
    <w:pPr>
      <w:widowControl w:val="false"/>
      <w:spacing w:lineRule="exact" w:line="288"/>
    </w:pPr>
    <w:rPr/>
  </w:style>
  <w:style w:type="paragraph" w:styleId="Style610" w:customStyle="1">
    <w:name w:val="Style6"/>
    <w:basedOn w:val="Normal"/>
    <w:uiPriority w:val="99"/>
    <w:qFormat/>
    <w:rsid w:val="004253c6"/>
    <w:pPr>
      <w:widowControl w:val="false"/>
      <w:spacing w:lineRule="exact" w:line="278"/>
    </w:pPr>
    <w:rPr/>
  </w:style>
  <w:style w:type="paragraph" w:styleId="Style92" w:customStyle="1">
    <w:name w:val="Style9"/>
    <w:basedOn w:val="Normal"/>
    <w:uiPriority w:val="99"/>
    <w:qFormat/>
    <w:rsid w:val="004253c6"/>
    <w:pPr>
      <w:widowControl w:val="false"/>
      <w:spacing w:lineRule="exact" w:line="278"/>
    </w:pPr>
    <w:rPr/>
  </w:style>
  <w:style w:type="paragraph" w:styleId="151" w:customStyle="1">
    <w:name w:val="1УровеньНумерованныйСписок"/>
    <w:basedOn w:val="Normal"/>
    <w:uiPriority w:val="99"/>
    <w:qFormat/>
    <w:rsid w:val="004253c6"/>
    <w:pPr>
      <w:numPr>
        <w:ilvl w:val="0"/>
        <w:numId w:val="9"/>
      </w:numPr>
      <w:spacing w:before="60" w:after="60"/>
    </w:pPr>
    <w:rPr>
      <w:rFonts w:ascii="Arial" w:hAnsi="Arial"/>
      <w:szCs w:val="20"/>
    </w:rPr>
  </w:style>
  <w:style w:type="paragraph" w:styleId="226" w:customStyle="1">
    <w:name w:val="2УровеньНумерованныйСписок"/>
    <w:basedOn w:val="151"/>
    <w:uiPriority w:val="99"/>
    <w:qFormat/>
    <w:rsid w:val="004253c6"/>
    <w:pPr/>
    <w:rPr/>
  </w:style>
  <w:style w:type="paragraph" w:styleId="317" w:customStyle="1">
    <w:name w:val="3УровеньНумерованныйСписок"/>
    <w:basedOn w:val="226"/>
    <w:uiPriority w:val="99"/>
    <w:qFormat/>
    <w:rsid w:val="004253c6"/>
    <w:pPr/>
    <w:rPr/>
  </w:style>
  <w:style w:type="paragraph" w:styleId="42" w:customStyle="1">
    <w:name w:val="4УровеньНумерованныйСписок"/>
    <w:basedOn w:val="317"/>
    <w:uiPriority w:val="99"/>
    <w:qFormat/>
    <w:rsid w:val="004253c6"/>
    <w:pPr/>
    <w:rPr/>
  </w:style>
  <w:style w:type="paragraph" w:styleId="Style93" w:customStyle="1">
    <w:name w:val="Заголовок таблицы"/>
    <w:basedOn w:val="Normal"/>
    <w:uiPriority w:val="99"/>
    <w:qFormat/>
    <w:rsid w:val="004253c6"/>
    <w:pPr>
      <w:keepNext w:val="true"/>
      <w:keepLines/>
      <w:suppressLineNumbers/>
      <w:suppressAutoHyphens w:val="true"/>
      <w:spacing w:before="0" w:after="120"/>
      <w:jc w:val="center"/>
    </w:pPr>
    <w:rPr>
      <w:rFonts w:eastAsia="SimSun"/>
      <w:b/>
      <w:bCs/>
      <w:szCs w:val="20"/>
    </w:rPr>
  </w:style>
  <w:style w:type="paragraph" w:styleId="xl95" w:customStyle="1">
    <w:name w:val="xl95"/>
    <w:basedOn w:val="Normal"/>
    <w:uiPriority w:val="99"/>
    <w:qFormat/>
    <w:rsid w:val="004253c6"/>
    <w:pPr>
      <w:pBdr>
        <w:top w:val="single" w:sz="8" w:space="0" w:color="000000"/>
        <w:left w:val="single" w:sz="8" w:space="0" w:color="000000"/>
        <w:bottom w:val="single" w:sz="8" w:space="0" w:color="000000"/>
        <w:right w:val="single" w:sz="4" w:space="0" w:color="000000"/>
      </w:pBdr>
      <w:shd w:val="clear" w:color="auto" w:fill="FFFFFF"/>
      <w:spacing w:beforeAutospacing="1" w:afterAutospacing="1"/>
      <w:jc w:val="center"/>
    </w:pPr>
    <w:rPr>
      <w:rFonts w:ascii="Cambria" w:hAnsi="Cambria"/>
      <w:b/>
      <w:bCs/>
    </w:rPr>
  </w:style>
  <w:style w:type="paragraph" w:styleId="xl96" w:customStyle="1">
    <w:name w:val="xl96"/>
    <w:basedOn w:val="Normal"/>
    <w:uiPriority w:val="99"/>
    <w:qFormat/>
    <w:rsid w:val="004253c6"/>
    <w:pPr>
      <w:pBdr>
        <w:top w:val="single" w:sz="8" w:space="0" w:color="000000"/>
        <w:left w:val="single" w:sz="4" w:space="0" w:color="000000"/>
        <w:bottom w:val="single" w:sz="8" w:space="0" w:color="000000"/>
        <w:right w:val="single" w:sz="4" w:space="0" w:color="000000"/>
      </w:pBdr>
      <w:shd w:val="clear" w:color="auto" w:fill="FFFFFF"/>
      <w:spacing w:beforeAutospacing="1" w:afterAutospacing="1"/>
    </w:pPr>
    <w:rPr>
      <w:rFonts w:ascii="Cambria" w:hAnsi="Cambria"/>
      <w:b/>
      <w:bCs/>
    </w:rPr>
  </w:style>
  <w:style w:type="paragraph" w:styleId="xl97" w:customStyle="1">
    <w:name w:val="xl97"/>
    <w:basedOn w:val="Normal"/>
    <w:uiPriority w:val="99"/>
    <w:qFormat/>
    <w:rsid w:val="004253c6"/>
    <w:pPr>
      <w:pBdr>
        <w:top w:val="single" w:sz="8" w:space="0" w:color="000000"/>
        <w:left w:val="single" w:sz="4" w:space="0" w:color="000000"/>
        <w:bottom w:val="single" w:sz="8" w:space="0" w:color="000000"/>
        <w:right w:val="single" w:sz="4" w:space="0" w:color="000000"/>
      </w:pBdr>
      <w:shd w:val="clear" w:color="auto" w:fill="FFFFFF"/>
      <w:spacing w:beforeAutospacing="1" w:afterAutospacing="1"/>
    </w:pPr>
    <w:rPr>
      <w:rFonts w:ascii="Cambria" w:hAnsi="Cambria"/>
    </w:rPr>
  </w:style>
  <w:style w:type="paragraph" w:styleId="xl98" w:customStyle="1">
    <w:name w:val="xl98"/>
    <w:basedOn w:val="Normal"/>
    <w:uiPriority w:val="99"/>
    <w:qFormat/>
    <w:rsid w:val="004253c6"/>
    <w:pPr>
      <w:pBdr>
        <w:top w:val="single" w:sz="8" w:space="0" w:color="000000"/>
        <w:left w:val="single" w:sz="4" w:space="0" w:color="000000"/>
        <w:bottom w:val="single" w:sz="8" w:space="0" w:color="000000"/>
        <w:right w:val="single" w:sz="8" w:space="0" w:color="000000"/>
      </w:pBdr>
      <w:shd w:val="clear" w:color="auto" w:fill="FFFFFF"/>
      <w:spacing w:beforeAutospacing="1" w:afterAutospacing="1"/>
      <w:jc w:val="center"/>
    </w:pPr>
    <w:rPr>
      <w:rFonts w:ascii="Cambria" w:hAnsi="Cambria"/>
      <w:b/>
      <w:bCs/>
    </w:rPr>
  </w:style>
  <w:style w:type="paragraph" w:styleId="xl99" w:customStyle="1">
    <w:name w:val="xl99"/>
    <w:basedOn w:val="Normal"/>
    <w:uiPriority w:val="99"/>
    <w:qFormat/>
    <w:rsid w:val="004253c6"/>
    <w:pPr>
      <w:shd w:val="clear" w:color="auto" w:fill="FFFFFF"/>
      <w:spacing w:beforeAutospacing="1" w:afterAutospacing="1"/>
    </w:pPr>
    <w:rPr>
      <w:rFonts w:ascii="Cambria" w:hAnsi="Cambria"/>
    </w:rPr>
  </w:style>
  <w:style w:type="paragraph" w:styleId="xl100" w:customStyle="1">
    <w:name w:val="xl100"/>
    <w:basedOn w:val="Normal"/>
    <w:uiPriority w:val="99"/>
    <w:qFormat/>
    <w:rsid w:val="004253c6"/>
    <w:pPr>
      <w:pBdr>
        <w:left w:val="single" w:sz="8" w:space="0" w:color="000000"/>
        <w:bottom w:val="single" w:sz="4" w:space="0" w:color="000000"/>
        <w:right w:val="single" w:sz="4" w:space="0" w:color="000000"/>
      </w:pBdr>
      <w:shd w:val="clear" w:color="auto" w:fill="FFFFFF"/>
      <w:spacing w:beforeAutospacing="1" w:afterAutospacing="1"/>
      <w:jc w:val="center"/>
    </w:pPr>
    <w:rPr>
      <w:rFonts w:ascii="Cambria" w:hAnsi="Cambria"/>
      <w:b/>
      <w:bCs/>
    </w:rPr>
  </w:style>
  <w:style w:type="paragraph" w:styleId="xl101" w:customStyle="1">
    <w:name w:val="xl101"/>
    <w:basedOn w:val="Normal"/>
    <w:uiPriority w:val="99"/>
    <w:qFormat/>
    <w:rsid w:val="004253c6"/>
    <w:pPr>
      <w:pBdr>
        <w:left w:val="single" w:sz="4" w:space="0" w:color="000000"/>
        <w:bottom w:val="single" w:sz="4" w:space="0" w:color="000000"/>
        <w:right w:val="single" w:sz="4" w:space="0" w:color="000000"/>
      </w:pBdr>
      <w:shd w:val="clear" w:color="auto" w:fill="FFFFFF"/>
      <w:spacing w:beforeAutospacing="1" w:afterAutospacing="1"/>
    </w:pPr>
    <w:rPr>
      <w:rFonts w:ascii="Cambria" w:hAnsi="Cambria"/>
    </w:rPr>
  </w:style>
  <w:style w:type="paragraph" w:styleId="xl102" w:customStyle="1">
    <w:name w:val="xl102"/>
    <w:basedOn w:val="Normal"/>
    <w:uiPriority w:val="99"/>
    <w:qFormat/>
    <w:rsid w:val="004253c6"/>
    <w:pPr>
      <w:pBdr>
        <w:left w:val="single" w:sz="4" w:space="0" w:color="000000"/>
        <w:bottom w:val="single" w:sz="4" w:space="0" w:color="000000"/>
        <w:right w:val="single" w:sz="8" w:space="0" w:color="000000"/>
      </w:pBdr>
      <w:shd w:val="clear" w:color="auto" w:fill="FFFFFF"/>
      <w:spacing w:beforeAutospacing="1" w:afterAutospacing="1"/>
      <w:jc w:val="center"/>
    </w:pPr>
    <w:rPr>
      <w:rFonts w:ascii="Cambria" w:hAnsi="Cambria"/>
      <w:b/>
      <w:bCs/>
    </w:rPr>
  </w:style>
  <w:style w:type="paragraph" w:styleId="xl103" w:customStyle="1">
    <w:name w:val="xl103"/>
    <w:basedOn w:val="Normal"/>
    <w:uiPriority w:val="99"/>
    <w:qFormat/>
    <w:rsid w:val="004253c6"/>
    <w:pPr>
      <w:pBdr>
        <w:top w:val="single" w:sz="4" w:space="0" w:color="000000"/>
        <w:left w:val="single" w:sz="8" w:space="0" w:color="000000"/>
        <w:bottom w:val="single" w:sz="4" w:space="0" w:color="000000"/>
        <w:right w:val="single" w:sz="4" w:space="0" w:color="000000"/>
      </w:pBdr>
      <w:shd w:val="clear" w:color="auto" w:fill="FFFFFF"/>
      <w:spacing w:beforeAutospacing="1" w:afterAutospacing="1"/>
      <w:jc w:val="center"/>
    </w:pPr>
    <w:rPr>
      <w:rFonts w:ascii="Cambria" w:hAnsi="Cambria"/>
      <w:b/>
      <w:bCs/>
    </w:rPr>
  </w:style>
  <w:style w:type="paragraph" w:styleId="xl104" w:customStyle="1">
    <w:name w:val="xl104"/>
    <w:basedOn w:val="Normal"/>
    <w:uiPriority w:val="99"/>
    <w:qFormat/>
    <w:rsid w:val="004253c6"/>
    <w:pPr>
      <w:pBdr>
        <w:top w:val="single" w:sz="4" w:space="0" w:color="000000"/>
        <w:left w:val="single" w:sz="4" w:space="0" w:color="000000"/>
        <w:bottom w:val="single" w:sz="4" w:space="0" w:color="000000"/>
        <w:right w:val="single" w:sz="4" w:space="0" w:color="000000"/>
      </w:pBdr>
      <w:shd w:val="clear" w:color="auto" w:fill="FFFFFF"/>
      <w:spacing w:beforeAutospacing="1" w:afterAutospacing="1"/>
    </w:pPr>
    <w:rPr>
      <w:rFonts w:ascii="Cambria" w:hAnsi="Cambria"/>
    </w:rPr>
  </w:style>
  <w:style w:type="paragraph" w:styleId="xl105" w:customStyle="1">
    <w:name w:val="xl105"/>
    <w:basedOn w:val="Normal"/>
    <w:uiPriority w:val="99"/>
    <w:qFormat/>
    <w:rsid w:val="004253c6"/>
    <w:pPr>
      <w:pBdr>
        <w:top w:val="single" w:sz="4" w:space="0" w:color="000000"/>
        <w:left w:val="single" w:sz="4" w:space="0" w:color="000000"/>
        <w:bottom w:val="single" w:sz="4" w:space="0" w:color="000000"/>
        <w:right w:val="single" w:sz="8" w:space="0" w:color="000000"/>
      </w:pBdr>
      <w:shd w:val="clear" w:color="auto" w:fill="FFFFFF"/>
      <w:spacing w:beforeAutospacing="1" w:afterAutospacing="1"/>
      <w:jc w:val="center"/>
    </w:pPr>
    <w:rPr>
      <w:rFonts w:ascii="Cambria" w:hAnsi="Cambria"/>
      <w:b/>
      <w:bCs/>
    </w:rPr>
  </w:style>
  <w:style w:type="paragraph" w:styleId="xl106" w:customStyle="1">
    <w:name w:val="xl106"/>
    <w:basedOn w:val="Normal"/>
    <w:uiPriority w:val="99"/>
    <w:qFormat/>
    <w:rsid w:val="004253c6"/>
    <w:pPr>
      <w:pBdr>
        <w:top w:val="single" w:sz="4" w:space="0" w:color="000000"/>
        <w:left w:val="single" w:sz="4" w:space="0" w:color="000000"/>
        <w:bottom w:val="single" w:sz="4" w:space="0" w:color="000000"/>
        <w:right w:val="single" w:sz="4" w:space="0" w:color="000000"/>
      </w:pBdr>
      <w:shd w:val="clear" w:color="auto" w:fill="FFFFFF"/>
      <w:spacing w:beforeAutospacing="1" w:afterAutospacing="1"/>
    </w:pPr>
    <w:rPr>
      <w:rFonts w:ascii="Cambria" w:hAnsi="Cambria"/>
    </w:rPr>
  </w:style>
  <w:style w:type="paragraph" w:styleId="xl107" w:customStyle="1">
    <w:name w:val="xl107"/>
    <w:basedOn w:val="Normal"/>
    <w:uiPriority w:val="99"/>
    <w:qFormat/>
    <w:rsid w:val="004253c6"/>
    <w:pPr>
      <w:pBdr>
        <w:top w:val="single" w:sz="4" w:space="0" w:color="000000"/>
        <w:left w:val="single" w:sz="8" w:space="0" w:color="000000"/>
        <w:right w:val="single" w:sz="4" w:space="0" w:color="000000"/>
      </w:pBdr>
      <w:shd w:val="clear" w:color="auto" w:fill="FFFFFF"/>
      <w:spacing w:beforeAutospacing="1" w:afterAutospacing="1"/>
      <w:jc w:val="center"/>
    </w:pPr>
    <w:rPr>
      <w:rFonts w:ascii="Cambria" w:hAnsi="Cambria"/>
      <w:b/>
      <w:bCs/>
    </w:rPr>
  </w:style>
  <w:style w:type="paragraph" w:styleId="xl108" w:customStyle="1">
    <w:name w:val="xl108"/>
    <w:basedOn w:val="Normal"/>
    <w:uiPriority w:val="99"/>
    <w:qFormat/>
    <w:rsid w:val="004253c6"/>
    <w:pPr>
      <w:pBdr>
        <w:top w:val="single" w:sz="4" w:space="0" w:color="000000"/>
        <w:left w:val="single" w:sz="4" w:space="0" w:color="000000"/>
        <w:right w:val="single" w:sz="4" w:space="0" w:color="000000"/>
      </w:pBdr>
      <w:shd w:val="clear" w:color="auto" w:fill="FFFFFF"/>
      <w:spacing w:beforeAutospacing="1" w:afterAutospacing="1"/>
    </w:pPr>
    <w:rPr>
      <w:rFonts w:ascii="Cambria" w:hAnsi="Cambria"/>
    </w:rPr>
  </w:style>
  <w:style w:type="paragraph" w:styleId="xl109" w:customStyle="1">
    <w:name w:val="xl109"/>
    <w:basedOn w:val="Normal"/>
    <w:uiPriority w:val="99"/>
    <w:qFormat/>
    <w:rsid w:val="004253c6"/>
    <w:pPr>
      <w:pBdr>
        <w:top w:val="single" w:sz="4" w:space="0" w:color="000000"/>
        <w:left w:val="single" w:sz="4" w:space="0" w:color="000000"/>
        <w:right w:val="single" w:sz="8" w:space="0" w:color="000000"/>
      </w:pBdr>
      <w:shd w:val="clear" w:color="auto" w:fill="FFFFFF"/>
      <w:spacing w:beforeAutospacing="1" w:afterAutospacing="1"/>
      <w:jc w:val="center"/>
    </w:pPr>
    <w:rPr>
      <w:rFonts w:ascii="Cambria" w:hAnsi="Cambria"/>
      <w:b/>
      <w:bCs/>
    </w:rPr>
  </w:style>
  <w:style w:type="paragraph" w:styleId="xl110" w:customStyle="1">
    <w:name w:val="xl110"/>
    <w:basedOn w:val="Normal"/>
    <w:uiPriority w:val="99"/>
    <w:qFormat/>
    <w:rsid w:val="004253c6"/>
    <w:pPr>
      <w:pBdr>
        <w:left w:val="single" w:sz="8" w:space="0" w:color="000000"/>
        <w:bottom w:val="single" w:sz="4" w:space="0" w:color="000000"/>
        <w:right w:val="single" w:sz="4" w:space="0" w:color="000000"/>
      </w:pBdr>
      <w:shd w:val="clear" w:color="auto" w:fill="FFFFFF"/>
      <w:spacing w:beforeAutospacing="1" w:afterAutospacing="1"/>
      <w:jc w:val="center"/>
    </w:pPr>
    <w:rPr>
      <w:rFonts w:ascii="Cambria" w:hAnsi="Cambria"/>
      <w:b/>
      <w:bCs/>
    </w:rPr>
  </w:style>
  <w:style w:type="paragraph" w:styleId="xl111" w:customStyle="1">
    <w:name w:val="xl111"/>
    <w:basedOn w:val="Normal"/>
    <w:uiPriority w:val="99"/>
    <w:qFormat/>
    <w:rsid w:val="004253c6"/>
    <w:pPr>
      <w:pBdr>
        <w:top w:val="single" w:sz="8" w:space="0" w:color="000000"/>
        <w:left w:val="single" w:sz="8" w:space="0" w:color="000000"/>
        <w:bottom w:val="single" w:sz="8" w:space="0" w:color="000000"/>
        <w:right w:val="single" w:sz="4" w:space="0" w:color="000000"/>
      </w:pBdr>
      <w:shd w:val="clear" w:color="auto" w:fill="FFFFFF"/>
      <w:spacing w:beforeAutospacing="1" w:afterAutospacing="1"/>
      <w:jc w:val="center"/>
    </w:pPr>
    <w:rPr>
      <w:rFonts w:ascii="Cambria" w:hAnsi="Cambria"/>
      <w:b/>
      <w:bCs/>
    </w:rPr>
  </w:style>
  <w:style w:type="paragraph" w:styleId="xl112" w:customStyle="1">
    <w:name w:val="xl112"/>
    <w:basedOn w:val="Normal"/>
    <w:uiPriority w:val="99"/>
    <w:qFormat/>
    <w:rsid w:val="004253c6"/>
    <w:pPr>
      <w:pBdr>
        <w:top w:val="single" w:sz="8" w:space="0" w:color="000000"/>
        <w:left w:val="single" w:sz="4" w:space="0" w:color="000000"/>
        <w:bottom w:val="single" w:sz="8" w:space="0" w:color="000000"/>
        <w:right w:val="single" w:sz="8" w:space="0" w:color="000000"/>
      </w:pBdr>
      <w:shd w:val="clear" w:color="auto" w:fill="FFFFFF"/>
      <w:spacing w:beforeAutospacing="1" w:afterAutospacing="1"/>
      <w:jc w:val="center"/>
    </w:pPr>
    <w:rPr>
      <w:rFonts w:ascii="Cambria" w:hAnsi="Cambria"/>
      <w:b/>
      <w:bCs/>
    </w:rPr>
  </w:style>
  <w:style w:type="paragraph" w:styleId="xl113" w:customStyle="1">
    <w:name w:val="xl113"/>
    <w:basedOn w:val="Normal"/>
    <w:uiPriority w:val="99"/>
    <w:qFormat/>
    <w:rsid w:val="004253c6"/>
    <w:pPr>
      <w:pBdr>
        <w:left w:val="single" w:sz="8" w:space="0" w:color="000000"/>
        <w:bottom w:val="single" w:sz="4" w:space="0" w:color="000000"/>
        <w:right w:val="single" w:sz="4" w:space="0" w:color="000000"/>
      </w:pBdr>
      <w:shd w:val="clear" w:color="auto" w:fill="FFFFFF"/>
      <w:spacing w:beforeAutospacing="1" w:afterAutospacing="1"/>
      <w:jc w:val="center"/>
    </w:pPr>
    <w:rPr>
      <w:rFonts w:ascii="Cambria" w:hAnsi="Cambria"/>
      <w:b/>
      <w:bCs/>
    </w:rPr>
  </w:style>
  <w:style w:type="paragraph" w:styleId="xl114" w:customStyle="1">
    <w:name w:val="xl114"/>
    <w:basedOn w:val="Normal"/>
    <w:uiPriority w:val="99"/>
    <w:qFormat/>
    <w:rsid w:val="004253c6"/>
    <w:pPr>
      <w:pBdr>
        <w:left w:val="single" w:sz="4" w:space="0" w:color="000000"/>
        <w:bottom w:val="single" w:sz="4" w:space="0" w:color="000000"/>
        <w:right w:val="single" w:sz="8" w:space="0" w:color="000000"/>
      </w:pBdr>
      <w:shd w:val="clear" w:color="auto" w:fill="FFFFFF"/>
      <w:spacing w:beforeAutospacing="1" w:afterAutospacing="1"/>
      <w:jc w:val="center"/>
    </w:pPr>
    <w:rPr>
      <w:rFonts w:ascii="Cambria" w:hAnsi="Cambria"/>
      <w:b/>
      <w:bCs/>
    </w:rPr>
  </w:style>
  <w:style w:type="paragraph" w:styleId="xl115" w:customStyle="1">
    <w:name w:val="xl115"/>
    <w:basedOn w:val="Normal"/>
    <w:uiPriority w:val="99"/>
    <w:qFormat/>
    <w:rsid w:val="004253c6"/>
    <w:pPr>
      <w:pBdr>
        <w:top w:val="single" w:sz="4" w:space="0" w:color="000000"/>
        <w:left w:val="single" w:sz="8" w:space="0" w:color="000000"/>
        <w:bottom w:val="single" w:sz="4" w:space="0" w:color="000000"/>
        <w:right w:val="single" w:sz="4" w:space="0" w:color="000000"/>
      </w:pBdr>
      <w:shd w:val="clear" w:color="auto" w:fill="FFFFFF"/>
      <w:spacing w:beforeAutospacing="1" w:afterAutospacing="1"/>
      <w:jc w:val="center"/>
    </w:pPr>
    <w:rPr>
      <w:rFonts w:ascii="Cambria" w:hAnsi="Cambria"/>
      <w:b/>
      <w:bCs/>
    </w:rPr>
  </w:style>
  <w:style w:type="paragraph" w:styleId="xl116" w:customStyle="1">
    <w:name w:val="xl116"/>
    <w:basedOn w:val="Normal"/>
    <w:uiPriority w:val="99"/>
    <w:qFormat/>
    <w:rsid w:val="004253c6"/>
    <w:pPr>
      <w:pBdr>
        <w:top w:val="single" w:sz="4" w:space="0" w:color="000000"/>
        <w:left w:val="single" w:sz="4" w:space="0" w:color="000000"/>
        <w:bottom w:val="single" w:sz="4" w:space="0" w:color="000000"/>
        <w:right w:val="single" w:sz="8" w:space="0" w:color="000000"/>
      </w:pBdr>
      <w:shd w:val="clear" w:color="auto" w:fill="FFFFFF"/>
      <w:spacing w:beforeAutospacing="1" w:afterAutospacing="1"/>
      <w:jc w:val="center"/>
    </w:pPr>
    <w:rPr>
      <w:rFonts w:ascii="Cambria" w:hAnsi="Cambria"/>
      <w:b/>
      <w:bCs/>
    </w:rPr>
  </w:style>
  <w:style w:type="paragraph" w:styleId="xl117" w:customStyle="1">
    <w:name w:val="xl117"/>
    <w:basedOn w:val="Normal"/>
    <w:uiPriority w:val="99"/>
    <w:qFormat/>
    <w:rsid w:val="004253c6"/>
    <w:pPr>
      <w:pBdr>
        <w:top w:val="single" w:sz="4" w:space="0" w:color="000000"/>
        <w:left w:val="single" w:sz="4" w:space="0" w:color="000000"/>
        <w:bottom w:val="single" w:sz="4" w:space="0" w:color="000000"/>
        <w:right w:val="single" w:sz="4" w:space="0" w:color="000000"/>
      </w:pBdr>
      <w:shd w:val="clear" w:color="auto" w:fill="FFFFFF"/>
      <w:spacing w:beforeAutospacing="1" w:afterAutospacing="1"/>
    </w:pPr>
    <w:rPr>
      <w:rFonts w:ascii="Cambria" w:hAnsi="Cambria"/>
      <w:color w:val="000000"/>
      <w:sz w:val="18"/>
      <w:szCs w:val="18"/>
    </w:rPr>
  </w:style>
  <w:style w:type="paragraph" w:styleId="xl118" w:customStyle="1">
    <w:name w:val="xl118"/>
    <w:basedOn w:val="Normal"/>
    <w:uiPriority w:val="99"/>
    <w:qFormat/>
    <w:rsid w:val="004253c6"/>
    <w:pPr>
      <w:pBdr>
        <w:top w:val="single" w:sz="4" w:space="0" w:color="000000"/>
        <w:left w:val="single" w:sz="4" w:space="0" w:color="000000"/>
        <w:bottom w:val="single" w:sz="4" w:space="0" w:color="000000"/>
        <w:right w:val="single" w:sz="4" w:space="0" w:color="000000"/>
      </w:pBdr>
      <w:shd w:val="clear" w:color="auto" w:fill="FFFFFF"/>
      <w:spacing w:beforeAutospacing="1" w:afterAutospacing="1"/>
    </w:pPr>
    <w:rPr>
      <w:rFonts w:ascii="Cambria" w:hAnsi="Cambria"/>
    </w:rPr>
  </w:style>
  <w:style w:type="paragraph" w:styleId="xl119" w:customStyle="1">
    <w:name w:val="xl119"/>
    <w:basedOn w:val="Normal"/>
    <w:uiPriority w:val="99"/>
    <w:qFormat/>
    <w:rsid w:val="004253c6"/>
    <w:pPr>
      <w:pBdr>
        <w:top w:val="single" w:sz="4" w:space="0" w:color="000000"/>
        <w:left w:val="single" w:sz="8" w:space="0" w:color="000000"/>
        <w:right w:val="single" w:sz="4" w:space="0" w:color="000000"/>
      </w:pBdr>
      <w:shd w:val="clear" w:color="auto" w:fill="FFFFFF"/>
      <w:spacing w:beforeAutospacing="1" w:afterAutospacing="1"/>
      <w:jc w:val="center"/>
    </w:pPr>
    <w:rPr>
      <w:rFonts w:ascii="Cambria" w:hAnsi="Cambria"/>
      <w:b/>
      <w:bCs/>
    </w:rPr>
  </w:style>
  <w:style w:type="paragraph" w:styleId="xl120" w:customStyle="1">
    <w:name w:val="xl120"/>
    <w:basedOn w:val="Normal"/>
    <w:uiPriority w:val="99"/>
    <w:qFormat/>
    <w:rsid w:val="004253c6"/>
    <w:pPr>
      <w:pBdr>
        <w:top w:val="single" w:sz="4" w:space="0" w:color="000000"/>
        <w:left w:val="single" w:sz="4" w:space="0" w:color="000000"/>
        <w:right w:val="single" w:sz="8" w:space="0" w:color="000000"/>
      </w:pBdr>
      <w:shd w:val="clear" w:color="auto" w:fill="FFFFFF"/>
      <w:spacing w:beforeAutospacing="1" w:afterAutospacing="1"/>
      <w:jc w:val="center"/>
    </w:pPr>
    <w:rPr>
      <w:rFonts w:ascii="Cambria" w:hAnsi="Cambria"/>
      <w:b/>
      <w:bCs/>
    </w:rPr>
  </w:style>
  <w:style w:type="paragraph" w:styleId="xl121" w:customStyle="1">
    <w:name w:val="xl121"/>
    <w:basedOn w:val="Normal"/>
    <w:uiPriority w:val="99"/>
    <w:qFormat/>
    <w:rsid w:val="004253c6"/>
    <w:pPr>
      <w:pBdr>
        <w:top w:val="single" w:sz="4" w:space="0" w:color="000000"/>
        <w:left w:val="single" w:sz="8" w:space="0" w:color="000000"/>
        <w:right w:val="single" w:sz="4" w:space="0" w:color="000000"/>
      </w:pBdr>
      <w:shd w:val="clear" w:color="auto" w:fill="FFFFFF"/>
      <w:spacing w:beforeAutospacing="1" w:afterAutospacing="1"/>
      <w:jc w:val="center"/>
    </w:pPr>
    <w:rPr>
      <w:rFonts w:ascii="Cambria" w:hAnsi="Cambria"/>
      <w:b/>
      <w:bCs/>
    </w:rPr>
  </w:style>
  <w:style w:type="paragraph" w:styleId="xl122" w:customStyle="1">
    <w:name w:val="xl122"/>
    <w:basedOn w:val="Normal"/>
    <w:uiPriority w:val="99"/>
    <w:qFormat/>
    <w:rsid w:val="004253c6"/>
    <w:pPr>
      <w:pBdr>
        <w:left w:val="single" w:sz="8" w:space="0" w:color="000000"/>
        <w:right w:val="single" w:sz="4" w:space="0" w:color="000000"/>
      </w:pBdr>
      <w:shd w:val="clear" w:color="auto" w:fill="FFFFFF"/>
      <w:spacing w:beforeAutospacing="1" w:afterAutospacing="1"/>
      <w:jc w:val="center"/>
    </w:pPr>
    <w:rPr>
      <w:rFonts w:ascii="Cambria" w:hAnsi="Cambria"/>
      <w:b/>
      <w:bCs/>
    </w:rPr>
  </w:style>
  <w:style w:type="paragraph" w:styleId="xl123" w:customStyle="1">
    <w:name w:val="xl123"/>
    <w:basedOn w:val="Normal"/>
    <w:uiPriority w:val="99"/>
    <w:qFormat/>
    <w:rsid w:val="004253c6"/>
    <w:pPr>
      <w:pBdr>
        <w:left w:val="single" w:sz="4" w:space="0" w:color="000000"/>
        <w:right w:val="single" w:sz="4" w:space="0" w:color="000000"/>
      </w:pBdr>
      <w:shd w:val="clear" w:color="auto" w:fill="FFFFFF"/>
      <w:spacing w:beforeAutospacing="1" w:afterAutospacing="1"/>
    </w:pPr>
    <w:rPr>
      <w:rFonts w:ascii="Cambria" w:hAnsi="Cambria"/>
    </w:rPr>
  </w:style>
  <w:style w:type="paragraph" w:styleId="xl124" w:customStyle="1">
    <w:name w:val="xl124"/>
    <w:basedOn w:val="Normal"/>
    <w:uiPriority w:val="99"/>
    <w:qFormat/>
    <w:rsid w:val="004253c6"/>
    <w:pPr>
      <w:pBdr>
        <w:left w:val="single" w:sz="4" w:space="0" w:color="000000"/>
        <w:right w:val="single" w:sz="8" w:space="0" w:color="000000"/>
      </w:pBdr>
      <w:shd w:val="clear" w:color="auto" w:fill="FFFFFF"/>
      <w:spacing w:beforeAutospacing="1" w:afterAutospacing="1"/>
      <w:jc w:val="center"/>
    </w:pPr>
    <w:rPr>
      <w:rFonts w:ascii="Cambria" w:hAnsi="Cambria"/>
      <w:b/>
      <w:bCs/>
    </w:rPr>
  </w:style>
  <w:style w:type="paragraph" w:styleId="xl125" w:customStyle="1">
    <w:name w:val="xl125"/>
    <w:basedOn w:val="Normal"/>
    <w:uiPriority w:val="99"/>
    <w:qFormat/>
    <w:rsid w:val="004253c6"/>
    <w:pPr>
      <w:shd w:val="clear" w:color="auto" w:fill="FFFFFF"/>
      <w:spacing w:beforeAutospacing="1" w:afterAutospacing="1"/>
    </w:pPr>
    <w:rPr>
      <w:rFonts w:ascii="Cambria" w:hAnsi="Cambria"/>
    </w:rPr>
  </w:style>
  <w:style w:type="paragraph" w:styleId="xl126" w:customStyle="1">
    <w:name w:val="xl126"/>
    <w:basedOn w:val="Normal"/>
    <w:uiPriority w:val="99"/>
    <w:qFormat/>
    <w:rsid w:val="004253c6"/>
    <w:pPr>
      <w:pBdr>
        <w:top w:val="single" w:sz="8" w:space="0" w:color="000000"/>
        <w:left w:val="single" w:sz="8" w:space="0" w:color="000000"/>
        <w:bottom w:val="single" w:sz="8" w:space="0" w:color="000000"/>
        <w:right w:val="single" w:sz="4" w:space="0" w:color="000000"/>
      </w:pBdr>
      <w:shd w:val="clear" w:color="auto" w:fill="FFFFFF"/>
      <w:spacing w:beforeAutospacing="1" w:afterAutospacing="1"/>
      <w:jc w:val="center"/>
    </w:pPr>
    <w:rPr>
      <w:rFonts w:ascii="Cambria" w:hAnsi="Cambria"/>
      <w:b/>
      <w:bCs/>
    </w:rPr>
  </w:style>
  <w:style w:type="paragraph" w:styleId="xl127" w:customStyle="1">
    <w:name w:val="xl127"/>
    <w:basedOn w:val="Normal"/>
    <w:uiPriority w:val="99"/>
    <w:qFormat/>
    <w:rsid w:val="004253c6"/>
    <w:pPr>
      <w:pBdr>
        <w:top w:val="single" w:sz="8" w:space="0" w:color="000000"/>
        <w:left w:val="single" w:sz="4" w:space="0" w:color="000000"/>
        <w:bottom w:val="single" w:sz="8" w:space="0" w:color="000000"/>
        <w:right w:val="single" w:sz="4" w:space="0" w:color="000000"/>
      </w:pBdr>
      <w:shd w:val="clear" w:color="auto" w:fill="FFFFFF"/>
      <w:spacing w:beforeAutospacing="1" w:afterAutospacing="1"/>
    </w:pPr>
    <w:rPr>
      <w:rFonts w:ascii="Cambria" w:hAnsi="Cambria"/>
      <w:b/>
      <w:bCs/>
    </w:rPr>
  </w:style>
  <w:style w:type="paragraph" w:styleId="xl128" w:customStyle="1">
    <w:name w:val="xl128"/>
    <w:basedOn w:val="Normal"/>
    <w:uiPriority w:val="99"/>
    <w:qFormat/>
    <w:rsid w:val="004253c6"/>
    <w:pPr>
      <w:pBdr>
        <w:top w:val="single" w:sz="8" w:space="0" w:color="000000"/>
        <w:left w:val="single" w:sz="4" w:space="0" w:color="000000"/>
        <w:bottom w:val="single" w:sz="8" w:space="0" w:color="000000"/>
        <w:right w:val="single" w:sz="4" w:space="0" w:color="000000"/>
      </w:pBdr>
      <w:shd w:val="clear" w:color="auto" w:fill="FFFFFF"/>
      <w:spacing w:beforeAutospacing="1" w:afterAutospacing="1"/>
    </w:pPr>
    <w:rPr>
      <w:rFonts w:ascii="Cambria" w:hAnsi="Cambria"/>
    </w:rPr>
  </w:style>
  <w:style w:type="paragraph" w:styleId="xl129" w:customStyle="1">
    <w:name w:val="xl129"/>
    <w:basedOn w:val="Normal"/>
    <w:uiPriority w:val="99"/>
    <w:qFormat/>
    <w:rsid w:val="004253c6"/>
    <w:pPr>
      <w:pBdr>
        <w:top w:val="single" w:sz="8" w:space="0" w:color="000000"/>
        <w:left w:val="single" w:sz="4" w:space="0" w:color="000000"/>
        <w:bottom w:val="single" w:sz="8" w:space="0" w:color="000000"/>
        <w:right w:val="single" w:sz="8" w:space="0" w:color="000000"/>
      </w:pBdr>
      <w:shd w:val="clear" w:color="auto" w:fill="FFFFFF"/>
      <w:spacing w:beforeAutospacing="1" w:afterAutospacing="1"/>
      <w:jc w:val="center"/>
    </w:pPr>
    <w:rPr>
      <w:rFonts w:ascii="Cambria" w:hAnsi="Cambria"/>
      <w:b/>
      <w:bCs/>
    </w:rPr>
  </w:style>
  <w:style w:type="paragraph" w:styleId="xl130" w:customStyle="1">
    <w:name w:val="xl130"/>
    <w:basedOn w:val="Normal"/>
    <w:uiPriority w:val="99"/>
    <w:qFormat/>
    <w:rsid w:val="004253c6"/>
    <w:pPr>
      <w:pBdr>
        <w:left w:val="single" w:sz="8" w:space="0" w:color="000000"/>
        <w:bottom w:val="single" w:sz="4" w:space="0" w:color="000000"/>
        <w:right w:val="single" w:sz="4" w:space="0" w:color="000000"/>
      </w:pBdr>
      <w:shd w:val="clear" w:color="auto" w:fill="FFFFFF"/>
      <w:spacing w:beforeAutospacing="1" w:afterAutospacing="1"/>
      <w:jc w:val="center"/>
    </w:pPr>
    <w:rPr>
      <w:rFonts w:ascii="Cambria" w:hAnsi="Cambria"/>
      <w:b/>
      <w:bCs/>
    </w:rPr>
  </w:style>
  <w:style w:type="paragraph" w:styleId="xl131" w:customStyle="1">
    <w:name w:val="xl131"/>
    <w:basedOn w:val="Normal"/>
    <w:uiPriority w:val="99"/>
    <w:qFormat/>
    <w:rsid w:val="004253c6"/>
    <w:pPr>
      <w:pBdr>
        <w:left w:val="single" w:sz="4" w:space="0" w:color="000000"/>
        <w:bottom w:val="single" w:sz="4" w:space="0" w:color="000000"/>
        <w:right w:val="single" w:sz="4" w:space="0" w:color="000000"/>
      </w:pBdr>
      <w:shd w:val="clear" w:color="auto" w:fill="FFFFFF"/>
      <w:spacing w:beforeAutospacing="1" w:afterAutospacing="1"/>
    </w:pPr>
    <w:rPr>
      <w:rFonts w:ascii="Cambria" w:hAnsi="Cambria"/>
    </w:rPr>
  </w:style>
  <w:style w:type="paragraph" w:styleId="xl132" w:customStyle="1">
    <w:name w:val="xl132"/>
    <w:basedOn w:val="Normal"/>
    <w:uiPriority w:val="99"/>
    <w:qFormat/>
    <w:rsid w:val="004253c6"/>
    <w:pPr>
      <w:pBdr>
        <w:left w:val="single" w:sz="4" w:space="0" w:color="000000"/>
        <w:bottom w:val="single" w:sz="4" w:space="0" w:color="000000"/>
        <w:right w:val="single" w:sz="8" w:space="0" w:color="000000"/>
      </w:pBdr>
      <w:shd w:val="clear" w:color="auto" w:fill="FFFFFF"/>
      <w:spacing w:beforeAutospacing="1" w:afterAutospacing="1"/>
      <w:jc w:val="center"/>
    </w:pPr>
    <w:rPr>
      <w:rFonts w:ascii="Cambria" w:hAnsi="Cambria"/>
      <w:b/>
      <w:bCs/>
    </w:rPr>
  </w:style>
  <w:style w:type="paragraph" w:styleId="xl133" w:customStyle="1">
    <w:name w:val="xl133"/>
    <w:basedOn w:val="Normal"/>
    <w:uiPriority w:val="99"/>
    <w:qFormat/>
    <w:rsid w:val="004253c6"/>
    <w:pPr>
      <w:pBdr>
        <w:top w:val="single" w:sz="4" w:space="0" w:color="000000"/>
        <w:left w:val="single" w:sz="8" w:space="0" w:color="000000"/>
        <w:bottom w:val="single" w:sz="4" w:space="0" w:color="000000"/>
        <w:right w:val="single" w:sz="4" w:space="0" w:color="000000"/>
      </w:pBdr>
      <w:shd w:val="clear" w:color="auto" w:fill="FFFFFF"/>
      <w:spacing w:beforeAutospacing="1" w:afterAutospacing="1"/>
      <w:jc w:val="center"/>
    </w:pPr>
    <w:rPr>
      <w:rFonts w:ascii="Cambria" w:hAnsi="Cambria"/>
      <w:b/>
      <w:bCs/>
    </w:rPr>
  </w:style>
  <w:style w:type="paragraph" w:styleId="xl134" w:customStyle="1">
    <w:name w:val="xl134"/>
    <w:basedOn w:val="Normal"/>
    <w:uiPriority w:val="99"/>
    <w:qFormat/>
    <w:rsid w:val="004253c6"/>
    <w:pPr>
      <w:pBdr>
        <w:top w:val="single" w:sz="4" w:space="0" w:color="000000"/>
        <w:left w:val="single" w:sz="4" w:space="0" w:color="000000"/>
        <w:bottom w:val="single" w:sz="4" w:space="0" w:color="000000"/>
        <w:right w:val="single" w:sz="4" w:space="0" w:color="000000"/>
      </w:pBdr>
      <w:shd w:val="clear" w:color="auto" w:fill="FFFFFF"/>
      <w:spacing w:beforeAutospacing="1" w:afterAutospacing="1"/>
    </w:pPr>
    <w:rPr>
      <w:rFonts w:ascii="Cambria" w:hAnsi="Cambria"/>
    </w:rPr>
  </w:style>
  <w:style w:type="paragraph" w:styleId="xl135" w:customStyle="1">
    <w:name w:val="xl135"/>
    <w:basedOn w:val="Normal"/>
    <w:uiPriority w:val="99"/>
    <w:qFormat/>
    <w:rsid w:val="004253c6"/>
    <w:pPr>
      <w:pBdr>
        <w:top w:val="single" w:sz="4" w:space="0" w:color="000000"/>
        <w:left w:val="single" w:sz="4" w:space="0" w:color="000000"/>
        <w:bottom w:val="single" w:sz="4" w:space="0" w:color="000000"/>
        <w:right w:val="single" w:sz="8" w:space="0" w:color="000000"/>
      </w:pBdr>
      <w:shd w:val="clear" w:color="auto" w:fill="FFFFFF"/>
      <w:spacing w:beforeAutospacing="1" w:afterAutospacing="1"/>
      <w:jc w:val="center"/>
    </w:pPr>
    <w:rPr>
      <w:rFonts w:ascii="Cambria" w:hAnsi="Cambria"/>
      <w:b/>
      <w:bCs/>
    </w:rPr>
  </w:style>
  <w:style w:type="paragraph" w:styleId="xl136" w:customStyle="1">
    <w:name w:val="xl136"/>
    <w:basedOn w:val="Normal"/>
    <w:uiPriority w:val="99"/>
    <w:qFormat/>
    <w:rsid w:val="004253c6"/>
    <w:pPr>
      <w:pBdr>
        <w:top w:val="single" w:sz="4" w:space="0" w:color="000000"/>
        <w:left w:val="single" w:sz="8" w:space="0" w:color="000000"/>
        <w:bottom w:val="single" w:sz="4" w:space="0" w:color="000000"/>
        <w:right w:val="single" w:sz="4" w:space="0" w:color="000000"/>
      </w:pBdr>
      <w:shd w:val="clear" w:color="auto" w:fill="FFFFFF"/>
      <w:spacing w:beforeAutospacing="1" w:afterAutospacing="1"/>
      <w:jc w:val="center"/>
    </w:pPr>
    <w:rPr>
      <w:rFonts w:ascii="Cambria" w:hAnsi="Cambria"/>
    </w:rPr>
  </w:style>
  <w:style w:type="paragraph" w:styleId="xl137" w:customStyle="1">
    <w:name w:val="xl137"/>
    <w:basedOn w:val="Normal"/>
    <w:uiPriority w:val="99"/>
    <w:qFormat/>
    <w:rsid w:val="004253c6"/>
    <w:pPr>
      <w:pBdr>
        <w:top w:val="single" w:sz="4" w:space="0" w:color="000000"/>
        <w:left w:val="single" w:sz="8" w:space="0" w:color="000000"/>
        <w:right w:val="single" w:sz="4" w:space="0" w:color="000000"/>
      </w:pBdr>
      <w:shd w:val="clear" w:color="auto" w:fill="FFFFFF"/>
      <w:spacing w:beforeAutospacing="1" w:afterAutospacing="1"/>
      <w:jc w:val="center"/>
    </w:pPr>
    <w:rPr>
      <w:rFonts w:ascii="Cambria" w:hAnsi="Cambria"/>
    </w:rPr>
  </w:style>
  <w:style w:type="paragraph" w:styleId="xl138" w:customStyle="1">
    <w:name w:val="xl138"/>
    <w:basedOn w:val="Normal"/>
    <w:uiPriority w:val="99"/>
    <w:qFormat/>
    <w:rsid w:val="004253c6"/>
    <w:pPr>
      <w:pBdr>
        <w:top w:val="single" w:sz="4" w:space="0" w:color="000000"/>
        <w:left w:val="single" w:sz="4" w:space="0" w:color="000000"/>
        <w:right w:val="single" w:sz="4" w:space="0" w:color="000000"/>
      </w:pBdr>
      <w:shd w:val="clear" w:color="auto" w:fill="FFFFFF"/>
      <w:spacing w:beforeAutospacing="1" w:afterAutospacing="1"/>
    </w:pPr>
    <w:rPr>
      <w:rFonts w:ascii="Cambria" w:hAnsi="Cambria"/>
    </w:rPr>
  </w:style>
  <w:style w:type="paragraph" w:styleId="xl139" w:customStyle="1">
    <w:name w:val="xl139"/>
    <w:basedOn w:val="Normal"/>
    <w:uiPriority w:val="99"/>
    <w:qFormat/>
    <w:rsid w:val="004253c6"/>
    <w:pPr>
      <w:pBdr>
        <w:top w:val="single" w:sz="4" w:space="0" w:color="000000"/>
        <w:left w:val="single" w:sz="4" w:space="0" w:color="000000"/>
        <w:right w:val="single" w:sz="8" w:space="0" w:color="000000"/>
      </w:pBdr>
      <w:shd w:val="clear" w:color="auto" w:fill="FFFFFF"/>
      <w:spacing w:beforeAutospacing="1" w:afterAutospacing="1"/>
      <w:jc w:val="center"/>
    </w:pPr>
    <w:rPr>
      <w:rFonts w:ascii="Cambria" w:hAnsi="Cambria"/>
      <w:b/>
      <w:bCs/>
    </w:rPr>
  </w:style>
  <w:style w:type="paragraph" w:styleId="xl140" w:customStyle="1">
    <w:name w:val="xl140"/>
    <w:basedOn w:val="Normal"/>
    <w:uiPriority w:val="99"/>
    <w:qFormat/>
    <w:rsid w:val="004253c6"/>
    <w:pPr>
      <w:pBdr>
        <w:top w:val="single" w:sz="8" w:space="0" w:color="000000"/>
        <w:left w:val="single" w:sz="8" w:space="0" w:color="000000"/>
        <w:bottom w:val="single" w:sz="4" w:space="0" w:color="000000"/>
        <w:right w:val="single" w:sz="4" w:space="0" w:color="000000"/>
      </w:pBdr>
      <w:shd w:val="clear" w:color="auto" w:fill="FFFFFF"/>
      <w:spacing w:beforeAutospacing="1" w:afterAutospacing="1"/>
      <w:jc w:val="center"/>
    </w:pPr>
    <w:rPr>
      <w:rFonts w:ascii="Cambria" w:hAnsi="Cambria"/>
    </w:rPr>
  </w:style>
  <w:style w:type="paragraph" w:styleId="xl141" w:customStyle="1">
    <w:name w:val="xl141"/>
    <w:basedOn w:val="Normal"/>
    <w:uiPriority w:val="99"/>
    <w:qFormat/>
    <w:rsid w:val="004253c6"/>
    <w:pPr>
      <w:pBdr>
        <w:top w:val="single" w:sz="8" w:space="0" w:color="000000"/>
        <w:left w:val="single" w:sz="4" w:space="0" w:color="000000"/>
        <w:bottom w:val="single" w:sz="4" w:space="0" w:color="000000"/>
        <w:right w:val="single" w:sz="4" w:space="0" w:color="000000"/>
      </w:pBdr>
      <w:shd w:val="clear" w:color="auto" w:fill="FFFFFF"/>
      <w:spacing w:beforeAutospacing="1" w:afterAutospacing="1"/>
    </w:pPr>
    <w:rPr>
      <w:rFonts w:ascii="Cambria" w:hAnsi="Cambria"/>
    </w:rPr>
  </w:style>
  <w:style w:type="paragraph" w:styleId="xl142" w:customStyle="1">
    <w:name w:val="xl142"/>
    <w:basedOn w:val="Normal"/>
    <w:uiPriority w:val="99"/>
    <w:qFormat/>
    <w:rsid w:val="004253c6"/>
    <w:pPr>
      <w:pBdr>
        <w:top w:val="single" w:sz="8" w:space="0" w:color="000000"/>
        <w:left w:val="single" w:sz="4" w:space="0" w:color="000000"/>
        <w:bottom w:val="single" w:sz="4" w:space="0" w:color="000000"/>
        <w:right w:val="single" w:sz="8" w:space="0" w:color="000000"/>
      </w:pBdr>
      <w:shd w:val="clear" w:color="auto" w:fill="FFFFFF"/>
      <w:spacing w:beforeAutospacing="1" w:afterAutospacing="1"/>
      <w:jc w:val="center"/>
    </w:pPr>
    <w:rPr>
      <w:rFonts w:ascii="Cambria" w:hAnsi="Cambria"/>
      <w:b/>
      <w:bCs/>
    </w:rPr>
  </w:style>
  <w:style w:type="paragraph" w:styleId="xl143" w:customStyle="1">
    <w:name w:val="xl143"/>
    <w:basedOn w:val="Normal"/>
    <w:uiPriority w:val="99"/>
    <w:qFormat/>
    <w:rsid w:val="004253c6"/>
    <w:pPr>
      <w:pBdr>
        <w:left w:val="single" w:sz="8" w:space="0" w:color="000000"/>
        <w:right w:val="single" w:sz="4" w:space="0" w:color="000000"/>
      </w:pBdr>
      <w:shd w:val="clear" w:color="auto" w:fill="FFFFFF"/>
      <w:spacing w:beforeAutospacing="1" w:afterAutospacing="1"/>
      <w:jc w:val="center"/>
    </w:pPr>
    <w:rPr>
      <w:rFonts w:ascii="Cambria" w:hAnsi="Cambria"/>
    </w:rPr>
  </w:style>
  <w:style w:type="paragraph" w:styleId="xl144" w:customStyle="1">
    <w:name w:val="xl144"/>
    <w:basedOn w:val="Normal"/>
    <w:uiPriority w:val="99"/>
    <w:qFormat/>
    <w:rsid w:val="004253c6"/>
    <w:pPr>
      <w:pBdr>
        <w:left w:val="single" w:sz="4" w:space="0" w:color="000000"/>
        <w:right w:val="single" w:sz="4" w:space="0" w:color="000000"/>
      </w:pBdr>
      <w:shd w:val="clear" w:color="auto" w:fill="FFFFFF"/>
      <w:spacing w:beforeAutospacing="1" w:afterAutospacing="1"/>
    </w:pPr>
    <w:rPr>
      <w:rFonts w:ascii="Cambria" w:hAnsi="Cambria"/>
    </w:rPr>
  </w:style>
  <w:style w:type="paragraph" w:styleId="xl145" w:customStyle="1">
    <w:name w:val="xl145"/>
    <w:basedOn w:val="Normal"/>
    <w:uiPriority w:val="99"/>
    <w:qFormat/>
    <w:rsid w:val="004253c6"/>
    <w:pPr>
      <w:pBdr>
        <w:left w:val="single" w:sz="4" w:space="0" w:color="000000"/>
        <w:right w:val="single" w:sz="8" w:space="0" w:color="000000"/>
      </w:pBdr>
      <w:shd w:val="clear" w:color="auto" w:fill="FFFFFF"/>
      <w:spacing w:beforeAutospacing="1" w:afterAutospacing="1"/>
      <w:jc w:val="center"/>
    </w:pPr>
    <w:rPr>
      <w:rFonts w:ascii="Cambria" w:hAnsi="Cambria"/>
      <w:b/>
      <w:bCs/>
    </w:rPr>
  </w:style>
  <w:style w:type="paragraph" w:styleId="xl146" w:customStyle="1">
    <w:name w:val="xl146"/>
    <w:basedOn w:val="Normal"/>
    <w:uiPriority w:val="99"/>
    <w:qFormat/>
    <w:rsid w:val="004253c6"/>
    <w:pPr>
      <w:pBdr>
        <w:left w:val="single" w:sz="8" w:space="0" w:color="000000"/>
      </w:pBdr>
      <w:shd w:val="clear" w:color="auto" w:fill="FFFFFF"/>
      <w:spacing w:beforeAutospacing="1" w:afterAutospacing="1"/>
      <w:jc w:val="center"/>
    </w:pPr>
    <w:rPr>
      <w:rFonts w:ascii="Cambria" w:hAnsi="Cambria"/>
    </w:rPr>
  </w:style>
  <w:style w:type="paragraph" w:styleId="xl147" w:customStyle="1">
    <w:name w:val="xl147"/>
    <w:basedOn w:val="Normal"/>
    <w:uiPriority w:val="99"/>
    <w:qFormat/>
    <w:rsid w:val="004253c6"/>
    <w:pPr>
      <w:pBdr>
        <w:top w:val="single" w:sz="8" w:space="0" w:color="000000"/>
        <w:left w:val="single" w:sz="8" w:space="0" w:color="000000"/>
        <w:bottom w:val="single" w:sz="8" w:space="0" w:color="000000"/>
        <w:right w:val="single" w:sz="8" w:space="0" w:color="000000"/>
      </w:pBdr>
      <w:shd w:val="clear" w:color="auto" w:fill="FFFFFF"/>
      <w:spacing w:beforeAutospacing="1" w:afterAutospacing="1"/>
    </w:pPr>
    <w:rPr>
      <w:rFonts w:ascii="Cambria" w:hAnsi="Cambria"/>
    </w:rPr>
  </w:style>
  <w:style w:type="paragraph" w:styleId="xl148" w:customStyle="1">
    <w:name w:val="xl148"/>
    <w:basedOn w:val="Normal"/>
    <w:uiPriority w:val="99"/>
    <w:qFormat/>
    <w:rsid w:val="004253c6"/>
    <w:pPr>
      <w:pBdr>
        <w:right w:val="single" w:sz="4" w:space="0" w:color="000000"/>
      </w:pBdr>
      <w:shd w:val="clear" w:color="auto" w:fill="FFFFFF"/>
      <w:spacing w:beforeAutospacing="1" w:afterAutospacing="1"/>
    </w:pPr>
    <w:rPr>
      <w:rFonts w:ascii="Cambria" w:hAnsi="Cambria"/>
    </w:rPr>
  </w:style>
  <w:style w:type="paragraph" w:styleId="xl149" w:customStyle="1">
    <w:name w:val="xl149"/>
    <w:basedOn w:val="Normal"/>
    <w:uiPriority w:val="99"/>
    <w:qFormat/>
    <w:rsid w:val="004253c6"/>
    <w:pPr>
      <w:pBdr>
        <w:left w:val="single" w:sz="8" w:space="0" w:color="000000"/>
        <w:bottom w:val="single" w:sz="4" w:space="0" w:color="000000"/>
        <w:right w:val="single" w:sz="4" w:space="0" w:color="000000"/>
      </w:pBdr>
      <w:shd w:val="clear" w:color="auto" w:fill="FFFFFF"/>
      <w:spacing w:beforeAutospacing="1" w:afterAutospacing="1"/>
      <w:jc w:val="center"/>
    </w:pPr>
    <w:rPr>
      <w:rFonts w:ascii="Cambria" w:hAnsi="Cambria"/>
    </w:rPr>
  </w:style>
  <w:style w:type="paragraph" w:styleId="xl150" w:customStyle="1">
    <w:name w:val="xl150"/>
    <w:basedOn w:val="Normal"/>
    <w:uiPriority w:val="99"/>
    <w:qFormat/>
    <w:rsid w:val="004253c6"/>
    <w:pPr>
      <w:pBdr>
        <w:left w:val="single" w:sz="8" w:space="0" w:color="000000"/>
        <w:right w:val="single" w:sz="4" w:space="0" w:color="000000"/>
      </w:pBdr>
      <w:shd w:val="clear" w:color="auto" w:fill="FFFFFF"/>
      <w:spacing w:beforeAutospacing="1" w:afterAutospacing="1"/>
      <w:jc w:val="center"/>
    </w:pPr>
    <w:rPr>
      <w:rFonts w:ascii="Cambria" w:hAnsi="Cambria"/>
      <w:b/>
      <w:bCs/>
    </w:rPr>
  </w:style>
  <w:style w:type="paragraph" w:styleId="xl151" w:customStyle="1">
    <w:name w:val="xl151"/>
    <w:basedOn w:val="Normal"/>
    <w:uiPriority w:val="99"/>
    <w:qFormat/>
    <w:rsid w:val="004253c6"/>
    <w:pPr>
      <w:pBdr>
        <w:left w:val="single" w:sz="4" w:space="0" w:color="000000"/>
        <w:right w:val="single" w:sz="8" w:space="0" w:color="000000"/>
      </w:pBdr>
      <w:shd w:val="clear" w:color="auto" w:fill="FFFFFF"/>
      <w:spacing w:beforeAutospacing="1" w:afterAutospacing="1"/>
      <w:jc w:val="center"/>
    </w:pPr>
    <w:rPr>
      <w:rFonts w:ascii="Cambria" w:hAnsi="Cambria"/>
      <w:b/>
      <w:bCs/>
    </w:rPr>
  </w:style>
  <w:style w:type="paragraph" w:styleId="xl152" w:customStyle="1">
    <w:name w:val="xl152"/>
    <w:basedOn w:val="Normal"/>
    <w:uiPriority w:val="99"/>
    <w:qFormat/>
    <w:rsid w:val="004253c6"/>
    <w:pPr>
      <w:pBdr>
        <w:top w:val="single" w:sz="4" w:space="0" w:color="000000"/>
        <w:left w:val="single" w:sz="8" w:space="0" w:color="000000"/>
        <w:bottom w:val="single" w:sz="4" w:space="0" w:color="000000"/>
        <w:right w:val="single" w:sz="4" w:space="0" w:color="000000"/>
      </w:pBdr>
      <w:shd w:val="clear" w:color="auto" w:fill="FFFFFF"/>
      <w:spacing w:beforeAutospacing="1" w:afterAutospacing="1"/>
      <w:jc w:val="center"/>
    </w:pPr>
    <w:rPr>
      <w:rFonts w:ascii="Cambria" w:hAnsi="Cambria"/>
      <w:b/>
      <w:bCs/>
    </w:rPr>
  </w:style>
  <w:style w:type="paragraph" w:styleId="xl153" w:customStyle="1">
    <w:name w:val="xl153"/>
    <w:basedOn w:val="Normal"/>
    <w:uiPriority w:val="99"/>
    <w:qFormat/>
    <w:rsid w:val="004253c6"/>
    <w:pPr>
      <w:pBdr>
        <w:top w:val="single" w:sz="4" w:space="0" w:color="000000"/>
        <w:left w:val="single" w:sz="8" w:space="0" w:color="000000"/>
        <w:bottom w:val="single" w:sz="8" w:space="0" w:color="000000"/>
        <w:right w:val="single" w:sz="4" w:space="0" w:color="000000"/>
      </w:pBdr>
      <w:shd w:val="clear" w:color="auto" w:fill="FFFFFF"/>
      <w:spacing w:beforeAutospacing="1" w:afterAutospacing="1"/>
      <w:jc w:val="center"/>
    </w:pPr>
    <w:rPr>
      <w:rFonts w:ascii="Cambria" w:hAnsi="Cambria"/>
      <w:b/>
      <w:bCs/>
    </w:rPr>
  </w:style>
  <w:style w:type="paragraph" w:styleId="xl154" w:customStyle="1">
    <w:name w:val="xl154"/>
    <w:basedOn w:val="Normal"/>
    <w:uiPriority w:val="99"/>
    <w:qFormat/>
    <w:rsid w:val="004253c6"/>
    <w:pPr>
      <w:pBdr>
        <w:top w:val="single" w:sz="4" w:space="0" w:color="000000"/>
        <w:left w:val="single" w:sz="4" w:space="0" w:color="000000"/>
        <w:bottom w:val="single" w:sz="8" w:space="0" w:color="000000"/>
        <w:right w:val="single" w:sz="4" w:space="0" w:color="000000"/>
      </w:pBdr>
      <w:shd w:val="clear" w:color="auto" w:fill="FFFFFF"/>
      <w:spacing w:beforeAutospacing="1" w:afterAutospacing="1"/>
    </w:pPr>
    <w:rPr>
      <w:rFonts w:ascii="Cambria" w:hAnsi="Cambria"/>
    </w:rPr>
  </w:style>
  <w:style w:type="paragraph" w:styleId="xl155" w:customStyle="1">
    <w:name w:val="xl155"/>
    <w:basedOn w:val="Normal"/>
    <w:uiPriority w:val="99"/>
    <w:qFormat/>
    <w:rsid w:val="004253c6"/>
    <w:pPr>
      <w:pBdr>
        <w:top w:val="single" w:sz="4" w:space="0" w:color="000000"/>
        <w:left w:val="single" w:sz="4" w:space="0" w:color="000000"/>
        <w:bottom w:val="single" w:sz="8" w:space="0" w:color="000000"/>
        <w:right w:val="single" w:sz="8" w:space="0" w:color="000000"/>
      </w:pBdr>
      <w:shd w:val="clear" w:color="auto" w:fill="FFFFFF"/>
      <w:spacing w:beforeAutospacing="1" w:afterAutospacing="1"/>
      <w:jc w:val="center"/>
    </w:pPr>
    <w:rPr>
      <w:rFonts w:ascii="Cambria" w:hAnsi="Cambria"/>
      <w:b/>
      <w:bCs/>
    </w:rPr>
  </w:style>
  <w:style w:type="paragraph" w:styleId="xl156" w:customStyle="1">
    <w:name w:val="xl156"/>
    <w:basedOn w:val="Normal"/>
    <w:uiPriority w:val="99"/>
    <w:qFormat/>
    <w:rsid w:val="004253c6"/>
    <w:pPr>
      <w:shd w:val="clear" w:color="auto" w:fill="FFFFFF"/>
      <w:spacing w:beforeAutospacing="1" w:afterAutospacing="1"/>
      <w:jc w:val="center"/>
    </w:pPr>
    <w:rPr>
      <w:rFonts w:ascii="Cambria" w:hAnsi="Cambria"/>
      <w:b/>
      <w:bCs/>
    </w:rPr>
  </w:style>
  <w:style w:type="paragraph" w:styleId="xl157" w:customStyle="1">
    <w:name w:val="xl157"/>
    <w:basedOn w:val="Normal"/>
    <w:uiPriority w:val="99"/>
    <w:qFormat/>
    <w:rsid w:val="004253c6"/>
    <w:pPr>
      <w:shd w:val="clear" w:color="auto" w:fill="FFFFFF"/>
      <w:spacing w:beforeAutospacing="1" w:afterAutospacing="1"/>
    </w:pPr>
    <w:rPr>
      <w:rFonts w:ascii="Cambria" w:hAnsi="Cambria"/>
      <w:b/>
      <w:bCs/>
      <w:i/>
      <w:iCs/>
    </w:rPr>
  </w:style>
  <w:style w:type="paragraph" w:styleId="xl158" w:customStyle="1">
    <w:name w:val="xl158"/>
    <w:basedOn w:val="Normal"/>
    <w:uiPriority w:val="99"/>
    <w:qFormat/>
    <w:rsid w:val="004253c6"/>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both"/>
    </w:pPr>
    <w:rPr>
      <w:rFonts w:ascii="Cambria" w:hAnsi="Cambria"/>
    </w:rPr>
  </w:style>
  <w:style w:type="paragraph" w:styleId="xl159" w:customStyle="1">
    <w:name w:val="xl159"/>
    <w:basedOn w:val="Normal"/>
    <w:uiPriority w:val="99"/>
    <w:qFormat/>
    <w:rsid w:val="004253c6"/>
    <w:pPr>
      <w:pBdr>
        <w:top w:val="single" w:sz="4" w:space="0" w:color="000000"/>
        <w:left w:val="single" w:sz="4" w:space="0" w:color="000000"/>
        <w:bottom w:val="single" w:sz="4" w:space="0" w:color="000000"/>
        <w:right w:val="single" w:sz="4" w:space="0" w:color="000000"/>
      </w:pBdr>
      <w:shd w:val="clear" w:color="auto" w:fill="FFFFFF"/>
      <w:spacing w:beforeAutospacing="1" w:afterAutospacing="1"/>
    </w:pPr>
    <w:rPr>
      <w:rFonts w:ascii="Cambria" w:hAnsi="Cambria"/>
    </w:rPr>
  </w:style>
  <w:style w:type="paragraph" w:styleId="xl160" w:customStyle="1">
    <w:name w:val="xl160"/>
    <w:basedOn w:val="Normal"/>
    <w:uiPriority w:val="99"/>
    <w:qFormat/>
    <w:rsid w:val="004253c6"/>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both"/>
    </w:pPr>
    <w:rPr>
      <w:rFonts w:ascii="Cambria" w:hAnsi="Cambria"/>
    </w:rPr>
  </w:style>
  <w:style w:type="paragraph" w:styleId="xl161" w:customStyle="1">
    <w:name w:val="xl161"/>
    <w:basedOn w:val="Normal"/>
    <w:uiPriority w:val="99"/>
    <w:qFormat/>
    <w:rsid w:val="004253c6"/>
    <w:pPr>
      <w:pBdr>
        <w:top w:val="single" w:sz="4" w:space="0" w:color="000000"/>
        <w:left w:val="single" w:sz="4" w:space="0" w:color="000000"/>
        <w:bottom w:val="single" w:sz="4" w:space="0" w:color="000000"/>
        <w:right w:val="single" w:sz="4" w:space="0" w:color="000000"/>
      </w:pBdr>
      <w:shd w:val="clear" w:color="auto" w:fill="FFFFFF"/>
      <w:spacing w:beforeAutospacing="1" w:afterAutospacing="1"/>
    </w:pPr>
    <w:rPr>
      <w:rFonts w:ascii="Cambria" w:hAnsi="Cambria"/>
    </w:rPr>
  </w:style>
  <w:style w:type="paragraph" w:styleId="xl162" w:customStyle="1">
    <w:name w:val="xl162"/>
    <w:basedOn w:val="Normal"/>
    <w:uiPriority w:val="99"/>
    <w:qFormat/>
    <w:rsid w:val="004253c6"/>
    <w:pPr>
      <w:pBdr>
        <w:top w:val="single" w:sz="4" w:space="0" w:color="000000"/>
        <w:left w:val="single" w:sz="4" w:space="0" w:color="000000"/>
        <w:bottom w:val="single" w:sz="4" w:space="0" w:color="000000"/>
        <w:right w:val="single" w:sz="4" w:space="0" w:color="000000"/>
      </w:pBdr>
      <w:shd w:val="clear" w:color="auto" w:fill="FFFFFF"/>
      <w:spacing w:beforeAutospacing="1" w:afterAutospacing="1"/>
    </w:pPr>
    <w:rPr>
      <w:rFonts w:ascii="Cambria" w:hAnsi="Cambria"/>
    </w:rPr>
  </w:style>
  <w:style w:type="paragraph" w:styleId="xl163" w:customStyle="1">
    <w:name w:val="xl163"/>
    <w:basedOn w:val="Normal"/>
    <w:uiPriority w:val="99"/>
    <w:qFormat/>
    <w:rsid w:val="004253c6"/>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both"/>
    </w:pPr>
    <w:rPr>
      <w:rFonts w:ascii="Cambria" w:hAnsi="Cambria"/>
    </w:rPr>
  </w:style>
  <w:style w:type="paragraph" w:styleId="xl164" w:customStyle="1">
    <w:name w:val="xl164"/>
    <w:basedOn w:val="Normal"/>
    <w:uiPriority w:val="99"/>
    <w:qFormat/>
    <w:rsid w:val="004253c6"/>
    <w:pPr>
      <w:pBdr>
        <w:top w:val="single" w:sz="4" w:space="0" w:color="000000"/>
        <w:left w:val="single" w:sz="8" w:space="0" w:color="000000"/>
        <w:bottom w:val="single" w:sz="4" w:space="0" w:color="000000"/>
        <w:right w:val="single" w:sz="4" w:space="0" w:color="000000"/>
      </w:pBdr>
      <w:shd w:val="clear" w:color="auto" w:fill="FFFFFF"/>
      <w:spacing w:beforeAutospacing="1" w:afterAutospacing="1"/>
      <w:jc w:val="center"/>
    </w:pPr>
    <w:rPr>
      <w:rFonts w:ascii="Cambria" w:hAnsi="Cambria"/>
    </w:rPr>
  </w:style>
  <w:style w:type="paragraph" w:styleId="xl165" w:customStyle="1">
    <w:name w:val="xl165"/>
    <w:basedOn w:val="Normal"/>
    <w:uiPriority w:val="99"/>
    <w:qFormat/>
    <w:rsid w:val="004253c6"/>
    <w:pPr>
      <w:pBdr>
        <w:top w:val="single" w:sz="4" w:space="0" w:color="000000"/>
        <w:left w:val="single" w:sz="4" w:space="0" w:color="000000"/>
        <w:bottom w:val="single" w:sz="4" w:space="0" w:color="000000"/>
        <w:right w:val="single" w:sz="8" w:space="0" w:color="000000"/>
      </w:pBdr>
      <w:shd w:val="clear" w:color="auto" w:fill="FFFFFF"/>
      <w:spacing w:beforeAutospacing="1" w:afterAutospacing="1"/>
    </w:pPr>
    <w:rPr>
      <w:rFonts w:ascii="Cambria" w:hAnsi="Cambria"/>
    </w:rPr>
  </w:style>
  <w:style w:type="paragraph" w:styleId="xl166" w:customStyle="1">
    <w:name w:val="xl166"/>
    <w:basedOn w:val="Normal"/>
    <w:uiPriority w:val="99"/>
    <w:qFormat/>
    <w:rsid w:val="004253c6"/>
    <w:pPr>
      <w:pBdr>
        <w:top w:val="single" w:sz="4" w:space="0" w:color="000000"/>
        <w:left w:val="single" w:sz="8" w:space="0" w:color="000000"/>
        <w:bottom w:val="single" w:sz="4" w:space="0" w:color="000000"/>
        <w:right w:val="single" w:sz="4" w:space="0" w:color="000000"/>
      </w:pBdr>
      <w:shd w:val="clear" w:color="auto" w:fill="FFFFFF"/>
      <w:spacing w:beforeAutospacing="1" w:afterAutospacing="1"/>
      <w:jc w:val="center"/>
    </w:pPr>
    <w:rPr>
      <w:rFonts w:ascii="Cambria" w:hAnsi="Cambria"/>
    </w:rPr>
  </w:style>
  <w:style w:type="paragraph" w:styleId="xl167" w:customStyle="1">
    <w:name w:val="xl167"/>
    <w:basedOn w:val="Normal"/>
    <w:uiPriority w:val="99"/>
    <w:qFormat/>
    <w:rsid w:val="004253c6"/>
    <w:pPr>
      <w:pBdr>
        <w:top w:val="single" w:sz="4" w:space="0" w:color="000000"/>
        <w:left w:val="single" w:sz="8" w:space="0" w:color="000000"/>
        <w:bottom w:val="single" w:sz="4" w:space="0" w:color="000000"/>
        <w:right w:val="single" w:sz="4" w:space="0" w:color="000000"/>
      </w:pBdr>
      <w:shd w:val="clear" w:color="auto" w:fill="FFFFFF"/>
      <w:spacing w:beforeAutospacing="1" w:afterAutospacing="1"/>
      <w:jc w:val="center"/>
    </w:pPr>
    <w:rPr>
      <w:rFonts w:ascii="Cambria" w:hAnsi="Cambria"/>
    </w:rPr>
  </w:style>
  <w:style w:type="paragraph" w:styleId="xl168" w:customStyle="1">
    <w:name w:val="xl168"/>
    <w:basedOn w:val="Normal"/>
    <w:uiPriority w:val="99"/>
    <w:qFormat/>
    <w:rsid w:val="004253c6"/>
    <w:pPr>
      <w:pBdr>
        <w:left w:val="single" w:sz="8" w:space="0" w:color="000000"/>
        <w:bottom w:val="single" w:sz="4" w:space="0" w:color="000000"/>
        <w:right w:val="single" w:sz="4" w:space="0" w:color="000000"/>
      </w:pBdr>
      <w:shd w:val="clear" w:color="auto" w:fill="FFFFFF"/>
      <w:spacing w:beforeAutospacing="1" w:afterAutospacing="1"/>
      <w:jc w:val="center"/>
    </w:pPr>
    <w:rPr>
      <w:rFonts w:ascii="Cambria" w:hAnsi="Cambria"/>
    </w:rPr>
  </w:style>
  <w:style w:type="paragraph" w:styleId="xl169" w:customStyle="1">
    <w:name w:val="xl169"/>
    <w:basedOn w:val="Normal"/>
    <w:uiPriority w:val="99"/>
    <w:qFormat/>
    <w:rsid w:val="004253c6"/>
    <w:pPr>
      <w:pBdr>
        <w:left w:val="single" w:sz="4" w:space="0" w:color="000000"/>
        <w:bottom w:val="single" w:sz="4" w:space="0" w:color="000000"/>
        <w:right w:val="single" w:sz="4" w:space="0" w:color="000000"/>
      </w:pBdr>
      <w:shd w:val="clear" w:color="auto" w:fill="FFFFFF"/>
      <w:spacing w:beforeAutospacing="1" w:afterAutospacing="1"/>
      <w:jc w:val="both"/>
    </w:pPr>
    <w:rPr>
      <w:rFonts w:ascii="Cambria" w:hAnsi="Cambria"/>
    </w:rPr>
  </w:style>
  <w:style w:type="paragraph" w:styleId="xl170" w:customStyle="1">
    <w:name w:val="xl170"/>
    <w:basedOn w:val="Normal"/>
    <w:uiPriority w:val="99"/>
    <w:qFormat/>
    <w:rsid w:val="004253c6"/>
    <w:pPr>
      <w:pBdr>
        <w:left w:val="single" w:sz="4" w:space="0" w:color="000000"/>
        <w:bottom w:val="single" w:sz="4" w:space="0" w:color="000000"/>
        <w:right w:val="single" w:sz="8" w:space="0" w:color="000000"/>
      </w:pBdr>
      <w:shd w:val="clear" w:color="auto" w:fill="FFFFFF"/>
      <w:spacing w:beforeAutospacing="1" w:afterAutospacing="1"/>
    </w:pPr>
    <w:rPr>
      <w:rFonts w:ascii="Cambria" w:hAnsi="Cambria"/>
    </w:rPr>
  </w:style>
  <w:style w:type="paragraph" w:styleId="xl171" w:customStyle="1">
    <w:name w:val="xl171"/>
    <w:basedOn w:val="Normal"/>
    <w:uiPriority w:val="99"/>
    <w:qFormat/>
    <w:rsid w:val="004253c6"/>
    <w:pPr>
      <w:pBdr>
        <w:top w:val="single" w:sz="4" w:space="0" w:color="000000"/>
        <w:left w:val="single" w:sz="8" w:space="0" w:color="000000"/>
        <w:right w:val="single" w:sz="4" w:space="0" w:color="000000"/>
      </w:pBdr>
      <w:shd w:val="clear" w:color="auto" w:fill="FFFFFF"/>
      <w:spacing w:beforeAutospacing="1" w:afterAutospacing="1"/>
      <w:jc w:val="center"/>
    </w:pPr>
    <w:rPr>
      <w:rFonts w:ascii="Cambria" w:hAnsi="Cambria"/>
    </w:rPr>
  </w:style>
  <w:style w:type="paragraph" w:styleId="xl172" w:customStyle="1">
    <w:name w:val="xl172"/>
    <w:basedOn w:val="Normal"/>
    <w:uiPriority w:val="99"/>
    <w:qFormat/>
    <w:rsid w:val="004253c6"/>
    <w:pPr>
      <w:pBdr>
        <w:top w:val="single" w:sz="4" w:space="0" w:color="000000"/>
        <w:left w:val="single" w:sz="4" w:space="0" w:color="000000"/>
        <w:right w:val="single" w:sz="4" w:space="0" w:color="000000"/>
      </w:pBdr>
      <w:shd w:val="clear" w:color="auto" w:fill="FFFFFF"/>
      <w:spacing w:beforeAutospacing="1" w:afterAutospacing="1"/>
    </w:pPr>
    <w:rPr>
      <w:rFonts w:ascii="Cambria" w:hAnsi="Cambria"/>
    </w:rPr>
  </w:style>
  <w:style w:type="paragraph" w:styleId="xl173" w:customStyle="1">
    <w:name w:val="xl173"/>
    <w:basedOn w:val="Normal"/>
    <w:uiPriority w:val="99"/>
    <w:qFormat/>
    <w:rsid w:val="004253c6"/>
    <w:pPr>
      <w:pBdr>
        <w:top w:val="single" w:sz="4" w:space="0" w:color="000000"/>
        <w:left w:val="single" w:sz="4" w:space="0" w:color="000000"/>
        <w:right w:val="single" w:sz="4" w:space="0" w:color="000000"/>
      </w:pBdr>
      <w:shd w:val="clear" w:color="auto" w:fill="FFFFFF"/>
      <w:spacing w:beforeAutospacing="1" w:afterAutospacing="1"/>
      <w:jc w:val="both"/>
    </w:pPr>
    <w:rPr>
      <w:rFonts w:ascii="Cambria" w:hAnsi="Cambria"/>
    </w:rPr>
  </w:style>
  <w:style w:type="paragraph" w:styleId="xl174" w:customStyle="1">
    <w:name w:val="xl174"/>
    <w:basedOn w:val="Normal"/>
    <w:uiPriority w:val="99"/>
    <w:qFormat/>
    <w:rsid w:val="004253c6"/>
    <w:pPr>
      <w:pBdr>
        <w:top w:val="single" w:sz="4" w:space="0" w:color="000000"/>
        <w:left w:val="single" w:sz="4" w:space="0" w:color="000000"/>
        <w:right w:val="single" w:sz="8" w:space="0" w:color="000000"/>
      </w:pBdr>
      <w:shd w:val="clear" w:color="auto" w:fill="FFFFFF"/>
      <w:spacing w:beforeAutospacing="1" w:afterAutospacing="1"/>
    </w:pPr>
    <w:rPr>
      <w:rFonts w:ascii="Cambria" w:hAnsi="Cambria"/>
    </w:rPr>
  </w:style>
  <w:style w:type="paragraph" w:styleId="a4" w:customStyle="1">
    <w:name w:val="a4"/>
    <w:basedOn w:val="Normal"/>
    <w:uiPriority w:val="99"/>
    <w:qFormat/>
    <w:rsid w:val="004253c6"/>
    <w:pPr>
      <w:spacing w:beforeAutospacing="1" w:afterAutospacing="1"/>
    </w:pPr>
    <w:rPr/>
  </w:style>
  <w:style w:type="paragraph" w:styleId="152" w:customStyle="1">
    <w:name w:val="Нумерованный список1"/>
    <w:basedOn w:val="Normal"/>
    <w:uiPriority w:val="99"/>
    <w:qFormat/>
    <w:rsid w:val="00447059"/>
    <w:pPr>
      <w:widowControl w:val="false"/>
      <w:numPr>
        <w:ilvl w:val="0"/>
        <w:numId w:val="10"/>
      </w:numPr>
      <w:suppressAutoHyphens w:val="true"/>
      <w:jc w:val="both"/>
    </w:pPr>
    <w:rPr>
      <w:szCs w:val="20"/>
      <w:lang w:eastAsia="zh-CN"/>
    </w:rPr>
  </w:style>
  <w:style w:type="paragraph" w:styleId="h11" w:customStyle="1">
    <w:name w:val="h11"/>
    <w:basedOn w:val="Normal"/>
    <w:next w:val="Normal"/>
    <w:uiPriority w:val="99"/>
    <w:qFormat/>
    <w:rsid w:val="008e0343"/>
    <w:pPr>
      <w:keepNext w:val="true"/>
      <w:keepLines/>
      <w:spacing w:before="480" w:after="0"/>
      <w:jc w:val="both"/>
      <w:outlineLvl w:val="0"/>
    </w:pPr>
    <w:rPr>
      <w:rFonts w:ascii="Cambria" w:hAnsi="Cambria"/>
      <w:b/>
      <w:bCs/>
      <w:color w:val="365F91"/>
      <w:sz w:val="28"/>
      <w:szCs w:val="28"/>
    </w:rPr>
  </w:style>
  <w:style w:type="paragraph" w:styleId="H2281" w:customStyle="1">
    <w:name w:val="H2281"/>
    <w:basedOn w:val="Normal"/>
    <w:next w:val="Normal"/>
    <w:uiPriority w:val="99"/>
    <w:unhideWhenUsed/>
    <w:qFormat/>
    <w:rsid w:val="008e0343"/>
    <w:pPr>
      <w:keepNext w:val="true"/>
      <w:keepLines/>
      <w:spacing w:before="200" w:after="0"/>
      <w:jc w:val="center"/>
      <w:outlineLvl w:val="1"/>
    </w:pPr>
    <w:rPr>
      <w:b/>
      <w:bCs/>
      <w:sz w:val="28"/>
      <w:szCs w:val="26"/>
    </w:rPr>
  </w:style>
  <w:style w:type="paragraph" w:styleId="318" w:customStyle="1">
    <w:name w:val="Заголовок 31"/>
    <w:basedOn w:val="Normal"/>
    <w:next w:val="Normal"/>
    <w:uiPriority w:val="99"/>
    <w:semiHidden/>
    <w:unhideWhenUsed/>
    <w:qFormat/>
    <w:rsid w:val="008e0343"/>
    <w:pPr>
      <w:keepNext w:val="true"/>
      <w:keepLines/>
      <w:spacing w:before="200" w:after="0"/>
      <w:outlineLvl w:val="2"/>
    </w:pPr>
    <w:rPr>
      <w:rFonts w:ascii="Cambria" w:hAnsi="Cambria"/>
      <w:b/>
      <w:bCs/>
      <w:color w:val="4F81BD"/>
    </w:rPr>
  </w:style>
  <w:style w:type="paragraph" w:styleId="227" w:customStyle="1">
    <w:name w:val="Знак Знак Знак Знак Знак Знак2"/>
    <w:basedOn w:val="Normal"/>
    <w:uiPriority w:val="99"/>
    <w:qFormat/>
    <w:rsid w:val="00666aba"/>
    <w:pPr>
      <w:spacing w:lineRule="exact" w:line="240" w:before="0" w:after="160"/>
    </w:pPr>
    <w:rPr>
      <w:rFonts w:eastAsia="Calibri"/>
      <w:sz w:val="20"/>
      <w:szCs w:val="20"/>
      <w:lang w:eastAsia="zh-CN"/>
    </w:rPr>
  </w:style>
  <w:style w:type="paragraph" w:styleId="Style94" w:customStyle="1">
    <w:name w:val="Первый уровень списка"/>
    <w:basedOn w:val="Normal"/>
    <w:link w:val="Style37"/>
    <w:autoRedefine/>
    <w:qFormat/>
    <w:rsid w:val="00fc5d19"/>
    <w:pPr>
      <w:ind w:start="567"/>
      <w:jc w:val="both"/>
    </w:pPr>
    <w:rPr>
      <w:color w:val="000000"/>
      <w:spacing w:val="-1"/>
      <w:sz w:val="22"/>
      <w:szCs w:val="22"/>
    </w:rPr>
  </w:style>
  <w:style w:type="paragraph" w:styleId="Style95" w:customStyle="1">
    <w:name w:val="ГС_Список_МаркОтст"/>
    <w:link w:val="Style38"/>
    <w:qFormat/>
    <w:rsid w:val="00fc5d19"/>
    <w:pPr>
      <w:widowControl/>
      <w:tabs>
        <w:tab w:val="clear" w:pos="708"/>
        <w:tab w:val="left" w:pos="1219" w:leader="none"/>
      </w:tabs>
      <w:suppressAutoHyphens w:val="true"/>
      <w:bidi w:val="0"/>
      <w:spacing w:lineRule="auto" w:line="360" w:before="0" w:after="60"/>
      <w:ind w:hanging="368" w:start="1219"/>
      <w:jc w:val="both"/>
    </w:pPr>
    <w:rPr>
      <w:rFonts w:ascii="Times New Roman" w:hAnsi="Times New Roman" w:eastAsia="Times New Roman" w:cs="Times New Roman"/>
      <w:color w:val="auto"/>
      <w:kern w:val="0"/>
      <w:sz w:val="24"/>
      <w:szCs w:val="24"/>
      <w:lang w:val="ru-RU" w:eastAsia="ru-RU" w:bidi="ar-SA"/>
    </w:rPr>
  </w:style>
  <w:style w:type="paragraph" w:styleId="02" w:customStyle="1">
    <w:name w:val="ТЗ0 Марк тире"/>
    <w:basedOn w:val="Normal"/>
    <w:qFormat/>
    <w:rsid w:val="00fc5d19"/>
    <w:pPr>
      <w:numPr>
        <w:ilvl w:val="0"/>
        <w:numId w:val="13"/>
      </w:numPr>
      <w:tabs>
        <w:tab w:val="clear" w:pos="709"/>
        <w:tab w:val="left" w:pos="1134" w:leader="none"/>
      </w:tabs>
      <w:spacing w:lineRule="auto" w:line="360" w:before="60" w:after="60"/>
      <w:jc w:val="both"/>
    </w:pPr>
    <w:rPr>
      <w:bCs/>
      <w:spacing w:val="-1"/>
      <w:sz w:val="22"/>
      <w:lang w:val="en-US"/>
    </w:rPr>
  </w:style>
  <w:style w:type="paragraph" w:styleId="03" w:customStyle="1">
    <w:name w:val="ТЗ0 Марк тире (сдвиг)"/>
    <w:basedOn w:val="Normal"/>
    <w:next w:val="02"/>
    <w:autoRedefine/>
    <w:qFormat/>
    <w:rsid w:val="00fc5d19"/>
    <w:pPr>
      <w:numPr>
        <w:ilvl w:val="1"/>
        <w:numId w:val="13"/>
      </w:numPr>
      <w:spacing w:lineRule="auto" w:line="276" w:before="0" w:after="200"/>
    </w:pPr>
    <w:rPr>
      <w:rFonts w:eastAsia="Calibri"/>
      <w:szCs w:val="22"/>
      <w:lang w:eastAsia="en-US"/>
    </w:rPr>
  </w:style>
  <w:style w:type="paragraph" w:styleId="04" w:customStyle="1">
    <w:name w:val="ТЗ0 основной"/>
    <w:basedOn w:val="Normal"/>
    <w:link w:val="0"/>
    <w:qFormat/>
    <w:rsid w:val="00fc5d19"/>
    <w:pPr>
      <w:spacing w:lineRule="auto" w:line="360" w:before="60" w:after="60"/>
      <w:ind w:firstLine="709"/>
      <w:jc w:val="both"/>
    </w:pPr>
    <w:rPr>
      <w:bCs/>
      <w:spacing w:val="-1"/>
      <w:sz w:val="28"/>
    </w:rPr>
  </w:style>
  <w:style w:type="paragraph" w:styleId="Style96" w:customStyle="1">
    <w:name w:val="!Список маркированный"/>
    <w:basedOn w:val="Normal"/>
    <w:link w:val="Style39"/>
    <w:qFormat/>
    <w:rsid w:val="00fc5d19"/>
    <w:pPr>
      <w:numPr>
        <w:ilvl w:val="0"/>
        <w:numId w:val="14"/>
      </w:numPr>
      <w:spacing w:lineRule="auto" w:line="360" w:before="120" w:after="120"/>
      <w:contextualSpacing/>
      <w:jc w:val="both"/>
    </w:pPr>
    <w:rPr>
      <w:rFonts w:eastAsia="Calibri"/>
      <w:szCs w:val="20"/>
      <w:lang w:eastAsia="en-US"/>
    </w:rPr>
  </w:style>
  <w:style w:type="paragraph" w:styleId="153" w:customStyle="1">
    <w:name w:val="!Уровень 1 Заголовок"/>
    <w:basedOn w:val="Normal"/>
    <w:next w:val="Normal"/>
    <w:qFormat/>
    <w:rsid w:val="00fc5d19"/>
    <w:pPr>
      <w:keepNext w:val="true"/>
      <w:pageBreakBefore/>
      <w:numPr>
        <w:ilvl w:val="0"/>
        <w:numId w:val="15"/>
      </w:numPr>
      <w:spacing w:before="0" w:after="240"/>
      <w:ind w:hanging="360" w:start="720"/>
      <w:contextualSpacing/>
      <w:outlineLvl w:val="0"/>
    </w:pPr>
    <w:rPr>
      <w:rFonts w:eastAsia="Calibri"/>
      <w:b/>
      <w:sz w:val="32"/>
      <w:szCs w:val="20"/>
      <w:lang w:eastAsia="en-US"/>
    </w:rPr>
  </w:style>
  <w:style w:type="paragraph" w:styleId="228" w:customStyle="1">
    <w:name w:val="!Уровень 2 Заголовок"/>
    <w:basedOn w:val="Normal"/>
    <w:next w:val="Normal"/>
    <w:qFormat/>
    <w:rsid w:val="00fc5d19"/>
    <w:pPr>
      <w:keepNext w:val="true"/>
      <w:numPr>
        <w:ilvl w:val="1"/>
        <w:numId w:val="15"/>
      </w:numPr>
      <w:spacing w:lineRule="auto" w:line="360" w:before="120" w:after="120"/>
      <w:ind w:hanging="360" w:start="1440"/>
      <w:contextualSpacing/>
      <w:jc w:val="both"/>
      <w:outlineLvl w:val="1"/>
    </w:pPr>
    <w:rPr>
      <w:rFonts w:eastAsia="Calibri"/>
      <w:b/>
      <w:sz w:val="26"/>
      <w:szCs w:val="20"/>
      <w:lang w:eastAsia="en-US"/>
    </w:rPr>
  </w:style>
  <w:style w:type="paragraph" w:styleId="319" w:customStyle="1">
    <w:name w:val="!Уровень 3 Заголовок"/>
    <w:basedOn w:val="Normal"/>
    <w:next w:val="Normal"/>
    <w:qFormat/>
    <w:rsid w:val="00fc5d19"/>
    <w:pPr>
      <w:keepNext w:val="true"/>
      <w:numPr>
        <w:ilvl w:val="2"/>
        <w:numId w:val="15"/>
      </w:numPr>
      <w:spacing w:lineRule="auto" w:line="360" w:before="120" w:after="120"/>
      <w:contextualSpacing/>
      <w:jc w:val="both"/>
      <w:outlineLvl w:val="2"/>
    </w:pPr>
    <w:rPr>
      <w:rFonts w:eastAsia="Calibri"/>
      <w:b/>
      <w:szCs w:val="20"/>
      <w:lang w:eastAsia="en-US"/>
    </w:rPr>
  </w:style>
  <w:style w:type="paragraph" w:styleId="43" w:customStyle="1">
    <w:name w:val="!Уровень 4 Заголовок"/>
    <w:basedOn w:val="Normal"/>
    <w:next w:val="Normal"/>
    <w:qFormat/>
    <w:rsid w:val="00fc5d19"/>
    <w:pPr>
      <w:keepNext w:val="true"/>
      <w:numPr>
        <w:ilvl w:val="3"/>
        <w:numId w:val="15"/>
      </w:numPr>
      <w:spacing w:lineRule="auto" w:line="360" w:before="120" w:after="120"/>
      <w:ind w:hanging="360" w:start="2880"/>
      <w:contextualSpacing/>
      <w:jc w:val="both"/>
      <w:outlineLvl w:val="3"/>
    </w:pPr>
    <w:rPr>
      <w:rFonts w:eastAsia="Calibri"/>
      <w:b/>
      <w:szCs w:val="20"/>
      <w:lang w:eastAsia="en-US"/>
    </w:rPr>
  </w:style>
  <w:style w:type="paragraph" w:styleId="320" w:customStyle="1">
    <w:name w:val="!Уровень 3 Пункт"/>
    <w:basedOn w:val="319"/>
    <w:qFormat/>
    <w:rsid w:val="00fc5d19"/>
    <w:pPr>
      <w:keepNext w:val="false"/>
      <w:outlineLvl w:val="9"/>
    </w:pPr>
    <w:rPr>
      <w:b w:val="false"/>
    </w:rPr>
  </w:style>
  <w:style w:type="paragraph" w:styleId="05" w:customStyle="1">
    <w:name w:val="_Табл_Текст0 внутри"/>
    <w:link w:val="01"/>
    <w:qFormat/>
    <w:rsid w:val="00fc5d19"/>
    <w:pPr>
      <w:widowControl/>
      <w:suppressAutoHyphens w:val="true"/>
      <w:bidi w:val="0"/>
      <w:spacing w:lineRule="auto" w:line="240" w:before="0" w:after="120"/>
      <w:jc w:val="both"/>
    </w:pPr>
    <w:rPr>
      <w:rFonts w:ascii="Arial" w:hAnsi="Arial" w:eastAsia="Times New Roman" w:cs="Times New Roman"/>
      <w:color w:val="auto"/>
      <w:kern w:val="0"/>
      <w:sz w:val="24"/>
      <w:szCs w:val="24"/>
      <w:lang w:val="ru-RU" w:eastAsia="ru-RU" w:bidi="ar-SA"/>
    </w:rPr>
  </w:style>
  <w:style w:type="paragraph" w:styleId="isselectedend" w:customStyle="1">
    <w:name w:val="isselectedend"/>
    <w:basedOn w:val="Normal"/>
    <w:qFormat/>
    <w:rsid w:val="00fc5d19"/>
    <w:pPr>
      <w:spacing w:beforeAutospacing="1" w:afterAutospacing="1"/>
    </w:pPr>
    <w:rPr/>
  </w:style>
  <w:style w:type="paragraph" w:styleId="af8" w:customStyle="1">
    <w:name w:val="af8"/>
    <w:basedOn w:val="Normal"/>
    <w:next w:val="NormalWeb"/>
    <w:uiPriority w:val="99"/>
    <w:qFormat/>
    <w:rsid w:val="00fc5d19"/>
    <w:pPr>
      <w:spacing w:beforeAutospacing="1" w:afterAutospacing="1"/>
    </w:pPr>
    <w:rPr/>
  </w:style>
  <w:style w:type="numbering" w:styleId="user5" w:default="1">
    <w:name w:val="Без списка (user)"/>
    <w:uiPriority w:val="99"/>
    <w:semiHidden/>
    <w:unhideWhenUsed/>
    <w:qFormat/>
  </w:style>
  <w:style w:type="numbering" w:styleId="154" w:customStyle="1">
    <w:name w:val="Нет списка1"/>
    <w:uiPriority w:val="99"/>
    <w:semiHidden/>
    <w:unhideWhenUsed/>
    <w:qFormat/>
    <w:rsid w:val="00c31667"/>
  </w:style>
  <w:style w:type="numbering" w:styleId="229" w:customStyle="1">
    <w:name w:val="Нет списка2"/>
    <w:uiPriority w:val="99"/>
    <w:semiHidden/>
    <w:unhideWhenUsed/>
    <w:qFormat/>
    <w:rsid w:val="000642e5"/>
  </w:style>
  <w:style w:type="numbering" w:styleId="321" w:customStyle="1">
    <w:name w:val="Нет списка3"/>
    <w:uiPriority w:val="99"/>
    <w:semiHidden/>
    <w:unhideWhenUsed/>
    <w:qFormat/>
    <w:rsid w:val="00c32c24"/>
  </w:style>
  <w:style w:type="numbering" w:styleId="44" w:customStyle="1">
    <w:name w:val="Нет списка4"/>
    <w:uiPriority w:val="99"/>
    <w:semiHidden/>
    <w:unhideWhenUsed/>
    <w:qFormat/>
    <w:rsid w:val="00985a0e"/>
  </w:style>
  <w:style w:type="numbering" w:styleId="54" w:customStyle="1">
    <w:name w:val="Нет списка5"/>
    <w:uiPriority w:val="99"/>
    <w:semiHidden/>
    <w:unhideWhenUsed/>
    <w:qFormat/>
    <w:rsid w:val="008a04a5"/>
  </w:style>
  <w:style w:type="numbering" w:styleId="62" w:customStyle="1">
    <w:name w:val="Нет списка6"/>
    <w:uiPriority w:val="99"/>
    <w:semiHidden/>
    <w:unhideWhenUsed/>
    <w:qFormat/>
    <w:rsid w:val="005b2a9e"/>
  </w:style>
  <w:style w:type="numbering" w:styleId="73" w:customStyle="1">
    <w:name w:val="Нет списка7"/>
    <w:uiPriority w:val="99"/>
    <w:semiHidden/>
    <w:unhideWhenUsed/>
    <w:qFormat/>
    <w:rsid w:val="004253c6"/>
  </w:style>
  <w:style w:type="numbering" w:styleId="55" w:customStyle="1">
    <w:name w:val="Стиль5"/>
    <w:uiPriority w:val="99"/>
    <w:qFormat/>
    <w:rsid w:val="004253c6"/>
  </w:style>
  <w:style w:type="numbering" w:styleId="82" w:customStyle="1">
    <w:name w:val="Нет списка8"/>
    <w:uiPriority w:val="99"/>
    <w:semiHidden/>
    <w:unhideWhenUsed/>
    <w:qFormat/>
    <w:rsid w:val="007d3ce1"/>
  </w:style>
  <w:style w:type="numbering" w:styleId="583" w:customStyle="1">
    <w:name w:val="Стиль583"/>
    <w:uiPriority w:val="99"/>
    <w:qFormat/>
    <w:rsid w:val="00dc1d74"/>
  </w:style>
  <w:style w:type="numbering" w:styleId="92" w:customStyle="1">
    <w:name w:val="Нет списка9"/>
    <w:uiPriority w:val="99"/>
    <w:semiHidden/>
    <w:unhideWhenUsed/>
    <w:qFormat/>
    <w:rsid w:val="008e0343"/>
  </w:style>
  <w:style w:type="numbering" w:styleId="1113" w:customStyle="1">
    <w:name w:val="Нет списка11"/>
    <w:uiPriority w:val="99"/>
    <w:semiHidden/>
    <w:unhideWhenUsed/>
    <w:qFormat/>
    <w:rsid w:val="008e0343"/>
  </w:style>
  <w:style w:type="numbering" w:styleId="2111" w:customStyle="1">
    <w:name w:val="Нет списка21"/>
    <w:uiPriority w:val="99"/>
    <w:semiHidden/>
    <w:unhideWhenUsed/>
    <w:qFormat/>
    <w:rsid w:val="008e0343"/>
  </w:style>
  <w:style w:type="numbering" w:styleId="3110" w:customStyle="1">
    <w:name w:val="Нет списка31"/>
    <w:uiPriority w:val="99"/>
    <w:semiHidden/>
    <w:unhideWhenUsed/>
    <w:qFormat/>
    <w:rsid w:val="008e0343"/>
  </w:style>
  <w:style w:type="numbering" w:styleId="411" w:customStyle="1">
    <w:name w:val="Нет списка41"/>
    <w:uiPriority w:val="99"/>
    <w:semiHidden/>
    <w:unhideWhenUsed/>
    <w:qFormat/>
    <w:rsid w:val="008e0343"/>
  </w:style>
  <w:style w:type="numbering" w:styleId="511" w:customStyle="1">
    <w:name w:val="Нет списка51"/>
    <w:uiPriority w:val="99"/>
    <w:semiHidden/>
    <w:unhideWhenUsed/>
    <w:qFormat/>
    <w:rsid w:val="008e0343"/>
  </w:style>
  <w:style w:type="numbering" w:styleId="611" w:customStyle="1">
    <w:name w:val="Нет списка61"/>
    <w:uiPriority w:val="99"/>
    <w:semiHidden/>
    <w:unhideWhenUsed/>
    <w:qFormat/>
    <w:rsid w:val="008e0343"/>
  </w:style>
  <w:style w:type="numbering" w:styleId="711" w:customStyle="1">
    <w:name w:val="Нет списка71"/>
    <w:uiPriority w:val="99"/>
    <w:semiHidden/>
    <w:unhideWhenUsed/>
    <w:qFormat/>
    <w:rsid w:val="008e0343"/>
  </w:style>
  <w:style w:type="numbering" w:styleId="1114" w:customStyle="1">
    <w:name w:val="Нет списка111"/>
    <w:uiPriority w:val="99"/>
    <w:semiHidden/>
    <w:unhideWhenUsed/>
    <w:qFormat/>
    <w:rsid w:val="008e0343"/>
  </w:style>
  <w:style w:type="numbering" w:styleId="811" w:customStyle="1">
    <w:name w:val="Нет списка81"/>
    <w:uiPriority w:val="99"/>
    <w:semiHidden/>
    <w:unhideWhenUsed/>
    <w:qFormat/>
    <w:rsid w:val="008e0343"/>
  </w:style>
  <w:style w:type="numbering" w:styleId="912" w:customStyle="1">
    <w:name w:val="Нет списка91"/>
    <w:uiPriority w:val="99"/>
    <w:semiHidden/>
    <w:unhideWhenUsed/>
    <w:qFormat/>
    <w:rsid w:val="008e0343"/>
  </w:style>
  <w:style w:type="numbering" w:styleId="11111" w:customStyle="1">
    <w:name w:val="Нет списка1111"/>
    <w:uiPriority w:val="99"/>
    <w:semiHidden/>
    <w:unhideWhenUsed/>
    <w:qFormat/>
    <w:rsid w:val="008e0343"/>
  </w:style>
  <w:style w:type="numbering" w:styleId="10" w:customStyle="1">
    <w:name w:val="Нет списка10"/>
    <w:uiPriority w:val="99"/>
    <w:semiHidden/>
    <w:unhideWhenUsed/>
    <w:qFormat/>
    <w:rsid w:val="008e0343"/>
  </w:style>
  <w:style w:type="numbering" w:styleId="1210" w:customStyle="1">
    <w:name w:val="Нет списка12"/>
    <w:uiPriority w:val="99"/>
    <w:semiHidden/>
    <w:unhideWhenUsed/>
    <w:qFormat/>
    <w:rsid w:val="008e0343"/>
  </w:style>
  <w:style w:type="numbering" w:styleId="1121" w:customStyle="1">
    <w:name w:val="Нет списка112"/>
    <w:uiPriority w:val="99"/>
    <w:semiHidden/>
    <w:unhideWhenUsed/>
    <w:qFormat/>
    <w:rsid w:val="008e0343"/>
  </w:style>
  <w:style w:type="numbering" w:styleId="2112" w:customStyle="1">
    <w:name w:val="Нет списка211"/>
    <w:uiPriority w:val="99"/>
    <w:semiHidden/>
    <w:unhideWhenUsed/>
    <w:qFormat/>
    <w:rsid w:val="008e0343"/>
  </w:style>
  <w:style w:type="numbering" w:styleId="3111" w:customStyle="1">
    <w:name w:val="Нет списка311"/>
    <w:uiPriority w:val="99"/>
    <w:semiHidden/>
    <w:unhideWhenUsed/>
    <w:qFormat/>
    <w:rsid w:val="008e0343"/>
  </w:style>
  <w:style w:type="numbering" w:styleId="4111" w:customStyle="1">
    <w:name w:val="Нет списка411"/>
    <w:uiPriority w:val="99"/>
    <w:semiHidden/>
    <w:unhideWhenUsed/>
    <w:qFormat/>
    <w:rsid w:val="008e0343"/>
  </w:style>
  <w:style w:type="numbering" w:styleId="5111" w:customStyle="1">
    <w:name w:val="Нет списка511"/>
    <w:uiPriority w:val="99"/>
    <w:semiHidden/>
    <w:unhideWhenUsed/>
    <w:qFormat/>
    <w:rsid w:val="008e0343"/>
  </w:style>
  <w:style w:type="numbering" w:styleId="6111" w:customStyle="1">
    <w:name w:val="Нет списка611"/>
    <w:uiPriority w:val="99"/>
    <w:semiHidden/>
    <w:unhideWhenUsed/>
    <w:qFormat/>
    <w:rsid w:val="008e0343"/>
  </w:style>
  <w:style w:type="numbering" w:styleId="7111" w:customStyle="1">
    <w:name w:val="Нет списка711"/>
    <w:uiPriority w:val="99"/>
    <w:semiHidden/>
    <w:unhideWhenUsed/>
    <w:qFormat/>
    <w:rsid w:val="008e0343"/>
  </w:style>
  <w:style w:type="numbering" w:styleId="111111" w:customStyle="1">
    <w:name w:val="Нет списка11111"/>
    <w:uiPriority w:val="99"/>
    <w:semiHidden/>
    <w:unhideWhenUsed/>
    <w:qFormat/>
    <w:rsid w:val="008e0343"/>
  </w:style>
  <w:style w:type="numbering" w:styleId="8111" w:customStyle="1">
    <w:name w:val="Нет списка811"/>
    <w:uiPriority w:val="99"/>
    <w:semiHidden/>
    <w:unhideWhenUsed/>
    <w:qFormat/>
    <w:rsid w:val="008e0343"/>
  </w:style>
  <w:style w:type="numbering" w:styleId="1311" w:customStyle="1">
    <w:name w:val="Нет списка13"/>
    <w:uiPriority w:val="99"/>
    <w:semiHidden/>
    <w:unhideWhenUsed/>
    <w:qFormat/>
    <w:rsid w:val="008e0343"/>
  </w:style>
  <w:style w:type="numbering" w:styleId="1410" w:customStyle="1">
    <w:name w:val="Нет списка14"/>
    <w:uiPriority w:val="99"/>
    <w:semiHidden/>
    <w:unhideWhenUsed/>
    <w:qFormat/>
    <w:rsid w:val="008e0343"/>
  </w:style>
  <w:style w:type="numbering" w:styleId="1131" w:customStyle="1">
    <w:name w:val="Нет списка113"/>
    <w:uiPriority w:val="99"/>
    <w:semiHidden/>
    <w:unhideWhenUsed/>
    <w:qFormat/>
    <w:rsid w:val="008e0343"/>
  </w:style>
  <w:style w:type="numbering" w:styleId="2210" w:customStyle="1">
    <w:name w:val="Нет списка22"/>
    <w:uiPriority w:val="99"/>
    <w:semiHidden/>
    <w:unhideWhenUsed/>
    <w:qFormat/>
    <w:rsid w:val="008e0343"/>
  </w:style>
  <w:style w:type="numbering" w:styleId="322" w:customStyle="1">
    <w:name w:val="Нет списка32"/>
    <w:uiPriority w:val="99"/>
    <w:semiHidden/>
    <w:unhideWhenUsed/>
    <w:qFormat/>
    <w:rsid w:val="008e0343"/>
  </w:style>
  <w:style w:type="numbering" w:styleId="421" w:customStyle="1">
    <w:name w:val="Нет списка42"/>
    <w:uiPriority w:val="99"/>
    <w:semiHidden/>
    <w:unhideWhenUsed/>
    <w:qFormat/>
    <w:rsid w:val="008e0343"/>
  </w:style>
  <w:style w:type="numbering" w:styleId="521" w:customStyle="1">
    <w:name w:val="Нет списка52"/>
    <w:uiPriority w:val="99"/>
    <w:semiHidden/>
    <w:unhideWhenUsed/>
    <w:qFormat/>
    <w:rsid w:val="008e0343"/>
  </w:style>
  <w:style w:type="numbering" w:styleId="621" w:customStyle="1">
    <w:name w:val="Нет списка62"/>
    <w:uiPriority w:val="99"/>
    <w:semiHidden/>
    <w:unhideWhenUsed/>
    <w:qFormat/>
    <w:rsid w:val="008e0343"/>
  </w:style>
  <w:style w:type="numbering" w:styleId="721" w:customStyle="1">
    <w:name w:val="Нет списка72"/>
    <w:uiPriority w:val="99"/>
    <w:semiHidden/>
    <w:unhideWhenUsed/>
    <w:qFormat/>
    <w:rsid w:val="008e0343"/>
  </w:style>
  <w:style w:type="numbering" w:styleId="11121" w:customStyle="1">
    <w:name w:val="Нет списка1112"/>
    <w:uiPriority w:val="99"/>
    <w:semiHidden/>
    <w:unhideWhenUsed/>
    <w:qFormat/>
    <w:rsid w:val="008e0343"/>
  </w:style>
  <w:style w:type="numbering" w:styleId="821" w:customStyle="1">
    <w:name w:val="Нет списка82"/>
    <w:uiPriority w:val="99"/>
    <w:semiHidden/>
    <w:unhideWhenUsed/>
    <w:qFormat/>
    <w:rsid w:val="008e0343"/>
  </w:style>
  <w:style w:type="numbering" w:styleId="512" w:customStyle="1">
    <w:name w:val="Стиль51"/>
    <w:uiPriority w:val="99"/>
    <w:qFormat/>
    <w:rsid w:val="00235e3c"/>
  </w:style>
  <w:style w:type="numbering" w:styleId="155" w:customStyle="1">
    <w:name w:val="Нет списка15"/>
    <w:uiPriority w:val="99"/>
    <w:semiHidden/>
    <w:unhideWhenUsed/>
    <w:qFormat/>
    <w:rsid w:val="00843e85"/>
  </w:style>
  <w:style w:type="numbering" w:styleId="5112" w:customStyle="1">
    <w:name w:val="Стиль511"/>
    <w:uiPriority w:val="99"/>
    <w:qFormat/>
    <w:rsid w:val="00843e85"/>
  </w:style>
  <w:style w:type="numbering" w:styleId="522" w:customStyle="1">
    <w:name w:val="Стиль52"/>
    <w:uiPriority w:val="99"/>
    <w:qFormat/>
    <w:rsid w:val="00843e85"/>
  </w:style>
  <w:style w:type="numbering" w:styleId="5121" w:customStyle="1">
    <w:name w:val="Стиль512"/>
    <w:uiPriority w:val="99"/>
    <w:qFormat/>
    <w:rsid w:val="00d22a24"/>
  </w:style>
  <w:style w:type="numbering" w:styleId="161" w:customStyle="1">
    <w:name w:val="Нет списка16"/>
    <w:uiPriority w:val="99"/>
    <w:semiHidden/>
    <w:unhideWhenUsed/>
    <w:qFormat/>
    <w:rsid w:val="00d22a24"/>
  </w:style>
  <w:style w:type="numbering" w:styleId="172" w:customStyle="1">
    <w:name w:val="Нет списка17"/>
    <w:uiPriority w:val="99"/>
    <w:semiHidden/>
    <w:unhideWhenUsed/>
    <w:qFormat/>
    <w:rsid w:val="00d22a24"/>
  </w:style>
  <w:style w:type="numbering" w:styleId="234" w:customStyle="1">
    <w:name w:val="Нет списка23"/>
    <w:uiPriority w:val="99"/>
    <w:semiHidden/>
    <w:unhideWhenUsed/>
    <w:qFormat/>
    <w:rsid w:val="00d22a24"/>
  </w:style>
  <w:style w:type="numbering" w:styleId="181" w:customStyle="1">
    <w:name w:val="Нет списка18"/>
    <w:uiPriority w:val="99"/>
    <w:semiHidden/>
    <w:unhideWhenUsed/>
    <w:qFormat/>
    <w:rsid w:val="00d22a24"/>
  </w:style>
  <w:style w:type="numbering" w:styleId="191" w:customStyle="1">
    <w:name w:val="Нет списка19"/>
    <w:uiPriority w:val="99"/>
    <w:semiHidden/>
    <w:unhideWhenUsed/>
    <w:qFormat/>
    <w:rsid w:val="00d22a24"/>
  </w:style>
  <w:style w:type="numbering" w:styleId="205" w:customStyle="1">
    <w:name w:val="Нет списка20"/>
    <w:uiPriority w:val="99"/>
    <w:semiHidden/>
    <w:unhideWhenUsed/>
    <w:qFormat/>
    <w:rsid w:val="003b7203"/>
  </w:style>
  <w:style w:type="numbering" w:styleId="531" w:customStyle="1">
    <w:name w:val="Стиль53"/>
    <w:uiPriority w:val="99"/>
    <w:qFormat/>
    <w:rsid w:val="003b7203"/>
  </w:style>
  <w:style w:type="numbering" w:styleId="242" w:customStyle="1">
    <w:name w:val="Нет списка24"/>
    <w:uiPriority w:val="99"/>
    <w:semiHidden/>
    <w:unhideWhenUsed/>
    <w:qFormat/>
    <w:rsid w:val="00fc5d19"/>
  </w:style>
  <w:style w:type="numbering" w:styleId="---" w:customStyle="1">
    <w:name w:val="!Список для ---"/>
    <w:uiPriority w:val="99"/>
    <w:qFormat/>
    <w:rsid w:val="00fc5d19"/>
  </w:style>
  <w:style w:type="numbering" w:styleId="Style97" w:customStyle="1">
    <w:name w:val="!Многоуровневый список. Основной"/>
    <w:uiPriority w:val="99"/>
    <w:qFormat/>
    <w:rsid w:val="00fc5d19"/>
  </w:style>
  <w:style w:type="numbering" w:styleId="1101" w:customStyle="1">
    <w:name w:val="Нет списка110"/>
    <w:uiPriority w:val="99"/>
    <w:semiHidden/>
    <w:unhideWhenUsed/>
    <w:qFormat/>
    <w:rsid w:val="00fc5d19"/>
  </w:style>
  <w:style w:type="table" w:default="1" w:styleId="a4">
    <w:name w:val="Normal Table"/>
    <w:uiPriority w:val="99"/>
    <w:semiHidden/>
    <w:unhideWhenUsed/>
    <w:tblPr>
      <w:tblCellMar>
        <w:top w:w="0" w:type="dxa"/>
        <w:left w:w="108" w:type="dxa"/>
        <w:bottom w:w="0" w:type="dxa"/>
        <w:right w:w="108" w:type="dxa"/>
      </w:tblCellMar>
    </w:tblPr>
  </w:style>
  <w:style w:type="table" w:styleId="ad">
    <w:name w:val="Table Grid"/>
    <w:basedOn w:val="a4"/>
    <w:uiPriority w:val="59"/>
    <w:rsid w:val="0088538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
    <w:name w:val="Сетка таблицы1"/>
    <w:basedOn w:val="a4"/>
    <w:uiPriority w:val="59"/>
    <w:rsid w:val="00be73b5"/>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
    <w:name w:val="Сетка таблицы2"/>
    <w:basedOn w:val="a4"/>
    <w:uiPriority w:val="59"/>
    <w:rsid w:val="00a40c73"/>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6">
    <w:name w:val="Сетка таблицы3"/>
    <w:basedOn w:val="a4"/>
    <w:uiPriority w:val="59"/>
    <w:rsid w:val="00c31667"/>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
    <w:name w:val="Сетка таблицы4"/>
    <w:basedOn w:val="a4"/>
    <w:rsid w:val="000642e5"/>
    <w:pPr>
      <w:spacing w:after="0" w:line="240" w:lineRule="auto"/>
      <w:jc w:val="center"/>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b">
    <w:name w:val="Сетка таблицы5"/>
    <w:basedOn w:val="a4"/>
    <w:uiPriority w:val="59"/>
    <w:rsid w:val="005b2a9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5">
    <w:name w:val="Сетка таблицы11"/>
    <w:basedOn w:val="a4"/>
    <w:uiPriority w:val="59"/>
    <w:rsid w:val="005b2a9e"/>
    <w:pPr>
      <w:spacing w:after="0" w:line="240" w:lineRule="auto"/>
    </w:pPr>
    <w:rPr>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1110">
    <w:name w:val="Сетка таблицы111"/>
    <w:basedOn w:val="a4"/>
    <w:rsid w:val="005b2a9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0">
    <w:name w:val="Сетка таблицы35"/>
    <w:basedOn w:val="a4"/>
    <w:uiPriority w:val="59"/>
    <w:rsid w:val="003062b3"/>
    <w:pPr>
      <w:spacing w:after="0" w:line="240" w:lineRule="auto"/>
    </w:pPr>
    <w:rPr>
      <w:rFonts w:eastAsiaTheme="minorEastAsia"/>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4">
    <w:name w:val="Сетка таблицы6"/>
    <w:basedOn w:val="a4"/>
    <w:uiPriority w:val="59"/>
    <w:rsid w:val="005b0e9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3">
    <w:name w:val="Сетка таблицы7"/>
    <w:basedOn w:val="a4"/>
    <w:uiPriority w:val="59"/>
    <w:rsid w:val="009d4f1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
    <w:name w:val="Сетка таблицы8"/>
    <w:basedOn w:val="a4"/>
    <w:uiPriority w:val="59"/>
    <w:rsid w:val="00734051"/>
    <w:pPr>
      <w:spacing w:after="0" w:line="240" w:lineRule="auto"/>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
    <w:name w:val="Сетка таблицы9"/>
    <w:basedOn w:val="a4"/>
    <w:uiPriority w:val="59"/>
    <w:rsid w:val="004f62c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0">
    <w:name w:val="Сетка таблицы10"/>
    <w:basedOn w:val="a4"/>
    <w:uiPriority w:val="59"/>
    <w:rsid w:val="004253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
    <w:name w:val="Сетка таблицы12"/>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5">
    <w:name w:val="Сетка таблицы21"/>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5">
    <w:name w:val="Сетка таблицы31"/>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0">
    <w:name w:val="Сетка таблицы41"/>
    <w:basedOn w:val="a4"/>
    <w:rsid w:val="004253c6"/>
    <w:pPr>
      <w:spacing w:after="0" w:line="240" w:lineRule="auto"/>
      <w:jc w:val="center"/>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10">
    <w:name w:val="Сетка таблицы51"/>
    <w:basedOn w:val="a4"/>
    <w:uiPriority w:val="59"/>
    <w:rsid w:val="004253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0">
    <w:name w:val="Сетка таблицы61"/>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1">
    <w:name w:val="Сетка таблицы71"/>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1">
    <w:name w:val="Сетка таблицы81"/>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1">
    <w:name w:val="Сетка таблицы91"/>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
    <w:name w:val="Сетка таблицы101"/>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0">
    <w:name w:val="Сетка таблицы112"/>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3">
    <w:name w:val="Сетка таблицы13"/>
    <w:basedOn w:val="a4"/>
    <w:uiPriority w:val="3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1">
    <w:name w:val="Сетка таблицы14"/>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0">
    <w:name w:val="Сетка таблицы15"/>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0">
    <w:name w:val="Сетка таблицы16"/>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
    <w:name w:val="Сетка таблицы17"/>
    <w:basedOn w:val="a4"/>
    <w:uiPriority w:val="59"/>
    <w:rsid w:val="004253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0">
    <w:name w:val="Сетка таблицы18"/>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1">
    <w:name w:val="Сетка таблицы19"/>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5">
    <w:name w:val="Сетка таблицы20"/>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00">
    <w:name w:val="Сетка таблицы110"/>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1">
    <w:name w:val="Сетка таблицы1111"/>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
    <w:name w:val="Сетка таблицы22"/>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3">
    <w:name w:val="Сетка таблицы23"/>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1">
    <w:name w:val="Сетка таблицы24"/>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1">
    <w:name w:val="Сетка таблицы25"/>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1">
    <w:name w:val="Сетка таблицы26"/>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1">
    <w:name w:val="Сетка таблицы27"/>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1">
    <w:name w:val="Сетка таблицы28"/>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1">
    <w:name w:val="Сетка таблицы29"/>
    <w:basedOn w:val="a4"/>
    <w:uiPriority w:val="59"/>
    <w:rsid w:val="004253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0">
    <w:name w:val="Сетка таблицы30"/>
    <w:basedOn w:val="a4"/>
    <w:uiPriority w:val="59"/>
    <w:rsid w:val="004253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10">
    <w:name w:val="Сетка таблицы311"/>
    <w:basedOn w:val="a4"/>
    <w:uiPriority w:val="59"/>
    <w:rsid w:val="004253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0">
    <w:name w:val="Сетка таблицы32"/>
    <w:basedOn w:val="a4"/>
    <w:uiPriority w:val="59"/>
    <w:rsid w:val="004253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0">
    <w:name w:val="Сетка таблицы33"/>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0">
    <w:name w:val="Сетка таблицы34"/>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1">
    <w:name w:val="Сетка таблицы351"/>
    <w:basedOn w:val="a4"/>
    <w:uiPriority w:val="59"/>
    <w:rsid w:val="004253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60">
    <w:name w:val="Сетка таблицы36"/>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70">
    <w:name w:val="Сетка таблицы37"/>
    <w:basedOn w:val="a4"/>
    <w:uiPriority w:val="59"/>
    <w:rsid w:val="004253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80">
    <w:name w:val="Сетка таблицы38"/>
    <w:basedOn w:val="a4"/>
    <w:uiPriority w:val="59"/>
    <w:rsid w:val="004253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90">
    <w:name w:val="Сетка таблицы39"/>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0">
    <w:name w:val="Сетка таблицы40"/>
    <w:basedOn w:val="a4"/>
    <w:uiPriority w:val="59"/>
    <w:rsid w:val="004253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1">
    <w:name w:val="Сетка таблицы411"/>
    <w:basedOn w:val="a4"/>
    <w:uiPriority w:val="59"/>
    <w:rsid w:val="004253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1">
    <w:name w:val="Сетка таблицы511"/>
    <w:basedOn w:val="a4"/>
    <w:uiPriority w:val="59"/>
    <w:rsid w:val="004253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0">
    <w:name w:val="Сетка таблицы52"/>
    <w:basedOn w:val="a4"/>
    <w:uiPriority w:val="59"/>
    <w:rsid w:val="004253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0">
    <w:name w:val="Сетка таблицы42"/>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0">
    <w:name w:val="Сетка таблицы43"/>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0">
    <w:name w:val="Сетка таблицы44"/>
    <w:basedOn w:val="a4"/>
    <w:uiPriority w:val="59"/>
    <w:rsid w:val="007c097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50">
    <w:name w:val="Сетка таблицы45"/>
    <w:basedOn w:val="a4"/>
    <w:uiPriority w:val="59"/>
    <w:rsid w:val="00a67c5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0">
    <w:name w:val="Сетка таблицы46"/>
    <w:basedOn w:val="a4"/>
    <w:uiPriority w:val="59"/>
    <w:rsid w:val="00fb60b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4">
    <w:name w:val="Сетка таблицы134"/>
    <w:basedOn w:val="a4"/>
    <w:uiPriority w:val="59"/>
    <w:rsid w:val="0064622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0">
    <w:name w:val="Сетка таблицы47"/>
    <w:basedOn w:val="a4"/>
    <w:uiPriority w:val="59"/>
    <w:rsid w:val="000941e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0">
    <w:name w:val="Сетка таблицы48"/>
    <w:basedOn w:val="a4"/>
    <w:uiPriority w:val="59"/>
    <w:rsid w:val="002222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8">
    <w:name w:val="Сетка таблицы218"/>
    <w:basedOn w:val="a4"/>
    <w:uiPriority w:val="59"/>
    <w:rsid w:val="0047461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90">
    <w:name w:val="Сетка таблицы49"/>
    <w:basedOn w:val="a4"/>
    <w:uiPriority w:val="59"/>
    <w:rsid w:val="0025449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91">
    <w:name w:val="Сетка таблицы491"/>
    <w:basedOn w:val="a4"/>
    <w:uiPriority w:val="59"/>
    <w:rsid w:val="00ab064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40">
    <w:name w:val="Сетка таблицы214"/>
    <w:basedOn w:val="a4"/>
    <w:uiPriority w:val="59"/>
    <w:rsid w:val="00d37df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00">
    <w:name w:val="Сетка таблицы50"/>
    <w:basedOn w:val="a4"/>
    <w:uiPriority w:val="59"/>
    <w:rsid w:val="005d5a5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0">
    <w:name w:val="Сетка таблицы53"/>
    <w:basedOn w:val="a4"/>
    <w:uiPriority w:val="59"/>
    <w:rsid w:val="00a4057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41">
    <w:name w:val="Сетка таблицы1341"/>
    <w:basedOn w:val="a4"/>
    <w:uiPriority w:val="59"/>
    <w:rsid w:val="00a4057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0">
    <w:name w:val="Сетка таблицы54"/>
    <w:basedOn w:val="a4"/>
    <w:uiPriority w:val="59"/>
    <w:rsid w:val="00e35f2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
    <w:name w:val="Сетка таблицы222"/>
    <w:basedOn w:val="a4"/>
    <w:uiPriority w:val="59"/>
    <w:rsid w:val="004470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1">
    <w:name w:val="Сетка таблицы1121"/>
    <w:basedOn w:val="a4"/>
    <w:uiPriority w:val="59"/>
    <w:rsid w:val="004470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10">
    <w:name w:val="Сетка таблицы201"/>
    <w:basedOn w:val="a4"/>
    <w:uiPriority w:val="59"/>
    <w:rsid w:val="004470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20">
    <w:name w:val="Сетка таблицы202"/>
    <w:basedOn w:val="a4"/>
    <w:uiPriority w:val="59"/>
    <w:rsid w:val="004470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30">
    <w:name w:val="Сетка таблицы203"/>
    <w:basedOn w:val="a4"/>
    <w:uiPriority w:val="59"/>
    <w:rsid w:val="004470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40">
    <w:name w:val="Сетка таблицы204"/>
    <w:basedOn w:val="a4"/>
    <w:uiPriority w:val="59"/>
    <w:rsid w:val="004470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0">
    <w:name w:val="Сетка таблицы55"/>
    <w:basedOn w:val="a4"/>
    <w:uiPriority w:val="59"/>
    <w:rsid w:val="001d46b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2">
    <w:name w:val="Сетка таблицы1122"/>
    <w:basedOn w:val="a4"/>
    <w:uiPriority w:val="59"/>
    <w:rsid w:val="001d46b3"/>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1">
    <w:name w:val="Сетка таблицы2221"/>
    <w:basedOn w:val="a4"/>
    <w:uiPriority w:val="59"/>
    <w:rsid w:val="001d46b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3">
    <w:name w:val="Сетка таблицы1123"/>
    <w:basedOn w:val="a4"/>
    <w:uiPriority w:val="59"/>
    <w:rsid w:val="00c47117"/>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2">
    <w:name w:val="Сетка таблицы2222"/>
    <w:basedOn w:val="a4"/>
    <w:uiPriority w:val="59"/>
    <w:rsid w:val="00c4711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1">
    <w:name w:val="Сетка таблицы551"/>
    <w:basedOn w:val="a4"/>
    <w:uiPriority w:val="59"/>
    <w:rsid w:val="00c4711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0">
    <w:name w:val="Сетка таблицы113"/>
    <w:basedOn w:val="a4"/>
    <w:uiPriority w:val="59"/>
    <w:rsid w:val="007d3ce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60">
    <w:name w:val="Сетка таблицы56"/>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40">
    <w:name w:val="Сетка таблицы114"/>
    <w:basedOn w:val="a4"/>
    <w:uiPriority w:val="59"/>
    <w:rsid w:val="008e0343"/>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00">
    <w:name w:val="Сетка таблицы210"/>
    <w:basedOn w:val="a4"/>
    <w:uiPriority w:val="59"/>
    <w:rsid w:val="008e0343"/>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00">
    <w:name w:val="Сетка таблицы310"/>
    <w:basedOn w:val="a4"/>
    <w:uiPriority w:val="39"/>
    <w:rsid w:val="008e0343"/>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00">
    <w:name w:val="Сетка таблицы410"/>
    <w:basedOn w:val="a4"/>
    <w:rsid w:val="008e0343"/>
    <w:pPr>
      <w:spacing w:after="0" w:line="240" w:lineRule="auto"/>
      <w:jc w:val="center"/>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70">
    <w:name w:val="Сетка таблицы57"/>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50">
    <w:name w:val="Сетка таблицы115"/>
    <w:basedOn w:val="a4"/>
    <w:uiPriority w:val="59"/>
    <w:rsid w:val="008e0343"/>
    <w:pPr>
      <w:spacing w:after="0" w:line="240" w:lineRule="auto"/>
    </w:pPr>
    <w:rPr>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1112">
    <w:name w:val="Сетка таблицы1112"/>
    <w:basedOn w:val="a4"/>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2">
    <w:name w:val="Сетка таблицы352"/>
    <w:basedOn w:val="a4"/>
    <w:uiPriority w:val="59"/>
    <w:rsid w:val="008e0343"/>
    <w:pPr>
      <w:spacing w:after="0" w:line="240" w:lineRule="auto"/>
    </w:pPr>
    <w:rPr>
      <w:rFonts w:eastAsiaTheme="minorEastAsia"/>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0">
    <w:name w:val="Сетка таблицы62"/>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0">
    <w:name w:val="Сетка таблицы72"/>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0">
    <w:name w:val="Сетка таблицы82"/>
    <w:basedOn w:val="a4"/>
    <w:uiPriority w:val="59"/>
    <w:rsid w:val="008e0343"/>
    <w:pPr>
      <w:spacing w:after="0" w:line="240" w:lineRule="auto"/>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0">
    <w:name w:val="Сетка таблицы92"/>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2">
    <w:name w:val="Сетка таблицы102"/>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0">
    <w:name w:val="Сетка таблицы12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0">
    <w:name w:val="Сетка таблицы21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0">
    <w:name w:val="Сетка таблицы22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10">
    <w:name w:val="Сетка таблицы131"/>
    <w:basedOn w:val="a4"/>
    <w:uiPriority w:val="3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10">
    <w:name w:val="Сетка таблицы14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1">
    <w:name w:val="Сетка таблицы15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42">
    <w:name w:val="Сетка таблицы1342"/>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1">
    <w:name w:val="Сетка таблицы16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411">
    <w:name w:val="Сетка таблицы1341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0">
    <w:name w:val="Сетка таблицы17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11">
    <w:name w:val="Сетка таблицы23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1">
    <w:name w:val="Сетка таблицы18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9">
    <w:name w:val="Сетка таблицы219"/>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50">
    <w:name w:val="Сетка таблицы215"/>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60">
    <w:name w:val="Сетка таблицы216"/>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10">
    <w:name w:val="Сетка таблицы19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50">
    <w:name w:val="Сетка таблицы205"/>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4">
    <w:name w:val="Сетка таблицы1124"/>
    <w:basedOn w:val="a4"/>
    <w:uiPriority w:val="59"/>
    <w:rsid w:val="008e0343"/>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3">
    <w:name w:val="Сетка таблицы2223"/>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01">
    <w:name w:val="Сетка таблицы110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11">
    <w:name w:val="Сетка таблицы1111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20">
    <w:name w:val="Сетка таблицы312"/>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30">
    <w:name w:val="Сетка таблицы213"/>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41">
    <w:name w:val="Сетка таблицы214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1">
    <w:name w:val="Сетка таблицы221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10">
    <w:name w:val="Сетка таблицы24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10">
    <w:name w:val="Сетка таблицы27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11">
    <w:name w:val="Сетка таблицы11211"/>
    <w:basedOn w:val="a4"/>
    <w:uiPriority w:val="59"/>
    <w:rsid w:val="008e0343"/>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10">
    <w:name w:val="Сетка таблицы25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1">
    <w:name w:val="Сетка таблицы113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21">
    <w:name w:val="Сетка таблицы11121"/>
    <w:basedOn w:val="a4"/>
    <w:rsid w:val="008e0343"/>
    <w:pPr>
      <w:spacing w:after="0" w:line="240" w:lineRule="auto"/>
    </w:pPr>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511">
    <w:name w:val="Сетка таблицы3511"/>
    <w:basedOn w:val="a4"/>
    <w:uiPriority w:val="59"/>
    <w:rsid w:val="008e0343"/>
    <w:pPr>
      <w:spacing w:after="0" w:line="240" w:lineRule="auto"/>
    </w:pPr>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10">
    <w:name w:val="Сетка таблицы81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11">
    <w:name w:val="Сетка таблицы181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51">
    <w:name w:val="Сетка таблицы115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60">
    <w:name w:val="Сетка таблицы116"/>
    <w:basedOn w:val="a4"/>
    <w:uiPriority w:val="59"/>
    <w:rsid w:val="008e0343"/>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30">
    <w:name w:val="Сетка таблицы1113"/>
    <w:basedOn w:val="a4"/>
    <w:rsid w:val="008e0343"/>
    <w:pPr>
      <w:spacing w:after="0" w:line="240" w:lineRule="auto"/>
    </w:pPr>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521">
    <w:name w:val="Сетка таблицы3521"/>
    <w:basedOn w:val="a4"/>
    <w:uiPriority w:val="59"/>
    <w:rsid w:val="008e0343"/>
    <w:pPr>
      <w:spacing w:after="0" w:line="240" w:lineRule="auto"/>
    </w:pPr>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1">
    <w:name w:val="Сетка таблицы82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2">
    <w:name w:val="Сетка таблицы182"/>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10">
    <w:name w:val="Сетка таблицы321"/>
    <w:basedOn w:val="a4"/>
    <w:uiPriority w:val="39"/>
    <w:rsid w:val="008e0343"/>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0">
    <w:name w:val="Сетка таблицы58"/>
    <w:basedOn w:val="a4"/>
    <w:uiPriority w:val="59"/>
    <w:rsid w:val="00d7655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3">
    <w:name w:val="Сетка таблицы353"/>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30">
    <w:name w:val="Сетка таблицы83"/>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1">
    <w:name w:val="Сетка таблицы44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51">
    <w:name w:val="Сетка таблицы45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1">
    <w:name w:val="Сетка таблицы46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1">
    <w:name w:val="Сетка таблицы47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92">
    <w:name w:val="Сетка таблицы492"/>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1">
    <w:name w:val="Сетка таблицы53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12">
    <w:name w:val="Сетка таблицы11212"/>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11">
    <w:name w:val="Сетка таблицы201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21">
    <w:name w:val="Сетка таблицы202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31">
    <w:name w:val="Сетка таблицы203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41">
    <w:name w:val="Сетка таблицы204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2">
    <w:name w:val="Сетка таблицы552"/>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11">
    <w:name w:val="Сетка таблицы551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61">
    <w:name w:val="Сетка таблицы56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22">
    <w:name w:val="Сетка таблицы3522"/>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20">
    <w:name w:val="Сетка таблицы822"/>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21">
    <w:name w:val="Сетка таблицы102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1">
    <w:name w:val="Сетка таблицы121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10">
    <w:name w:val="Сетка таблицы211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2">
    <w:name w:val="Сетка таблицы2212"/>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1">
    <w:name w:val="Сетка таблицы171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11">
    <w:name w:val="Сетка таблицы251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111">
    <w:name w:val="Сетка таблицы3511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110">
    <w:name w:val="Сетка таблицы811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111">
    <w:name w:val="Сетка таблицы1811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211">
    <w:name w:val="Сетка таблицы3521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11">
    <w:name w:val="Сетка таблицы821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21">
    <w:name w:val="Сетка таблицы182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90">
    <w:name w:val="Сетка таблицы59"/>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7">
    <w:name w:val="Сетка таблицы117"/>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0">
    <w:name w:val="Сетка таблицы212"/>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2">
    <w:name w:val="Сетка таблицы342"/>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00">
    <w:name w:val="Сетка таблицы60"/>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1">
    <w:name w:val="Сетка таблицы58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91">
    <w:name w:val="Сетка таблицы59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8">
    <w:name w:val="Сетка таблицы118"/>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70">
    <w:name w:val="Сетка таблицы217"/>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2">
    <w:name w:val="Сетка таблицы252"/>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30">
    <w:name w:val="Сетка таблицы313"/>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21">
    <w:name w:val="Сетка таблицы342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20">
    <w:name w:val="Сетка таблицы412"/>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22">
    <w:name w:val="Сетка таблицы3422"/>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71">
    <w:name w:val="Сетка таблицы37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1">
    <w:name w:val="Сетка таблицы30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0">
    <w:name w:val="Сетка таблицы63"/>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4">
    <w:name w:val="Сетка таблицы354"/>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4">
    <w:name w:val="Сетка таблицы84"/>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2">
    <w:name w:val="Сетка таблицы44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52">
    <w:name w:val="Сетка таблицы45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2">
    <w:name w:val="Сетка таблицы46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2">
    <w:name w:val="Сетка таблицы47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93">
    <w:name w:val="Сетка таблицы493"/>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2">
    <w:name w:val="Сетка таблицы53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13">
    <w:name w:val="Сетка таблицы11213"/>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12">
    <w:name w:val="Сетка таблицы201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22">
    <w:name w:val="Сетка таблицы202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32">
    <w:name w:val="Сетка таблицы203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42">
    <w:name w:val="Сетка таблицы204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3">
    <w:name w:val="Сетка таблицы553"/>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12">
    <w:name w:val="Сетка таблицы551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62">
    <w:name w:val="Сетка таблицы56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23">
    <w:name w:val="Сетка таблицы3523"/>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3">
    <w:name w:val="Сетка таблицы823"/>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22">
    <w:name w:val="Сетка таблицы102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2">
    <w:name w:val="Сетка таблицы121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2">
    <w:name w:val="Сетка таблицы211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3">
    <w:name w:val="Сетка таблицы2213"/>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2">
    <w:name w:val="Сетка таблицы171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12">
    <w:name w:val="Сетка таблицы251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112">
    <w:name w:val="Сетка таблицы3511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12">
    <w:name w:val="Сетка таблицы811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112">
    <w:name w:val="Сетка таблицы1811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212">
    <w:name w:val="Сетка таблицы3521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12">
    <w:name w:val="Сетка таблицы821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22">
    <w:name w:val="Сетка таблицы182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2">
    <w:name w:val="Сетка таблицы58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11">
    <w:name w:val="Сетка таблицы5811"/>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911">
    <w:name w:val="Сетка таблицы5911"/>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21">
    <w:name w:val="Сетка таблицы2521"/>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31">
    <w:name w:val="Сетка таблицы3131"/>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21">
    <w:name w:val="Сетка таблицы4121"/>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711">
    <w:name w:val="Сетка таблицы3711"/>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9">
    <w:name w:val="Сетка таблицы119"/>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00">
    <w:name w:val="Сетка таблицы220"/>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3">
    <w:name w:val="Сетка таблицы253"/>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40">
    <w:name w:val="Сетка таблицы314"/>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3">
    <w:name w:val="Сетка таблицы413"/>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72">
    <w:name w:val="Сетка таблицы37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2">
    <w:name w:val="Сетка таблицы30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30">
    <w:name w:val="Сетка таблицы583"/>
    <w:basedOn w:val="a4"/>
    <w:uiPriority w:val="59"/>
    <w:rsid w:val="00d22a2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31">
    <w:name w:val="Сетка таблицы2531"/>
    <w:basedOn w:val="a4"/>
    <w:uiPriority w:val="59"/>
    <w:rsid w:val="00d22a2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41">
    <w:name w:val="Сетка таблицы3141"/>
    <w:basedOn w:val="a4"/>
    <w:uiPriority w:val="59"/>
    <w:rsid w:val="00d22a2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31">
    <w:name w:val="Сетка таблицы4131"/>
    <w:basedOn w:val="a4"/>
    <w:uiPriority w:val="59"/>
    <w:rsid w:val="00d22a2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721">
    <w:name w:val="Сетка таблицы3721"/>
    <w:basedOn w:val="a4"/>
    <w:uiPriority w:val="59"/>
    <w:rsid w:val="00d22a2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4">
    <w:name w:val="Сетка таблицы2214"/>
    <w:basedOn w:val="a4"/>
    <w:uiPriority w:val="59"/>
    <w:rsid w:val="00bb425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22">
    <w:name w:val="Сетка таблицы11122"/>
    <w:basedOn w:val="a4"/>
    <w:rsid w:val="00bb4251"/>
    <w:pPr>
      <w:spacing w:after="0" w:line="240" w:lineRule="auto"/>
    </w:pPr>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12">
    <w:name w:val="Сетка таблицы1812"/>
    <w:basedOn w:val="a4"/>
    <w:uiPriority w:val="59"/>
    <w:rsid w:val="00bb425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52">
    <w:name w:val="Сетка таблицы1152"/>
    <w:basedOn w:val="a4"/>
    <w:uiPriority w:val="59"/>
    <w:rsid w:val="00bb425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24">
    <w:name w:val="Сетка таблицы3524"/>
    <w:basedOn w:val="a4"/>
    <w:uiPriority w:val="59"/>
    <w:rsid w:val="00bb4251"/>
    <w:pPr>
      <w:spacing w:after="0" w:line="240" w:lineRule="auto"/>
    </w:pPr>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4">
    <w:name w:val="Сетка таблицы824"/>
    <w:basedOn w:val="a4"/>
    <w:uiPriority w:val="59"/>
    <w:rsid w:val="00bb425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01">
    <w:name w:val="Сетка таблицы3101"/>
    <w:basedOn w:val="a4"/>
    <w:uiPriority w:val="59"/>
    <w:rsid w:val="00bb425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21">
    <w:name w:val="Сетка таблицы3121"/>
    <w:basedOn w:val="a4"/>
    <w:uiPriority w:val="59"/>
    <w:rsid w:val="00bb425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71">
    <w:name w:val="Сетка таблицы571"/>
    <w:basedOn w:val="a4"/>
    <w:uiPriority w:val="59"/>
    <w:rsid w:val="00bb425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50">
    <w:name w:val="Сетка таблицы315"/>
    <w:basedOn w:val="a4"/>
    <w:uiPriority w:val="39"/>
    <w:rsid w:val="00a17721"/>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40">
    <w:name w:val="Сетка таблицы64"/>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5">
    <w:name w:val="Сетка таблицы355"/>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5">
    <w:name w:val="Сетка таблицы85"/>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3">
    <w:name w:val="Сетка таблицы443"/>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53">
    <w:name w:val="Сетка таблицы453"/>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3">
    <w:name w:val="Сетка таблицы463"/>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3">
    <w:name w:val="Сетка таблицы473"/>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94">
    <w:name w:val="Сетка таблицы494"/>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3">
    <w:name w:val="Сетка таблицы533"/>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14">
    <w:name w:val="Сетка таблицы11214"/>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13">
    <w:name w:val="Сетка таблицы2013"/>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23">
    <w:name w:val="Сетка таблицы2023"/>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33">
    <w:name w:val="Сетка таблицы2033"/>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43">
    <w:name w:val="Сетка таблицы2043"/>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4">
    <w:name w:val="Сетка таблицы554"/>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13">
    <w:name w:val="Сетка таблицы5513"/>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5">
    <w:name w:val="Сетка таблицы2215"/>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63">
    <w:name w:val="Сетка таблицы563"/>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23">
    <w:name w:val="Сетка таблицы11123"/>
    <w:basedOn w:val="a4"/>
    <w:rsid w:val="003b7203"/>
    <w:pPr>
      <w:spacing w:after="0" w:line="240" w:lineRule="auto"/>
    </w:pPr>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53">
    <w:name w:val="Сетка таблицы1153"/>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25">
    <w:name w:val="Сетка таблицы3525"/>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5">
    <w:name w:val="Сетка таблицы825"/>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23">
    <w:name w:val="Сетка таблицы1823"/>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02">
    <w:name w:val="Сетка таблицы3102"/>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4">
    <w:name w:val="Сетка таблицы584"/>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10">
    <w:name w:val="Сетка таблицы621"/>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bdu.fstec.ru/" TargetMode="External"/><Relationship Id="rId3" Type="http://schemas.openxmlformats.org/officeDocument/2006/relationships/hyperlink" Target="https://cve.mitre.org/" TargetMode="External"/><Relationship Id="rId4" Type="http://schemas.openxmlformats.org/officeDocument/2006/relationships/hyperlink" Target="https://bdu.fstec.ru/vul" TargetMode="External"/><Relationship Id="rId5" Type="http://schemas.openxmlformats.org/officeDocument/2006/relationships/hyperlink" Target="https://bdu.fstec.ru/vul" TargetMode="Externa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B04AA-BC53-4353-BB56-391F2D073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Application>LibreOffice/25.8.7.3$Linux_X86_64 LibreOffice_project/30742500f2d3eb4366ac312fa33d3dcabdb3eba5</Application>
  <AppVersion>15.0000</AppVersion>
  <Pages>57</Pages>
  <Words>17260</Words>
  <Characters>128796</Characters>
  <CharactersWithSpaces>144132</CharactersWithSpaces>
  <Paragraphs>1522</Paragraphs>
  <Company>APK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2026-07-24T02:54:00Z</dcterms:created>
  <dc:creator>term-user-12</dc:creator>
  <dc:description/>
  <dc:language>ru-RU</dc:language>
  <cp:lastModifiedBy/>
  <cp:lastPrinted>2019-10-08T01:01:00Z</cp:lastPrinted>
  <dcterms:modified xsi:type="dcterms:W3CDTF">2026-07-24T10:36:13Z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