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/>
      </w:pPr>
      <w:r>
        <w:rPr>
          <w:rFonts w:eastAsia="Times New Roman" w:cs="Times New Roman"/>
          <w:bCs/>
          <w:color w:val="000000"/>
          <w:spacing w:val="-6"/>
          <w:szCs w:val="24"/>
        </w:rPr>
        <w:t>ОКПД2 42.99.19.142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Style w:val="Style"/>
          <w:b w:val="false"/>
          <w:i w:val="false"/>
          <w:shd w:fill="FFFFFF" w:val="clear"/>
        </w:rPr>
        <w:t xml:space="preserve">Поставка </w:t>
      </w:r>
      <w:r>
        <w:rPr>
          <w:rStyle w:val="Style"/>
          <w:rFonts w:cs="Times New Roman"/>
          <w:b w:val="false"/>
          <w:i w:val="false"/>
          <w:color w:val="000000"/>
          <w:szCs w:val="24"/>
          <w:shd w:fill="FFFFFF" w:val="clear"/>
        </w:rPr>
        <w:t>предупредительного</w:t>
      </w:r>
      <w:r>
        <w:rPr>
          <w:rStyle w:val="Style"/>
          <w:b w:val="false"/>
          <w:i w:val="false"/>
          <w:color w:val="000000"/>
          <w:shd w:fill="FFFFFF" w:val="clear"/>
        </w:rPr>
        <w:t xml:space="preserve"> инженерного </w:t>
      </w:r>
      <w:r>
        <w:rPr>
          <w:rStyle w:val="Style"/>
          <w:rFonts w:cs="Times New Roman"/>
          <w:b w:val="false"/>
          <w:i w:val="false"/>
          <w:color w:val="000000"/>
          <w:szCs w:val="24"/>
          <w:shd w:fill="FFFFFF" w:val="clear"/>
        </w:rPr>
        <w:t>ограждения</w:t>
      </w:r>
      <w:r>
        <w:rPr>
          <w:rStyle w:val="Style"/>
          <w:b w:val="false"/>
          <w:i w:val="false"/>
          <w:color w:val="000000"/>
          <w:shd w:fill="FFFFFF" w:val="clear"/>
        </w:rPr>
        <w:t xml:space="preserve"> </w:t>
      </w:r>
      <w:r>
        <w:rPr>
          <w:rStyle w:val="Style"/>
          <w:b w:val="false"/>
          <w:i w:val="false"/>
          <w:shd w:fill="FFFFFF" w:val="clear"/>
        </w:rPr>
        <w:t>для Новосибирской ГЭС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/>
      </w:pPr>
      <w:r>
        <w:rPr>
          <w:rFonts w:cs="Times New Roman"/>
          <w:color w:val="000000"/>
          <w:sz w:val="26"/>
          <w:szCs w:val="26"/>
        </w:rPr>
        <w:t>(</w:t>
      </w:r>
      <w:r>
        <w:rPr>
          <w:rFonts w:cs="Times New Roman"/>
          <w:color w:val="000000"/>
          <w:sz w:val="26"/>
          <w:szCs w:val="26"/>
          <w:shd w:fill="FFFF00" w:val="clear"/>
        </w:rPr>
        <w:t xml:space="preserve">Лот № </w:t>
      </w:r>
      <w:r>
        <w:rPr>
          <w:rFonts w:eastAsia="Geneva" w:cs="Times New Roman"/>
          <w:color w:val="000000"/>
          <w:sz w:val="26"/>
          <w:szCs w:val="26"/>
          <w:shd w:fill="FFFFFF" w:val="clear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sectPr>
          <w:type w:val="nextPage"/>
          <w:pgSz w:w="11906" w:h="16838"/>
          <w:pgMar w:left="1701" w:right="851" w:gutter="0" w:header="0" w:top="709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rPr>
          <w:szCs w:val="24"/>
        </w:rPr>
      </w:pPr>
      <w:r>
        <w:rPr>
          <w:b/>
          <w:bCs/>
          <w:szCs w:val="24"/>
        </w:rPr>
        <w:t>1. Общие сведения</w:t>
      </w:r>
      <w:r>
        <w:rPr>
          <w:szCs w:val="24"/>
        </w:rPr>
        <w:tab/>
        <w:t>………………………………………..............................….............</w:t>
        <w:tab/>
        <w:t>3</w:t>
      </w:r>
    </w:p>
    <w:p>
      <w:pPr>
        <w:pStyle w:val="Normal"/>
        <w:rPr/>
      </w:pPr>
      <w:r>
        <w:rPr>
          <w:szCs w:val="24"/>
        </w:rPr>
        <w:t>1.1 Наименование закупаемой продукции</w:t>
        <w:tab/>
        <w:t>…….…...………..………………………….</w:t>
        <w:tab/>
        <w:t>3</w:t>
      </w:r>
    </w:p>
    <w:p>
      <w:pPr>
        <w:pStyle w:val="Normal"/>
        <w:rPr/>
      </w:pPr>
      <w:r>
        <w:rPr>
          <w:szCs w:val="24"/>
        </w:rPr>
        <w:t>1.2. Цель использования закупаемой продукции</w:t>
        <w:tab/>
        <w:t>………………………………..…….</w:t>
        <w:tab/>
        <w:t>3</w:t>
      </w:r>
    </w:p>
    <w:p>
      <w:pPr>
        <w:pStyle w:val="Normal"/>
        <w:rPr/>
      </w:pPr>
      <w:r>
        <w:rPr>
          <w:b/>
          <w:bCs/>
          <w:szCs w:val="24"/>
        </w:rPr>
        <w:t>2. Требования к продукции</w:t>
      </w:r>
      <w:r>
        <w:rPr>
          <w:szCs w:val="24"/>
        </w:rPr>
        <w:tab/>
        <w:t>………………….…………………..………..……..</w:t>
        <w:tab/>
        <w:t>3</w:t>
      </w:r>
    </w:p>
    <w:p>
      <w:pPr>
        <w:pStyle w:val="Normal"/>
        <w:rPr/>
      </w:pPr>
      <w:r>
        <w:rPr>
          <w:szCs w:val="24"/>
        </w:rPr>
        <w:t>2.1. Требования к объемам и срокам поставки…………….…………………………....</w:t>
        <w:tab/>
        <w:t>3</w:t>
      </w:r>
    </w:p>
    <w:p>
      <w:pPr>
        <w:pStyle w:val="Normal"/>
        <w:rPr/>
      </w:pPr>
      <w:r>
        <w:rPr>
          <w:szCs w:val="24"/>
        </w:rPr>
        <w:t>2.1.1. Перечень и объем закупаемой продукции…………...………………………..….</w:t>
        <w:tab/>
        <w:t>3</w:t>
      </w:r>
    </w:p>
    <w:p>
      <w:pPr>
        <w:pStyle w:val="Normal"/>
        <w:rPr/>
      </w:pPr>
      <w:r>
        <w:rPr>
          <w:b/>
          <w:bCs/>
          <w:szCs w:val="24"/>
        </w:rPr>
        <w:t>Таблица 2.1. Перечень и объем закупаемой продукции</w:t>
      </w:r>
      <w:r>
        <w:rPr>
          <w:szCs w:val="24"/>
        </w:rPr>
        <w:t>…..……………………..….</w:t>
        <w:tab/>
        <w:t>3</w:t>
      </w:r>
    </w:p>
    <w:p>
      <w:pPr>
        <w:pStyle w:val="Normal"/>
        <w:rPr/>
      </w:pPr>
      <w:r>
        <w:rPr>
          <w:szCs w:val="24"/>
        </w:rPr>
        <w:t>2.1.2. Требования к срокам поставки продукции.…………………..………..………….</w:t>
        <w:tab/>
        <w:t>4</w:t>
      </w:r>
    </w:p>
    <w:p>
      <w:pPr>
        <w:pStyle w:val="Normal"/>
        <w:rPr/>
      </w:pPr>
      <w:r>
        <w:rPr>
          <w:b/>
          <w:bCs/>
          <w:szCs w:val="24"/>
        </w:rPr>
        <w:t>Таблица 2.2 Требования к качеству продукции</w:t>
      </w:r>
      <w:r>
        <w:rPr>
          <w:szCs w:val="24"/>
        </w:rPr>
        <w:t>………………………….……</w:t>
        <w:tab/>
        <w:t>4</w:t>
      </w:r>
    </w:p>
    <w:p>
      <w:pPr>
        <w:pStyle w:val="Normal"/>
        <w:rPr/>
      </w:pPr>
      <w:r>
        <w:rPr>
          <w:szCs w:val="24"/>
        </w:rPr>
        <w:t>2.2. Требования к качеству продукции</w:t>
        <w:tab/>
        <w:t>……...………………….………………...…</w:t>
        <w:tab/>
        <w:t>4</w:t>
      </w:r>
    </w:p>
    <w:p>
      <w:pPr>
        <w:pStyle w:val="Normal"/>
        <w:rPr/>
      </w:pPr>
      <w:r>
        <w:rPr>
          <w:b/>
          <w:bCs/>
          <w:szCs w:val="24"/>
        </w:rPr>
        <w:t>Таблица 2.3 Требования к продукции</w:t>
      </w:r>
      <w:r>
        <w:rPr>
          <w:szCs w:val="24"/>
        </w:rPr>
        <w:t>……………………...………………………....</w:t>
        <w:tab/>
        <w:t>5</w:t>
      </w:r>
    </w:p>
    <w:p>
      <w:pPr>
        <w:pStyle w:val="Normal"/>
        <w:rPr/>
      </w:pPr>
      <w:r>
        <w:rPr>
          <w:b/>
          <w:bCs/>
          <w:szCs w:val="24"/>
        </w:rPr>
        <w:t>3. Требования к документации по ценообразованию</w:t>
      </w:r>
      <w:r>
        <w:rPr>
          <w:b/>
          <w:bCs/>
        </w:rPr>
        <w:t xml:space="preserve"> </w:t>
      </w:r>
      <w:r>
        <w:rPr>
          <w:b/>
          <w:bCs/>
          <w:szCs w:val="24"/>
        </w:rPr>
        <w:t>на этапе закупки</w:t>
      </w:r>
      <w:r>
        <w:rPr>
          <w:szCs w:val="24"/>
        </w:rPr>
        <w:tab/>
        <w:t>..….....</w:t>
        <w:tab/>
        <w:t>7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  <w:r>
        <w:br w:type="page"/>
      </w:r>
    </w:p>
    <w:p>
      <w:pPr>
        <w:pStyle w:val="Heading4"/>
        <w:numPr>
          <w:ilvl w:val="0"/>
          <w:numId w:val="6"/>
        </w:numPr>
        <w:tabs>
          <w:tab w:val="clear" w:pos="709"/>
          <w:tab w:val="left" w:pos="0" w:leader="none"/>
        </w:tabs>
        <w:ind w:left="426" w:hanging="360"/>
        <w:jc w:val="center"/>
        <w:rPr>
          <w:color w:val="000000"/>
        </w:rPr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</w:rPr>
      </w:pPr>
      <w:r>
        <w:rPr>
          <w:color w:val="000000"/>
        </w:rPr>
      </w:r>
    </w:p>
    <w:p>
      <w:pPr>
        <w:pStyle w:val="Heading4"/>
        <w:numPr>
          <w:ilvl w:val="1"/>
          <w:numId w:val="7"/>
        </w:numPr>
        <w:ind w:left="0" w:firstLine="709"/>
        <w:rPr>
          <w:color w:val="000000"/>
        </w:rPr>
      </w:pPr>
      <w:bookmarkStart w:id="0" w:name="_Toc46743506"/>
      <w:bookmarkStart w:id="1" w:name="_Toc75446568"/>
      <w:bookmarkStart w:id="2" w:name="_Toc75446569"/>
      <w:bookmarkEnd w:id="2"/>
      <w:r>
        <w:rPr>
          <w:color w:val="000000"/>
        </w:rPr>
        <w:t>Наименование закупаемой продукции</w:t>
      </w:r>
      <w:bookmarkEnd w:id="0"/>
      <w:bookmarkEnd w:id="1"/>
    </w:p>
    <w:p>
      <w:pPr>
        <w:pStyle w:val="Heading4"/>
        <w:jc w:val="both"/>
        <w:rPr/>
      </w:pPr>
      <w:r>
        <w:rPr>
          <w:rStyle w:val="Style"/>
          <w:rFonts w:eastAsia="Times New Roman"/>
          <w:b w:val="false"/>
          <w:bCs w:val="false"/>
          <w:i w:val="false"/>
          <w:iCs w:val="false"/>
          <w:color w:val="000000"/>
          <w:spacing w:val="-6"/>
          <w:shd w:fill="auto" w:val="clear"/>
          <w:lang w:val="ru-RU" w:eastAsia="en-US"/>
        </w:rPr>
        <w:t>ОКПД2 42.99.19.142</w:t>
      </w:r>
      <w:r>
        <w:rPr>
          <w:rStyle w:val="Style"/>
          <w:b w:val="false"/>
          <w:bCs w:val="false"/>
          <w:i w:val="false"/>
          <w:iCs w:val="false"/>
          <w:color w:val="000000"/>
          <w:sz w:val="26"/>
          <w:szCs w:val="26"/>
          <w:shd w:fill="FFFFFF" w:val="clear"/>
          <w:lang w:val="ru-RU"/>
        </w:rPr>
        <w:t xml:space="preserve"> </w:t>
      </w:r>
      <w:r>
        <w:rPr>
          <w:rStyle w:val="Style"/>
          <w:b w:val="false"/>
          <w:bCs w:val="false"/>
          <w:i w:val="false"/>
          <w:iCs w:val="false"/>
          <w:shd w:fill="FFFFFF" w:val="clear"/>
          <w:lang w:val="ru-RU"/>
        </w:rPr>
        <w:t xml:space="preserve">Поставка </w:t>
      </w:r>
      <w:r>
        <w:rPr>
          <w:rStyle w:val="Style"/>
          <w:b w:val="false"/>
          <w:bCs w:val="false"/>
          <w:i w:val="false"/>
          <w:iCs w:val="false"/>
          <w:color w:val="000000"/>
          <w:shd w:fill="FFFFFF" w:val="clear"/>
          <w:lang w:val="ru-RU"/>
        </w:rPr>
        <w:t xml:space="preserve">предупредительного инженерного ограждения </w:t>
      </w:r>
      <w:r>
        <w:rPr>
          <w:rStyle w:val="Style"/>
          <w:b w:val="false"/>
          <w:bCs w:val="false"/>
          <w:i w:val="false"/>
          <w:iCs w:val="false"/>
          <w:shd w:fill="FFFFFF" w:val="clear"/>
          <w:lang w:val="ru-RU"/>
        </w:rPr>
        <w:t>для Новосибирской ГЭС (далее – продукция).</w:t>
      </w:r>
    </w:p>
    <w:p>
      <w:pPr>
        <w:pStyle w:val="Normal"/>
        <w:ind w:firstLine="419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Heading4"/>
        <w:numPr>
          <w:ilvl w:val="1"/>
          <w:numId w:val="7"/>
        </w:numPr>
        <w:ind w:left="0" w:firstLine="709"/>
        <w:rPr>
          <w:color w:val="000000"/>
        </w:rPr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jc w:val="both"/>
        <w:rPr/>
      </w:pPr>
      <w:r>
        <w:rPr>
          <w:rStyle w:val="Style"/>
          <w:b w:val="false"/>
          <w:bCs w:val="false"/>
          <w:i w:val="false"/>
          <w:shd w:fill="FFFFFF" w:val="clear"/>
          <w:lang w:val="ru-RU"/>
        </w:rPr>
        <w:t xml:space="preserve">Исполнение обязательств в соответствии с письмом исх.№93-11-732 от 19.06.2026 от Филиала ПАО «РусГидро»-«Новосибирская ГЭС» и договором №2-РЕМ-2026 от 08.05.2026 «Текущий ремонт зданий и сооружений Новосибирской ГЭС», </w:t>
      </w:r>
      <w:r>
        <w:rPr>
          <w:rStyle w:val="Style"/>
          <w:rFonts w:eastAsia="Times New Roman" w:cs="Times New Roman"/>
          <w:b w:val="false"/>
          <w:bCs/>
          <w:i w:val="false"/>
          <w:iCs w:val="false"/>
          <w:color w:val="000000"/>
          <w:sz w:val="24"/>
          <w:szCs w:val="24"/>
          <w:shd w:fill="auto" w:val="clear"/>
          <w:lang w:val="en-US" w:eastAsia="ru-RU"/>
        </w:rPr>
        <w:t xml:space="preserve">заключенный между АО «Гидроремонт-ВКК» и </w:t>
      </w:r>
      <w:r>
        <w:rPr>
          <w:rStyle w:val="Style"/>
          <w:rFonts w:eastAsia="Times New Roman" w:cs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en-US" w:eastAsia="ru-RU"/>
        </w:rPr>
        <w:t>Филиала ПАО «РусГидро»-«Новосибирская ГЭС</w:t>
      </w:r>
      <w:r>
        <w:rPr>
          <w:rStyle w:val="Style"/>
          <w:b w:val="false"/>
          <w:bCs w:val="false"/>
          <w:i w:val="false"/>
          <w:shd w:fill="FFFFFF" w:val="clear"/>
          <w:lang w:val="ru-RU"/>
        </w:rPr>
        <w:t>.</w:t>
      </w:r>
    </w:p>
    <w:p>
      <w:pPr>
        <w:pStyle w:val="Normal"/>
        <w:ind w:firstLine="454"/>
        <w:rPr>
          <w:color w:val="000000"/>
        </w:rPr>
      </w:pPr>
      <w:r>
        <w:rPr>
          <w:color w:val="000000"/>
        </w:rPr>
      </w:r>
    </w:p>
    <w:p>
      <w:pPr>
        <w:pStyle w:val="Heading1"/>
        <w:numPr>
          <w:ilvl w:val="0"/>
          <w:numId w:val="6"/>
        </w:numPr>
        <w:tabs>
          <w:tab w:val="clear" w:pos="0"/>
          <w:tab w:val="clear" w:pos="709"/>
        </w:tabs>
        <w:ind w:left="426" w:hanging="360"/>
        <w:jc w:val="center"/>
        <w:rPr>
          <w:caps/>
          <w:color w:val="000000"/>
          <w:sz w:val="24"/>
          <w:lang w:val="ru-RU"/>
        </w:rPr>
      </w:pPr>
      <w:bookmarkStart w:id="5" w:name="_Toc51339693"/>
      <w:bookmarkStart w:id="6" w:name="_Toc75446573"/>
      <w:r>
        <w:rPr>
          <w:color w:val="000000"/>
          <w:sz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lang w:eastAsia="x-none"/>
        </w:rPr>
      </w:pPr>
      <w:r>
        <w:rPr>
          <w:rFonts w:cs="Times New Roman"/>
          <w:color w:val="000000"/>
          <w:lang w:eastAsia="x-none"/>
        </w:rPr>
      </w:r>
    </w:p>
    <w:p>
      <w:pPr>
        <w:pStyle w:val="Heading4"/>
        <w:numPr>
          <w:ilvl w:val="1"/>
          <w:numId w:val="6"/>
        </w:numPr>
        <w:tabs>
          <w:tab w:val="clear" w:pos="0"/>
          <w:tab w:val="left" w:pos="709" w:leader="none"/>
        </w:tabs>
        <w:ind w:left="1134" w:hanging="360"/>
        <w:rPr>
          <w:color w:val="000000"/>
        </w:rPr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>
          <w:color w:val="000000"/>
        </w:rPr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rPr>
          <w:rFonts w:cs="Times New Roman"/>
          <w:color w:val="000000"/>
          <w:lang w:val="x-none" w:eastAsia="x-none"/>
        </w:rPr>
      </w:pPr>
      <w:r>
        <w:rPr>
          <w:rFonts w:cs="Times New Roman"/>
          <w:color w:val="000000"/>
          <w:lang w:val="x-none" w:eastAsia="x-none"/>
        </w:rPr>
      </w:r>
    </w:p>
    <w:p>
      <w:pPr>
        <w:pStyle w:val="Normal"/>
        <w:jc w:val="both"/>
        <w:rPr>
          <w:rFonts w:cs="Times New Roman"/>
          <w:color w:val="000000"/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1.1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102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987"/>
        <w:gridCol w:w="6640"/>
        <w:gridCol w:w="1477"/>
        <w:gridCol w:w="1131"/>
      </w:tblGrid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Кол-во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Панель ограждения П-P3D.3000.2230.150.50.5.5.RAL, RAL-7040 (Темно Серый), Панель ограждения изготовлена из стального горячеоцинкованного прутка диаметром 5мм, с полимерным покрытием 5,2мм Размер панели 3000х2230мм, размер ячейки 50х150мм, 4 ребра жесткости длиной 100мм и высотой 43мм. Высота ограждения 2.3 м. 4-х слойное нанокерамическое полимерное покрытие. 10-ти стадийное окрашивание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шт.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67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Панель ограждения П-P3D.2500.2230.150.50.5.5.RAL, RAL-7040 (Темно Серый), Панель ограждения изготовлена из стального горячеоцинкованного прутка диаметром 5мм, с полимерным покрытием 5,2мм Размер панели 2500х2230мм, размер ячейки 50х150мм, 4 ребра жесткости длиной 100мм и высотой 43мм. Высота ограждения 2.3 м. 4-х слойное нанокерамическое полимерное покрытие. 10-ти стадийное окрашивание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шт.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Столб ограждения СОПФ.2300.80.80.20.RAL Комплект, RAL-7040 (Темно Серый), Столб профилированный без применения сварки, оцинкованный, с замковым соединением seam-lock и шовным clinch-соединением глубиной 1,1 мм и шагом 12 мм, с приваренным фланцем. Сечение 80х80, толщина стенки 2 мм, длина 2300 мм, в комплекте заглушка пластиковая. Фланец 160*160*6 мм. На высоту ограждения 2,3 м.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 подготовки поверхности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компл.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79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Набор комплектов планки прижимной ПП.40.30.RAL(М6) (на столб 80) (24 шт.), RAL-7040 (Темно Серый), в набор входит 24 шт. комплектов планки прижимной размером 47*38 мм, из оцинкованной стали толщиной 3 мм для столбов сечением 80х80 мм., с комплектами метизов М6.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 подготовки поверхности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компл.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  <w:lang w:val="en-US"/>
              </w:rPr>
              <w:t>14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Ворота распашные ВР.210.500.150.55.P3D.Н, RAL-7040 (Темно Серый), в состав ворот входят: столбы из профильной электросварной трубы с цинковым покрытием, сечением 80*80*3 мм, длиной 2100 мм с фланцем 160*160*6 мм – 2 шт, створки из профилированной оцинкованной трубы без применения сварки 60х40х1,4 мм с заполнением из сетчатой панели P3D - 2шт, регулируемые петли - 4 шт., проушины для навесного замка, упоры в землю, открывание наружу. Ширина проема 5020 мм. Высота ворот 2,1 м.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 подготовки поверхности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компл.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Калитка распашная КР.210.100.150.55.P3D.Пр. (столб 80х80 с фл.), RAL-7040 (Темно Серый), в состав калитки входят: столбы из профилированной оцинкованной трубы без применения сварки сечением 80*80*2 мм, длиной 2100 мм, с фланцем 160*160*6 мм – 2 шт., створка из профилированной оцинкованной трубы без применения сварки 60х40х1,4 мм с заполнением из сетчатой панели P3D - 1 шт., регулируемые петли с открыванием на 180° - 2 шт., врезной замок с комплектом ключей - 1 шт., ручка на планке - 1 комплект. Открывание правое (вид снаружи). Ширина проема 1030 мм. Высота калитки 2,1 м.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 подготовки поверхности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компл.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Свая многовитковая ТК 76(3,5)/1500 с фланцем 210(6) (Грунт)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74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Панель ограждения, П-P3D.3000.2230.150.50.5.5.RAL (RAL-6005 (зеленый)), Панель ограждения изготовлена из стального горячеоцинкованного прутка диаметром 5мм, с полимерным покрытием 5,2мм Размер панели 3000х2230мм, размер ячейки 50х150мм, 4 ребра жесткости длиной 100мм и высотой 43мм. Высота ограждения 2.3 м.</w:t>
              <w:br/>
              <w:t>4-х слойное нанокерамическое полимерное покрытие. 10-ти стадийное окрашивание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55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Столб ограждения СОПФ.2300.80.80.20.RAL Комплект (RAL-6005 (зеленый)), столб профилированный без применения сварки, оцинкованный, с замковым соединением seam-lock и шовным clinch-соединением глубиной 1,1 мм и шагом 12 мм, с приваренным фланцем. Сечение 80х80, толщина стенки 2 мм, длина 2300 мм, в комплекте заглушка пластиковая. Фланец 160*160*6 мм. На высоту ограждения 2,3 м.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</w:t>
              <w:br/>
              <w:t>покрытия с применением технологии подготовки</w:t>
              <w:br/>
              <w:t>поверхности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56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Набор комплектов планки прижимной ПП.40.30.RAL(М6) (на столб 80)(24 шт) (RAL-6005 (зеленый), в набор входит 24 шт. комплектов планки прижимной размером 47*38 мм, из оцинкованной</w:t>
              <w:br/>
              <w:t>стали толщиной 3 мм для столбов сечением 80х80 мм, с комплектами метизов М6. 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</w:t>
              <w:br/>
              <w:t>подготовки поверхности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Свая многовитковая ТК 76(3,5)/1500 с фланцем 210(6), (Грунт)</w:t>
            </w:r>
          </w:p>
        </w:tc>
        <w:tc>
          <w:tcPr>
            <w:tcW w:w="1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64</w:t>
            </w:r>
          </w:p>
        </w:tc>
      </w:tr>
      <w:tr>
        <w:trPr>
          <w:trHeight w:val="2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</w:tabs>
              <w:ind w:left="30" w:right="18" w:hanging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6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Ворота распашные ВР.230.500.150.55.P3D.Н, (RAL-6005 (зеленый)), в состав ворот входят: столбы из профильной электросварной трубы с цинковым покрытием, сечением 100*100*3 мм, длиной 2300 мм с фланцем 200*200*8 мм - 2 шт, створки из профилированной оцинкованной трубы без применения сварки 60х40х1,4 мм с заполнением из сетчатой панели P3D - 2шт, регулируемые петли - 4 шт., проушины для навесного замка, упоры в землю, открывание наружу. Ширина проема 5020 мм. Высота ворот 2,3 м. 2-х слойное дополнительное защитное</w:t>
              <w:br/>
              <w:t>покрытие (конверсионное нанокерамическое покрытие на основе циркония и полиэфирное полимерное покрытие порошковой краской). 10-ти стадийная технология покрытия с применением технологии подготовки</w:t>
              <w:br/>
              <w:t>поверхности</w:t>
            </w:r>
          </w:p>
        </w:tc>
        <w:tc>
          <w:tcPr>
            <w:tcW w:w="14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шт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</w:t>
            </w:r>
          </w:p>
        </w:tc>
      </w:tr>
    </w:tbl>
    <w:p>
      <w:pPr>
        <w:pStyle w:val="Normal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Heading3"/>
        <w:numPr>
          <w:ilvl w:val="2"/>
          <w:numId w:val="6"/>
        </w:numPr>
        <w:tabs>
          <w:tab w:val="clear" w:pos="0"/>
          <w:tab w:val="left" w:pos="709" w:leader="none"/>
        </w:tabs>
        <w:ind w:left="0" w:firstLine="709"/>
        <w:rPr>
          <w:color w:val="000000"/>
        </w:rPr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rPr>
          <w:rFonts w:cs="Times New Roman"/>
          <w:color w:val="000000"/>
          <w:lang w:val="x-none" w:eastAsia="x-none"/>
        </w:rPr>
      </w:pPr>
      <w:r>
        <w:rPr>
          <w:rFonts w:cs="Times New Roman"/>
          <w:color w:val="000000"/>
          <w:lang w:val="x-none" w:eastAsia="x-none"/>
        </w:rPr>
      </w:r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bookmarkStart w:id="13" w:name="_Toc75446579"/>
      <w:bookmarkStart w:id="14" w:name="_Toc51339697"/>
      <w:bookmarkStart w:id="15" w:name="_Toc50125127"/>
      <w:r>
        <w:rPr>
          <w:rFonts w:cs="Times New Roman"/>
          <w:color w:val="000000"/>
          <w:szCs w:val="24"/>
          <w:lang w:eastAsia="x-none"/>
        </w:rPr>
        <w:t xml:space="preserve">Таблица 2.1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738" w:type="dxa"/>
        <w:jc w:val="left"/>
        <w:tblInd w:w="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84"/>
        <w:gridCol w:w="3624"/>
        <w:gridCol w:w="2664"/>
        <w:gridCol w:w="2665"/>
      </w:tblGrid>
      <w:tr>
        <w:trPr/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>
        <w:trPr>
          <w:trHeight w:val="1124" w:hRule="atLeast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70" w:hanging="0"/>
              <w:jc w:val="center"/>
              <w:rPr/>
            </w:pPr>
            <w:r>
              <w:rPr>
                <w:color w:val="000000"/>
              </w:rPr>
              <w:t>1.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00" w:leader="none"/>
              </w:tabs>
              <w:spacing w:lineRule="auto" w:line="276"/>
              <w:jc w:val="center"/>
              <w:outlineLvl w:val="0"/>
              <w:rPr/>
            </w:pPr>
            <w:r>
              <w:rPr>
                <w:rStyle w:val="Style"/>
                <w:rFonts w:eastAsia="Times New Roman" w:cs="Times New Roman"/>
                <w:b w:val="false"/>
                <w:bCs/>
                <w:i w:val="false"/>
                <w:color w:val="000000"/>
                <w:spacing w:val="-6"/>
                <w:szCs w:val="24"/>
                <w:shd w:fill="auto" w:val="clear"/>
              </w:rPr>
              <w:t>ОКПД2 42.99.19.142</w:t>
            </w:r>
            <w:r>
              <w:rPr>
                <w:rStyle w:val="Style"/>
                <w:rFonts w:cs="Times New Roman"/>
                <w:b w:val="false"/>
                <w:i w:val="false"/>
                <w:color w:val="000000"/>
                <w:sz w:val="26"/>
                <w:szCs w:val="26"/>
                <w:shd w:fill="FFFFFF" w:val="clear"/>
              </w:rPr>
              <w:t xml:space="preserve"> </w:t>
            </w:r>
            <w:r>
              <w:rPr>
                <w:rStyle w:val="Style"/>
                <w:b w:val="false"/>
                <w:i w:val="false"/>
                <w:shd w:fill="FFFFFF" w:val="clear"/>
              </w:rPr>
              <w:t xml:space="preserve">Поставка </w:t>
            </w:r>
            <w:r>
              <w:rPr>
                <w:rStyle w:val="Style"/>
                <w:rFonts w:cs="Times New Roman"/>
                <w:b w:val="false"/>
                <w:i w:val="false"/>
                <w:color w:val="000000"/>
                <w:szCs w:val="24"/>
                <w:shd w:fill="FFFFFF" w:val="clear"/>
              </w:rPr>
              <w:t>предупредительного</w:t>
            </w:r>
            <w:r>
              <w:rPr>
                <w:rStyle w:val="Style"/>
                <w:b w:val="false"/>
                <w:i w:val="false"/>
                <w:color w:val="000000"/>
                <w:shd w:fill="FFFFFF" w:val="clear"/>
              </w:rPr>
              <w:t xml:space="preserve"> инженерного </w:t>
            </w:r>
            <w:r>
              <w:rPr>
                <w:rStyle w:val="Style"/>
                <w:rFonts w:cs="Times New Roman"/>
                <w:b w:val="false"/>
                <w:i w:val="false"/>
                <w:color w:val="000000"/>
                <w:szCs w:val="24"/>
                <w:shd w:fill="FFFFFF" w:val="clear"/>
              </w:rPr>
              <w:t>ограждения</w:t>
            </w:r>
            <w:r>
              <w:rPr>
                <w:rStyle w:val="Style"/>
                <w:b w:val="false"/>
                <w:i w:val="false"/>
                <w:color w:val="000000"/>
                <w:shd w:fill="FFFFFF" w:val="clear"/>
              </w:rPr>
              <w:t xml:space="preserve"> </w:t>
            </w:r>
            <w:r>
              <w:rPr>
                <w:rStyle w:val="Style"/>
                <w:b w:val="false"/>
                <w:i w:val="false"/>
                <w:shd w:fill="FFFFFF" w:val="clear"/>
              </w:rPr>
              <w:t>для Новосибирской ГЭС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подписания договора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Cs w:val="24"/>
              </w:rPr>
              <w:t xml:space="preserve">В </w:t>
            </w:r>
            <w:r>
              <w:rPr>
                <w:rFonts w:cs="Times New Roman"/>
                <w:color w:val="000000"/>
                <w:szCs w:val="24"/>
                <w:shd w:fill="auto" w:val="clear"/>
              </w:rPr>
              <w:t xml:space="preserve">течение </w:t>
            </w:r>
            <w:r>
              <w:rPr>
                <w:rFonts w:cs="Times New Roman"/>
                <w:color w:val="000000"/>
                <w:szCs w:val="24"/>
                <w:shd w:fill="auto" w:val="clear"/>
              </w:rPr>
              <w:t>3</w:t>
            </w:r>
            <w:r>
              <w:rPr>
                <w:rFonts w:cs="Times New Roman"/>
                <w:color w:val="000000"/>
                <w:szCs w:val="24"/>
                <w:shd w:fill="auto" w:val="clear"/>
              </w:rPr>
              <w:t>0</w:t>
            </w:r>
            <w:r>
              <w:rPr>
                <w:rFonts w:cs="Times New Roman"/>
                <w:color w:val="000000"/>
                <w:szCs w:val="24"/>
                <w:shd w:fill="FFFF00" w:val="clear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35" w:right="851" w:gutter="0" w:header="0" w:top="709" w:footer="304" w:bottom="51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cs="Times New Roman"/>
          <w:color w:val="000000"/>
          <w:szCs w:val="24"/>
          <w:lang w:eastAsia="x-none"/>
        </w:rPr>
      </w:pPr>
      <w:bookmarkStart w:id="17" w:name="_Toc75446582"/>
      <w:r>
        <w:rPr>
          <w:rFonts w:cs="Times New Roman"/>
          <w:color w:val="000000"/>
          <w:szCs w:val="24"/>
          <w:lang w:eastAsia="x-none"/>
        </w:rPr>
        <w:t>Таблица 3. Требования к продукции</w:t>
      </w:r>
      <w:bookmarkEnd w:id="17"/>
    </w:p>
    <w:tbl>
      <w:tblPr>
        <w:tblW w:w="14619" w:type="dxa"/>
        <w:jc w:val="left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5"/>
        <w:gridCol w:w="2320"/>
        <w:gridCol w:w="2203"/>
        <w:gridCol w:w="3567"/>
        <w:gridCol w:w="5733"/>
      </w:tblGrid>
      <w:tr>
        <w:trPr>
          <w:trHeight w:val="424" w:hRule="atLeast"/>
        </w:trPr>
        <w:tc>
          <w:tcPr>
            <w:tcW w:w="14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textAlignment w:val="baseline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Наименование продукции (позиции № 1.1-1.12 (Таблицы 1.1): </w:t>
            </w:r>
            <w:r>
              <w:rPr>
                <w:rStyle w:val="Style"/>
                <w:rFonts w:eastAsia="Times New Roman" w:cs="Times New Roman"/>
                <w:bCs/>
                <w:i w:val="false"/>
                <w:color w:val="000000"/>
                <w:spacing w:val="-6"/>
                <w:sz w:val="22"/>
                <w:shd w:fill="auto" w:val="clear"/>
              </w:rPr>
              <w:t>ОКПД2 42.99.19.142</w:t>
            </w:r>
            <w:r>
              <w:rPr>
                <w:rStyle w:val="Style"/>
                <w:rFonts w:eastAsia="Times New Roman" w:cs="Times New Roman"/>
                <w:bCs/>
                <w:i w:val="false"/>
                <w:color w:val="000000"/>
                <w:sz w:val="22"/>
                <w:shd w:fill="FFFFFF" w:val="clear"/>
              </w:rPr>
              <w:t xml:space="preserve"> Поставка предупредительного инженерного ограждения для Новосибирской ГЭС</w:t>
            </w:r>
          </w:p>
        </w:tc>
      </w:tr>
      <w:tr>
        <w:trPr>
          <w:trHeight w:val="54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№ </w:t>
            </w: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продукции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Требование заказчика</w:t>
            </w:r>
          </w:p>
        </w:tc>
      </w:tr>
      <w:tr>
        <w:trPr>
          <w:trHeight w:val="273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</w:tr>
      <w:tr>
        <w:trPr>
          <w:trHeight w:val="26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1.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126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  <w:lang w:val="en-US"/>
              </w:rPr>
              <w:t>1.1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Панель ограждения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П-P3D.3000.2230.150.50.5.5.RAL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Материал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С</w:t>
            </w:r>
            <w:r>
              <w:rPr>
                <w:rFonts w:cs="Calibri"/>
                <w:color w:val="000000"/>
                <w:sz w:val="22"/>
              </w:rPr>
              <w:t>тальной горячеоцинкованный пруток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Диаметр прутка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 мм. (с полимерным покрытием 5,2 мм.)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 панели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3000х2230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</w:t>
            </w:r>
            <w:r>
              <w:rPr>
                <w:rFonts w:cs="Calibri"/>
                <w:color w:val="000000"/>
                <w:sz w:val="22"/>
              </w:rPr>
              <w:t xml:space="preserve">азмер ячейки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50х150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Кол-во </w:t>
            </w:r>
            <w:r>
              <w:rPr>
                <w:rFonts w:cs="Calibri"/>
                <w:color w:val="000000"/>
                <w:sz w:val="22"/>
              </w:rPr>
              <w:t>реб</w:t>
            </w:r>
            <w:r>
              <w:rPr>
                <w:rFonts w:cs="Calibri"/>
                <w:color w:val="000000"/>
                <w:sz w:val="22"/>
                <w:lang w:val="en-US"/>
              </w:rPr>
              <w:t>е</w:t>
            </w:r>
            <w:r>
              <w:rPr>
                <w:rFonts w:cs="Calibri"/>
                <w:color w:val="000000"/>
                <w:sz w:val="22"/>
              </w:rPr>
              <w:t xml:space="preserve">р жесткости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</w:tr>
      <w:tr>
        <w:trPr>
          <w:trHeight w:val="137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Размеры </w:t>
            </w:r>
            <w:r>
              <w:rPr>
                <w:rFonts w:cs="Calibri"/>
                <w:color w:val="000000"/>
                <w:sz w:val="22"/>
              </w:rPr>
              <w:t>реб</w:t>
            </w:r>
            <w:r>
              <w:rPr>
                <w:rFonts w:cs="Calibri"/>
                <w:color w:val="000000"/>
                <w:sz w:val="22"/>
                <w:lang w:val="en-US"/>
              </w:rPr>
              <w:t>е</w:t>
            </w:r>
            <w:r>
              <w:rPr>
                <w:rFonts w:cs="Calibri"/>
                <w:color w:val="000000"/>
                <w:sz w:val="22"/>
              </w:rPr>
              <w:t>р жесткости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Длина 100 мм. </w:t>
            </w:r>
          </w:p>
        </w:tc>
      </w:tr>
      <w:tr>
        <w:trPr>
          <w:trHeight w:val="137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В</w:t>
            </w:r>
            <w:r>
              <w:rPr>
                <w:rFonts w:cs="Calibri"/>
                <w:color w:val="000000"/>
                <w:sz w:val="22"/>
              </w:rPr>
              <w:t>ысот</w:t>
            </w:r>
            <w:r>
              <w:rPr>
                <w:rFonts w:cs="Calibri"/>
                <w:color w:val="000000"/>
                <w:sz w:val="22"/>
                <w:lang w:val="en-US"/>
              </w:rPr>
              <w:t>а</w:t>
            </w:r>
            <w:r>
              <w:rPr>
                <w:rFonts w:cs="Calibri"/>
                <w:color w:val="000000"/>
                <w:sz w:val="22"/>
              </w:rPr>
              <w:t xml:space="preserve"> 43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мм.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Высота ограждения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2,3 м.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</w:t>
            </w:r>
            <w:r>
              <w:rPr>
                <w:rFonts w:cs="Calibri"/>
                <w:color w:val="000000"/>
                <w:sz w:val="22"/>
              </w:rPr>
              <w:t>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Четыре</w:t>
            </w:r>
            <w:r>
              <w:rPr>
                <w:rFonts w:cs="Calibri"/>
                <w:color w:val="000000"/>
                <w:sz w:val="22"/>
              </w:rPr>
              <w:t xml:space="preserve">х слойное нанокерамическое полимерное </w:t>
            </w:r>
          </w:p>
        </w:tc>
      </w:tr>
      <w:tr>
        <w:trPr>
          <w:trHeight w:val="125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</w:t>
            </w:r>
            <w:r>
              <w:rPr>
                <w:rFonts w:cs="Calibri"/>
                <w:color w:val="000000"/>
                <w:sz w:val="22"/>
              </w:rPr>
              <w:t>крашивание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Д</w:t>
            </w:r>
            <w:r>
              <w:rPr>
                <w:rFonts w:cs="Calibri"/>
                <w:color w:val="000000"/>
                <w:sz w:val="22"/>
              </w:rPr>
              <w:t xml:space="preserve">есятистадийное </w:t>
            </w:r>
          </w:p>
        </w:tc>
      </w:tr>
      <w:tr>
        <w:trPr>
          <w:trHeight w:val="101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Панель ограждения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П-P3D.2500.2230.150.50.5.5.RAL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Материал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С</w:t>
            </w:r>
            <w:r>
              <w:rPr>
                <w:rFonts w:cs="Calibri"/>
                <w:color w:val="000000"/>
                <w:sz w:val="22"/>
              </w:rPr>
              <w:t>тальной горячеоцинкованный пруток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Диаметр прутка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 мм. (с полимерным покрытием 5,2 мм.)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 панели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3000х2230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</w:t>
            </w:r>
            <w:r>
              <w:rPr>
                <w:rFonts w:cs="Calibri"/>
                <w:color w:val="000000"/>
                <w:sz w:val="22"/>
              </w:rPr>
              <w:t xml:space="preserve">азмер ячейки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50х150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Кол-во </w:t>
            </w:r>
            <w:r>
              <w:rPr>
                <w:rFonts w:cs="Calibri"/>
                <w:color w:val="000000"/>
                <w:sz w:val="22"/>
              </w:rPr>
              <w:t>реб</w:t>
            </w:r>
            <w:r>
              <w:rPr>
                <w:rFonts w:cs="Calibri"/>
                <w:color w:val="000000"/>
                <w:sz w:val="22"/>
                <w:lang w:val="en-US"/>
              </w:rPr>
              <w:t>е</w:t>
            </w:r>
            <w:r>
              <w:rPr>
                <w:rFonts w:cs="Calibri"/>
                <w:color w:val="000000"/>
                <w:sz w:val="22"/>
              </w:rPr>
              <w:t xml:space="preserve">р жесткости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Размеры </w:t>
            </w:r>
            <w:r>
              <w:rPr>
                <w:rFonts w:cs="Calibri"/>
                <w:color w:val="000000"/>
                <w:sz w:val="22"/>
              </w:rPr>
              <w:t>реб</w:t>
            </w:r>
            <w:r>
              <w:rPr>
                <w:rFonts w:cs="Calibri"/>
                <w:color w:val="000000"/>
                <w:sz w:val="22"/>
                <w:lang w:val="en-US"/>
              </w:rPr>
              <w:t>е</w:t>
            </w:r>
            <w:r>
              <w:rPr>
                <w:rFonts w:cs="Calibri"/>
                <w:color w:val="000000"/>
                <w:sz w:val="22"/>
              </w:rPr>
              <w:t>р жесткости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Длина 100 мм.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В</w:t>
            </w:r>
            <w:r>
              <w:rPr>
                <w:rFonts w:cs="Calibri"/>
                <w:color w:val="000000"/>
                <w:sz w:val="22"/>
              </w:rPr>
              <w:t>ысот</w:t>
            </w:r>
            <w:r>
              <w:rPr>
                <w:rFonts w:cs="Calibri"/>
                <w:color w:val="000000"/>
                <w:sz w:val="22"/>
                <w:lang w:val="en-US"/>
              </w:rPr>
              <w:t>а</w:t>
            </w:r>
            <w:r>
              <w:rPr>
                <w:rFonts w:cs="Calibri"/>
                <w:color w:val="000000"/>
                <w:sz w:val="22"/>
              </w:rPr>
              <w:t xml:space="preserve"> 43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мм.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Высота ограждения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2,3 м.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</w:t>
            </w:r>
            <w:r>
              <w:rPr>
                <w:rFonts w:cs="Calibri"/>
                <w:color w:val="000000"/>
                <w:sz w:val="22"/>
              </w:rPr>
              <w:t>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Четыре</w:t>
            </w:r>
            <w:r>
              <w:rPr>
                <w:rFonts w:cs="Calibri"/>
                <w:color w:val="000000"/>
                <w:sz w:val="22"/>
              </w:rPr>
              <w:t xml:space="preserve">х слойное нанокерамическое полимерное </w:t>
            </w:r>
          </w:p>
        </w:tc>
      </w:tr>
      <w:tr>
        <w:trPr>
          <w:trHeight w:val="10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</w:t>
            </w:r>
            <w:r>
              <w:rPr>
                <w:rFonts w:cs="Calibri"/>
                <w:color w:val="000000"/>
                <w:sz w:val="22"/>
              </w:rPr>
              <w:t>крашивание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Десятистадийное 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Столб ограждения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СОПФ.2300.80.80.20.RAL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Описание столба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Профилированный без применения сварки, оцинкованный, с замковым соединением seam-lock и шовным clinch-соединением глубиной 1,1 мм. и шагом 12 мм., с приваренным фланцем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Сечение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80х80 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олщина стенки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мм.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Д</w:t>
            </w:r>
            <w:r>
              <w:rPr>
                <w:rFonts w:cs="Calibri"/>
                <w:color w:val="000000"/>
                <w:sz w:val="22"/>
              </w:rPr>
              <w:t>лина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2300 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В</w:t>
            </w:r>
            <w:r>
              <w:rPr>
                <w:rFonts w:cs="Calibri"/>
                <w:color w:val="000000"/>
                <w:sz w:val="22"/>
              </w:rPr>
              <w:t xml:space="preserve"> комплекте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заглушка пластиковая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Габариты ф</w:t>
            </w:r>
            <w:r>
              <w:rPr>
                <w:rFonts w:cs="Calibri"/>
                <w:color w:val="000000"/>
                <w:sz w:val="22"/>
              </w:rPr>
              <w:t>ланц</w:t>
            </w:r>
            <w:r>
              <w:rPr>
                <w:rFonts w:cs="Calibri"/>
                <w:color w:val="000000"/>
                <w:sz w:val="22"/>
                <w:lang w:val="en-US"/>
              </w:rPr>
              <w:t>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160*160*6 мм.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Двухслойное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</w:t>
            </w:r>
          </w:p>
        </w:tc>
      </w:tr>
      <w:tr>
        <w:trPr>
          <w:trHeight w:val="9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 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Десяти стадийная с применением технологии подготовки поверхности</w:t>
            </w:r>
          </w:p>
        </w:tc>
      </w:tr>
      <w:tr>
        <w:trPr>
          <w:trHeight w:val="72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Набор комплектов планки прижимной (на столб 80)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ПП.40.30.RAL(М6)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Количество комплектов планки прижимной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По 24 шт.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Ра</w:t>
            </w:r>
            <w:r>
              <w:rPr>
                <w:rFonts w:cs="Calibri"/>
                <w:color w:val="000000"/>
                <w:sz w:val="22"/>
              </w:rPr>
              <w:t>змер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планки прижимной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47*38 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Материал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Из оцинк. стали толщиной 3 мм. для столбов сечением 80х80 мм.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 комплекте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 оцинкованными метизами М6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Двух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</w:t>
            </w:r>
          </w:p>
        </w:tc>
      </w:tr>
      <w:tr>
        <w:trPr>
          <w:trHeight w:val="161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 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Десяти стадийная технология покрытия с применением технологии подготовки поверхности</w:t>
            </w:r>
          </w:p>
        </w:tc>
      </w:tr>
      <w:tr>
        <w:trPr>
          <w:trHeight w:val="122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Ворота распашные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ВР.210.500.150.55.P3D.Н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В составе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Столбы из профильной электросварной трубы с цинковым покрытием, сечением 80*80*3 мм., длиной 2100 мм. с фланцем 160*160*6 мм. – 2 шт.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Створки из профилированной оцинкованной трубы без применения сварки 60х40х1,4 мм. с заполнением из сетчатой панели P3D – 2 шт.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</w:t>
            </w:r>
            <w:r>
              <w:rPr>
                <w:rFonts w:cs="Calibri"/>
                <w:color w:val="000000"/>
                <w:sz w:val="22"/>
              </w:rPr>
              <w:t>егулируемые петли – 4 шт.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</w:t>
            </w:r>
            <w:r>
              <w:rPr>
                <w:rFonts w:cs="Calibri"/>
                <w:color w:val="000000"/>
                <w:sz w:val="22"/>
              </w:rPr>
              <w:t>роушины для навесного замка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У</w:t>
            </w:r>
            <w:r>
              <w:rPr>
                <w:rFonts w:cs="Calibri"/>
                <w:color w:val="000000"/>
                <w:sz w:val="22"/>
              </w:rPr>
              <w:t>поры в землю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</w:t>
            </w:r>
            <w:r>
              <w:rPr>
                <w:rFonts w:cs="Calibri"/>
                <w:color w:val="000000"/>
                <w:sz w:val="22"/>
              </w:rPr>
              <w:t xml:space="preserve">ткрывание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Н</w:t>
            </w:r>
            <w:r>
              <w:rPr>
                <w:rFonts w:cs="Calibri"/>
                <w:color w:val="000000"/>
                <w:sz w:val="22"/>
              </w:rPr>
              <w:t>аружу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Ширина проема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5020 мм.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Высота ворот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2,1 м.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Двух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</w:t>
            </w:r>
          </w:p>
        </w:tc>
      </w:tr>
      <w:tr>
        <w:trPr>
          <w:trHeight w:val="11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 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Десяти стадийная технология покрытия с применением технологии подготовки поверхности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Калитка распашная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КР.210.100.150.55.P3D.Пр.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RAL-7040 (Темно Серый)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Размеры столба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80х80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мм.</w:t>
            </w:r>
            <w:r>
              <w:rPr>
                <w:rFonts w:cs="Calibri"/>
                <w:color w:val="000000"/>
                <w:sz w:val="22"/>
              </w:rPr>
              <w:t xml:space="preserve"> с фл</w:t>
            </w:r>
            <w:r>
              <w:rPr>
                <w:rFonts w:cs="Calibri"/>
                <w:color w:val="000000"/>
                <w:sz w:val="22"/>
                <w:lang w:val="en-US"/>
              </w:rPr>
              <w:t>анцем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 состав калитки входят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Столбы из профилированной оцинкованной трубы без применения сварки сечением 80*80*2 мм, длиной 2100 мм, с фланцем 160*160*6 мм – 2 шт.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Створка из профилированной оцинкованной трубы без применения сварки 60х40х1,4 мм с заполнением из сетчатой панели P3D – 1 шт.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Регулируемые петли с открыванием на 180° – 2 шт.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Врезной замок с комплектом ключей – 1 шт.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</w:t>
            </w:r>
            <w:r>
              <w:rPr>
                <w:rFonts w:cs="Calibri"/>
                <w:color w:val="000000"/>
                <w:sz w:val="22"/>
              </w:rPr>
              <w:t>учка на планке - 1 комплект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Открывание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Правое (вид снаружи)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Ширина проема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1030 мм.</w:t>
            </w:r>
            <w:bookmarkStart w:id="18" w:name="_GoBack"/>
            <w:bookmarkEnd w:id="18"/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Высота калитки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2,1 м.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Двух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</w:t>
            </w:r>
          </w:p>
        </w:tc>
      </w:tr>
      <w:tr>
        <w:trPr>
          <w:trHeight w:val="22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Технология 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Десяти стадийная технология покрытия с применением технологии подготовки поверхности</w:t>
            </w:r>
          </w:p>
        </w:tc>
      </w:tr>
      <w:tr>
        <w:trPr>
          <w:trHeight w:val="98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Свая многовитковая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ТК</w:t>
            </w:r>
          </w:p>
        </w:tc>
      </w:tr>
      <w:tr>
        <w:trPr>
          <w:trHeight w:val="9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76(3,5)/1500 мм.</w:t>
            </w:r>
          </w:p>
        </w:tc>
      </w:tr>
      <w:tr>
        <w:trPr>
          <w:trHeight w:val="9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Фланец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210 (6)</w:t>
            </w:r>
          </w:p>
        </w:tc>
      </w:tr>
      <w:tr>
        <w:trPr>
          <w:trHeight w:val="96" w:hRule="atLeast"/>
        </w:trPr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Грунт</w:t>
            </w:r>
          </w:p>
        </w:tc>
      </w:tr>
      <w:tr>
        <w:trPr>
          <w:trHeight w:val="228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Панель ограждения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П-P3D.3000.2230.150.50.5.5.RAL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RAL-6005 (зеленый)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Материал прутка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Горячеоцинкованная сталь 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Диаметр прутка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5 мм.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Диаметр прутка с полимерным покрытием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5,2 мм.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 панели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3000х2230 мм.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 ячейки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50х150 мм.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Количество ребер жесткости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4</w:t>
            </w:r>
          </w:p>
        </w:tc>
      </w:tr>
      <w:tr>
        <w:trPr>
          <w:trHeight w:val="84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Размеры </w:t>
            </w:r>
            <w:r>
              <w:rPr>
                <w:rFonts w:cs="Calibri"/>
                <w:color w:val="000000"/>
                <w:sz w:val="22"/>
              </w:rPr>
              <w:t>реб</w:t>
            </w:r>
            <w:r>
              <w:rPr>
                <w:rFonts w:cs="Calibri"/>
                <w:color w:val="000000"/>
                <w:sz w:val="22"/>
                <w:lang w:val="en-US"/>
              </w:rPr>
              <w:t>е</w:t>
            </w:r>
            <w:r>
              <w:rPr>
                <w:rFonts w:cs="Calibri"/>
                <w:color w:val="000000"/>
                <w:sz w:val="22"/>
              </w:rPr>
              <w:t>р жесткости</w:t>
            </w:r>
            <w:r>
              <w:rPr>
                <w:rFonts w:cs="Calibri"/>
                <w:color w:val="000000"/>
                <w:szCs w:val="24"/>
              </w:rP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Cs w:val="24"/>
              </w:rPr>
              <w:t>Длина 100 мм.</w:t>
            </w:r>
          </w:p>
        </w:tc>
      </w:tr>
      <w:tr>
        <w:trPr>
          <w:trHeight w:val="84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Высота 43 мм.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Высота ограждения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2,3 м.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Полимерное 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4-х слойное нанокерамическое 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Окрашивание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10-ти стадийное </w:t>
            </w:r>
          </w:p>
        </w:tc>
      </w:tr>
      <w:tr>
        <w:trPr>
          <w:trHeight w:val="287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Столб ограждения</w:t>
            </w:r>
          </w:p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СОПФ.2300.80.80.20.RAL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RAL-6005 (зеленый)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Комплект столб</w:t>
            </w:r>
            <w:r>
              <w:rPr>
                <w:rFonts w:cs="Calibri"/>
                <w:color w:val="000000"/>
                <w:sz w:val="22"/>
                <w:lang w:val="en-US"/>
              </w:rPr>
              <w:t>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Профилированный без применения сварки, оцинкованный, с замковым соединением seam-lock и шовным clinch-соединением глубиной 1,1 мм и шагом 12 мм, с приваренным фланцем, заглушка пластиковая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 xml:space="preserve">Сечение </w:t>
            </w:r>
            <w:r>
              <w:rPr>
                <w:rFonts w:cs="Calibri"/>
                <w:color w:val="000000"/>
                <w:sz w:val="22"/>
                <w:lang w:val="en-US"/>
              </w:rPr>
              <w:t>столба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80х80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мм.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 xml:space="preserve">олщина стенки </w:t>
            </w:r>
            <w:r>
              <w:rPr>
                <w:rFonts w:cs="Calibri"/>
                <w:color w:val="000000"/>
                <w:sz w:val="22"/>
                <w:lang w:val="en-US"/>
              </w:rPr>
              <w:t>столба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2 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Д</w:t>
            </w:r>
            <w:r>
              <w:rPr>
                <w:rFonts w:cs="Calibri"/>
                <w:color w:val="000000"/>
                <w:sz w:val="22"/>
              </w:rPr>
              <w:t>лина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столба</w:t>
            </w:r>
            <w:r>
              <w:rPr>
                <w:rFonts w:cs="Calibri"/>
                <w:color w:val="000000"/>
                <w:sz w:val="22"/>
              </w:rPr>
              <w:t xml:space="preserve">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2300 мм</w:t>
            </w:r>
            <w:r>
              <w:rPr>
                <w:rFonts w:cs="Calibri"/>
                <w:color w:val="000000"/>
                <w:sz w:val="22"/>
                <w:lang w:val="en-US"/>
              </w:rPr>
              <w:t>.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Фланец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160х160х6 мм.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</w:t>
            </w:r>
          </w:p>
        </w:tc>
      </w:tr>
      <w:tr>
        <w:trPr>
          <w:trHeight w:val="284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10-ти стадийная с применением технологии подготовки поверхности</w:t>
            </w:r>
          </w:p>
        </w:tc>
      </w:tr>
      <w:tr>
        <w:trPr>
          <w:trHeight w:val="227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1.10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Набор комплектов планки прижимной </w:t>
            </w:r>
          </w:p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(на столб 80)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ПП.40.30.RAL(М6)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Количество в комплекте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24 шт.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RAL-6005 (зеленый)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Р</w:t>
            </w:r>
            <w:r>
              <w:rPr>
                <w:rFonts w:cs="Calibri"/>
                <w:color w:val="000000"/>
                <w:sz w:val="22"/>
              </w:rPr>
              <w:t xml:space="preserve">азмер планки прижимной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47*38 мм.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 xml:space="preserve">Материал </w:t>
            </w:r>
            <w:r>
              <w:rPr>
                <w:rFonts w:cs="Calibri"/>
                <w:color w:val="000000"/>
                <w:sz w:val="22"/>
              </w:rPr>
              <w:t>планки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прижимно</w:t>
            </w:r>
            <w:r>
              <w:rPr>
                <w:rFonts w:cs="Calibri"/>
                <w:color w:val="000000"/>
                <w:sz w:val="22"/>
                <w:lang w:val="en-US"/>
              </w:rPr>
              <w:t>й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И</w:t>
            </w:r>
            <w:r>
              <w:rPr>
                <w:rFonts w:cs="Calibri"/>
                <w:color w:val="000000"/>
                <w:sz w:val="22"/>
              </w:rPr>
              <w:t>з оцинкованной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стали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олщина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планки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прижимно</w:t>
            </w:r>
            <w:r>
              <w:rPr>
                <w:rFonts w:cs="Calibri"/>
                <w:color w:val="000000"/>
                <w:sz w:val="22"/>
                <w:lang w:val="en-US"/>
              </w:rPr>
              <w:t>й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 мм. (для столбов сечением 80х80 мм.)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 комплекте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С</w:t>
            </w:r>
            <w:r>
              <w:rPr>
                <w:rFonts w:cs="Calibri"/>
                <w:color w:val="000000"/>
                <w:sz w:val="22"/>
              </w:rPr>
              <w:t xml:space="preserve"> комплектами метизов М6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2-х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краской).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</w:t>
            </w:r>
            <w:r>
              <w:rPr>
                <w:rFonts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2"/>
              </w:rPr>
              <w:t>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10-ти стадийная с применением технологии подготовки поверхности</w:t>
            </w:r>
          </w:p>
        </w:tc>
      </w:tr>
      <w:tr>
        <w:trPr>
          <w:trHeight w:val="81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1.11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Свая многовитковая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ТК</w:t>
            </w:r>
          </w:p>
        </w:tc>
      </w:tr>
      <w:tr>
        <w:trPr>
          <w:trHeight w:val="7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Размер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76(3,5)/1500 мм.</w:t>
            </w:r>
          </w:p>
        </w:tc>
      </w:tr>
      <w:tr>
        <w:trPr>
          <w:trHeight w:val="7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Фланец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210 (6)</w:t>
            </w:r>
          </w:p>
        </w:tc>
      </w:tr>
      <w:tr>
        <w:trPr>
          <w:trHeight w:val="7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Грунт</w:t>
            </w:r>
          </w:p>
        </w:tc>
      </w:tr>
      <w:tr>
        <w:trPr>
          <w:trHeight w:val="301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1.12</w:t>
            </w:r>
          </w:p>
        </w:tc>
        <w:tc>
          <w:tcPr>
            <w:tcW w:w="4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Ворота распашные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Обозначение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</w:rPr>
              <w:t>ВР.230.500.150.55.P3D.Н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Цвет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  <w:lang w:val="en-US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RAL-6005 (зеленый)</w:t>
            </w:r>
          </w:p>
        </w:tc>
      </w:tr>
      <w:tr>
        <w:trPr>
          <w:trHeight w:val="223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В</w:t>
            </w:r>
            <w:r>
              <w:rPr>
                <w:rFonts w:cs="Calibri"/>
                <w:color w:val="000000"/>
                <w:sz w:val="22"/>
              </w:rPr>
              <w:t xml:space="preserve"> состав ворот входят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Столбы из профильной электросварной трубы с цинковым покрытием, сечением 100*100*3 мм., длиной 2300 мм. с фланцем 200*200*8 мм. – 2 шт. 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Створки из профилированной оцинкованной трубы без применения сварки 60х40х1,4 мм с заполнением из сетчатой панели P3D – 2 шт.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Регулируемые петли – 4 шт.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Проушины для навесного замка</w:t>
            </w:r>
          </w:p>
        </w:tc>
      </w:tr>
      <w:tr>
        <w:trPr>
          <w:trHeight w:val="220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Упоры в землю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О</w:t>
            </w:r>
            <w:r>
              <w:rPr>
                <w:rFonts w:cs="Calibri"/>
                <w:color w:val="000000"/>
                <w:sz w:val="22"/>
              </w:rPr>
              <w:t xml:space="preserve">ткрывание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Н</w:t>
            </w:r>
            <w:r>
              <w:rPr>
                <w:rFonts w:cs="Calibri"/>
                <w:color w:val="000000"/>
                <w:sz w:val="22"/>
              </w:rPr>
              <w:t>аружу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Ширина проема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5020 мм.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Высота ворот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2,3 м.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Покрытие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Двух слойное дополнительное защитное покрытие (конверсионное нанокерамическое покрытие на основе циркония и полиэфирное полимерное покрытие порошковой краской)</w:t>
            </w:r>
          </w:p>
        </w:tc>
      </w:tr>
      <w:tr>
        <w:trPr>
          <w:trHeight w:val="29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2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  <w:lang w:val="en-US"/>
              </w:rPr>
              <w:t>Т</w:t>
            </w:r>
            <w:r>
              <w:rPr>
                <w:rFonts w:cs="Calibri"/>
                <w:color w:val="000000"/>
                <w:sz w:val="22"/>
              </w:rPr>
              <w:t>ехнология покрытия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Десяти стадийная технология покрытия с применением технологии подготовки поверхности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Место поставки</w:t>
            </w: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sz w:val="22"/>
              </w:rPr>
              <w:t>Производственный участок АО «Гидроремонт-ВКК» в г. Новосибирск, 630056, Новосибирская обл., г. Новосибирск, ул. Новоморская, д. 4 (территория Новосибирской ГЭС).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Приемка продукции</w:t>
            </w: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sz w:val="22"/>
              </w:rPr>
              <w:t>Приемка продукции осуществляется только в рабочие дни с 09:00 до 11:00 и с 13:00 до 16:00.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Сроки гарантии</w:t>
            </w: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sz w:val="22"/>
                <w:lang w:eastAsia="x-none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форме ТОРГ-12 или Универсального передаточного документа (УПД) и не менее гарантийного срока изготовителя (производителя) продукции. Установленный в отношении Продукции Гарантийный срок распространяется на все составные части и комплектующие</w:t>
            </w:r>
            <w:r>
              <w:rPr>
                <w:rFonts w:eastAsia="Times New Roman" w:cs="Times New Roman"/>
                <w:sz w:val="22"/>
                <w:lang w:eastAsia="x-none"/>
              </w:rPr>
              <w:t xml:space="preserve"> Продукции.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Документы, передаваемые вместе с продукцией</w:t>
            </w:r>
          </w:p>
        </w:tc>
        <w:tc>
          <w:tcPr>
            <w:tcW w:w="1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Сертификат качества в 1 экз.;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Технический паспорт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Упаковочный лист на Продукцию (каждую партию отгруженной Продукции) 1 экз.;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Сертификат о происхождении Продукции в 1 экз.;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•</w:t>
            </w:r>
            <w:r>
              <w:rPr>
                <w:rFonts w:eastAsia="Times New Roman" w:cs="Times New Roman"/>
                <w:sz w:val="22"/>
              </w:rPr>
              <w:tab/>
              <w:t>Обязательные первичные документы: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rFonts w:eastAsia="Times New Roman" w:cs="Times New Roman"/>
                <w:sz w:val="22"/>
              </w:rPr>
              <w:t>- Товарную накладную по форме ТОРГ-12 или Универсальный передаточный документ (УПД) с обязательным указанием номера и даты Заявки-Спецификации.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1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sz w:val="22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>
            <w:pPr>
              <w:pStyle w:val="Normal"/>
              <w:widowControl w:val="false"/>
              <w:jc w:val="both"/>
              <w:rPr>
                <w:sz w:val="22"/>
              </w:rPr>
            </w:pPr>
            <w:r>
              <w:rPr>
                <w:sz w:val="22"/>
              </w:rPr>
              <w:t>Продукция должна соответствовать требованиям указанных стандартов, технических условий, чертежей. Продукция должна соответствовать обязательным требованиям, установленным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копиями сертификатов/деклараций соответствия)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912" w:gutter="0" w:header="0" w:top="568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Страница </w:t>
    </w:r>
    <w:r>
      <w:rPr>
        <w:b/>
        <w:bCs/>
        <w:sz w:val="20"/>
        <w:szCs w:val="20"/>
      </w:rPr>
      <w:fldChar w:fldCharType="begin"/>
    </w:r>
    <w:r>
      <w:rPr>
        <w:sz w:val="20"/>
        <w:b/>
        <w:szCs w:val="20"/>
        <w:bCs/>
      </w:rPr>
      <w:instrText xml:space="preserve"> PAGE </w:instrText>
    </w:r>
    <w:r>
      <w:rPr>
        <w:sz w:val="20"/>
        <w:b/>
        <w:szCs w:val="20"/>
        <w:bCs/>
      </w:rPr>
      <w:fldChar w:fldCharType="separate"/>
    </w:r>
    <w:r>
      <w:rPr>
        <w:sz w:val="20"/>
        <w:b/>
        <w:szCs w:val="20"/>
        <w:bCs/>
      </w:rPr>
      <w:t>5</w:t>
    </w:r>
    <w:r>
      <w:rPr>
        <w:sz w:val="20"/>
        <w:b/>
        <w:szCs w:val="20"/>
        <w:bCs/>
      </w:rPr>
      <w:fldChar w:fldCharType="end"/>
    </w:r>
    <w:r>
      <w:rPr>
        <w:sz w:val="20"/>
        <w:szCs w:val="20"/>
      </w:rPr>
      <w:t xml:space="preserve"> из </w:t>
    </w:r>
    <w:r>
      <w:rPr>
        <w:b/>
        <w:bCs/>
        <w:sz w:val="20"/>
        <w:szCs w:val="20"/>
      </w:rPr>
      <w:fldChar w:fldCharType="begin"/>
    </w:r>
    <w:r>
      <w:rPr>
        <w:sz w:val="20"/>
        <w:b/>
        <w:szCs w:val="20"/>
        <w:bCs/>
      </w:rPr>
      <w:instrText xml:space="preserve"> NUMPAGES </w:instrText>
    </w:r>
    <w:r>
      <w:rPr>
        <w:sz w:val="20"/>
        <w:b/>
        <w:szCs w:val="20"/>
        <w:bCs/>
      </w:rPr>
      <w:fldChar w:fldCharType="separate"/>
    </w:r>
    <w:r>
      <w:rPr>
        <w:sz w:val="20"/>
        <w:b/>
        <w:szCs w:val="20"/>
        <w:bCs/>
      </w:rPr>
      <w:t>11</w:t>
    </w:r>
    <w:r>
      <w:rPr>
        <w:sz w:val="20"/>
        <w:b/>
        <w:szCs w:val="20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11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11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"/>
      <w:lvlJc w:val="left"/>
      <w:pPr>
        <w:tabs>
          <w:tab w:val="num" w:pos="568"/>
        </w:tabs>
        <w:ind w:left="928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fals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Uk-leader-fill" w:customStyle="1">
    <w:name w:val="uk-leader-fill"/>
    <w:basedOn w:val="DefaultParagraphFont"/>
    <w:qFormat/>
    <w:rsid w:val="00b56115"/>
    <w:rPr/>
  </w:style>
  <w:style w:type="character" w:styleId="Character-title" w:customStyle="1">
    <w:name w:val="character-title"/>
    <w:basedOn w:val="DefaultParagraphFont"/>
    <w:qFormat/>
    <w:rsid w:val="00ce3fd4"/>
    <w:rPr/>
  </w:style>
  <w:style w:type="character" w:styleId="Character-value" w:customStyle="1">
    <w:name w:val="character-value"/>
    <w:basedOn w:val="DefaultParagraphFont"/>
    <w:qFormat/>
    <w:rsid w:val="00ce3fd4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jc w:val="both"/>
    </w:pPr>
    <w:rPr>
      <w:sz w:val="26"/>
      <w:szCs w:val="28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Style37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Style4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andard" w:customStyle="1">
    <w:name w:val="Standard"/>
    <w:qFormat/>
    <w:rsid w:val="00ec334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AlterOffice/3.4.0.9$Linux_X86_64 LibreOffice_project/b8daf9e823b1a5463a2f48435ddc2e8696e7d4fc</Application>
  <AppVersion>15.0000</AppVersion>
  <Pages>11</Pages>
  <Words>2317</Words>
  <Characters>15958</Characters>
  <CharactersWithSpaces>17919</CharactersWithSpaces>
  <Paragraphs>391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2026-07-07T08:50:00Z</dcterms:created>
  <dc:creator>Вашкевич Ольга Владимировна</dc:creator>
  <dc:description/>
  <dc:language>ru-RU</dc:language>
  <cp:lastModifiedBy>kochetovsv@corp.gidroogk.com</cp:lastModifiedBy>
  <cp:lastPrinted>2025-01-16T07:07:00Z</cp:lastPrinted>
  <dcterms:modified xsi:type="dcterms:W3CDTF">2026-07-27T09:45:10Z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